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2600127567</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FFPE TISSUE BLOCK</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KADIRVEL (OQG2603250662)</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25-Mar-2026 12:40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Male/65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06-Apr-2026 05:56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21-Apr-2026 06:02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color w:val="000000"/>
          <w:sz w:val="28"/>
          <w:highlight w:val="yellow"/>
        </w:rPr>
        <w:t xml:space="preserve">TEST NAME</w:t>
      </w:r>
    </w:p>
    <w:p>
      <w:pPr>
        <w:spacing w:before="289" w:after="80" w:line="276" w:lineRule="auto"/>
        <w:jc w:val="left"/>
      </w:pPr>
      <w:r>
        <w:rPr>
          <w:rFonts w:ascii="Cambria" w:hAnsi="Cambria"/>
          <w:color w:val="000000"/>
          <w:sz w:val="20"/>
        </w:rPr>
        <w:t>Clinical Indication: Case of Carcinoma Esophagus Block No.: 1627/25-C</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and CNV detected)</w:t>
      </w:r>
    </w:p>
    <w:p>
      <w:pPr>
        <w:keepNext/>
        <w:spacing w:before="355" w:after="80"/>
        <w:jc w:val="left"/>
      </w:pPr>
      <w:r>
        <w:rPr>
          <w:rFonts w:ascii="Cambria" w:hAnsi="Cambria"/>
          <w:b/>
          <w:i w:val="0"/>
          <w:color w:val="1F497D"/>
          <w:sz w:val="24"/>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Tier I</w:t>
            </w:r>
          </w:p>
        </w:tc>
        <w:tc>
          <w:tcPr>
            <w:tcW w:type="dxa" w:w="1646"/>
            <w:shd w:val="clear" w:color="auto" w:fill="008080"/>
            <w:tcMar>
              <w:top w:w="60" w:type="dxa"/>
              <w:bottom w:w="60" w:type="dxa"/>
              <w:start w:w="80" w:type="dxa"/>
              <w:end w:w="80" w:type="dxa"/>
            </w:tcMar>
          </w:tcPr>
          <w:p>
            <w:pPr>
              <w:jc w:val="center"/>
            </w:pPr>
            <w:r>
              <w:rPr>
                <w:rFonts w:ascii="Cambria" w:hAnsi="Cambria"/>
                <w:b/>
                <w:color w:val="FFFFFF"/>
                <w:sz w:val="20"/>
              </w:rPr>
              <w:t>Tier II</w:t>
            </w:r>
          </w:p>
        </w:tc>
        <w:tc>
          <w:tcPr>
            <w:tcW w:type="dxa" w:w="1719"/>
            <w:shd w:val="clear" w:color="auto" w:fill="008080"/>
            <w:tcMar>
              <w:top w:w="60" w:type="dxa"/>
              <w:bottom w:w="60" w:type="dxa"/>
              <w:start w:w="80" w:type="dxa"/>
              <w:end w:w="80" w:type="dxa"/>
            </w:tcMar>
          </w:tcPr>
          <w:p>
            <w:pPr>
              <w:jc w:val="center"/>
            </w:pPr>
            <w:r>
              <w:rPr>
                <w:rFonts w:ascii="Cambria" w:hAnsi="Cambria"/>
                <w:b/>
                <w:color w:val="FFFFFF"/>
                <w:sz w:val="20"/>
              </w:rPr>
              <w:t>Tier III</w:t>
            </w:r>
          </w:p>
        </w:tc>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1789"/>
            <w:shd w:val="clear" w:color="auto" w:fill="008080"/>
            <w:tcMar>
              <w:top w:w="60" w:type="dxa"/>
              <w:bottom w:w="60" w:type="dxa"/>
              <w:start w:w="80" w:type="dxa"/>
              <w:end w:w="80" w:type="dxa"/>
            </w:tcMar>
          </w:tcPr>
          <w:p>
            <w:pPr>
              <w:jc w:val="center"/>
            </w:pPr>
            <w:r>
              <w:rPr>
                <w:rFonts w:ascii="Cambria" w:hAnsi="Cambria"/>
                <w:b/>
                <w:color w:val="FFFFFF"/>
                <w:sz w:val="20"/>
              </w:rPr>
              <w:t>Therapies</w:t>
            </w:r>
          </w:p>
        </w:tc>
        <w:tc>
          <w:tcPr>
            <w:tcW w:type="dxa" w:w="2172"/>
            <w:shd w:val="clear" w:color="auto" w:fill="008080"/>
            <w:tcMar>
              <w:top w:w="60" w:type="dxa"/>
              <w:bottom w:w="60" w:type="dxa"/>
              <w:start w:w="80" w:type="dxa"/>
              <w:end w:w="80" w:type="dxa"/>
            </w:tcMar>
          </w:tcPr>
          <w:p>
            <w:pPr>
              <w:jc w:val="center"/>
            </w:pPr>
            <w:r>
              <w:rPr>
                <w:rFonts w:ascii="Cambria" w:hAnsi="Cambria"/>
                <w:b/>
                <w:color w:val="FFFFFF"/>
                <w:sz w:val="20"/>
              </w:rPr>
              <w:t>Clinical Trials</w:t>
            </w:r>
          </w:p>
        </w:tc>
      </w:tr>
      <w:tr>
        <w:trPr>
          <w:cantSplit w:val="true"/>
        </w:trPr>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646"/>
            <w:shd w:val="clear" w:color="auto" w:fill="f8f8f8"/>
            <w:tcMar>
              <w:top w:w="60" w:type="dxa"/>
              <w:bottom w:w="60" w:type="dxa"/>
              <w:start w:w="80" w:type="dxa"/>
              <w:end w:w="80" w:type="dxa"/>
            </w:tcMar>
          </w:tcPr>
          <w:p>
            <w:pPr>
              <w:jc w:val="left"/>
            </w:pPr>
            <w:r>
              <w:rPr>
                <w:rFonts w:ascii="Cambria" w:hAnsi="Cambria"/>
                <w:b w:val="0"/>
                <w:i w:val="0"/>
                <w:color w:val="000000"/>
                <w:sz w:val="20"/>
              </w:rPr>
              <w:t>2</w:t>
            </w:r>
          </w:p>
        </w:tc>
        <w:tc>
          <w:tcPr>
            <w:tcW w:type="dxa" w:w="171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178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2172"/>
            <w:shd w:val="clear" w:color="auto" w:fill="f8f8f8"/>
            <w:tcMar>
              <w:top w:w="60" w:type="dxa"/>
              <w:bottom w:w="60" w:type="dxa"/>
              <w:start w:w="80" w:type="dxa"/>
              <w:end w:w="80" w:type="dxa"/>
            </w:tcMar>
          </w:tcPr>
          <w:p>
            <w:pPr>
              <w:jc w:val="right"/>
            </w:pPr>
            <w:r>
              <w:rPr>
                <w:rFonts w:ascii="Cambria" w:hAnsi="Cambria"/>
                <w:b w:val="0"/>
                <w:i w:val="0"/>
                <w:color w:val="000000"/>
                <w:sz w:val="20"/>
              </w:rPr>
              <w:t>20</w:t>
            </w:r>
          </w:p>
        </w:tc>
      </w:tr>
    </w:tbl>
    <w:p>
      <w:pPr>
        <w:spacing w:before="0" w:after="120" w:line="20" w:lineRule="exact"/>
      </w:pPr>
      <w:r>
        <w:rPr>
          <w:sz w:val="2"/>
        </w:rPr>
      </w:r>
    </w:p>
    <w:p>
      <w:pPr>
        <w:keepNext/>
        <w:spacing w:before="263" w:after="80"/>
        <w:jc w:val="left"/>
      </w:pPr>
      <w:r>
        <w:rPr>
          <w:rFonts w:ascii="Cambria" w:hAnsi="Cambria"/>
          <w:b/>
          <w:i w:val="0"/>
          <w:color w:val="1F497D"/>
          <w:sz w:val="24"/>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1408"/>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2356"/>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3172"/>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408"/>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2121"/>
            <w:shd w:val="clear" w:color="auto" w:fill="008080"/>
            <w:tcMar>
              <w:top w:w="60" w:type="dxa"/>
              <w:bottom w:w="60" w:type="dxa"/>
              <w:start w:w="80" w:type="dxa"/>
              <w:end w:w="80" w:type="dxa"/>
            </w:tcMar>
          </w:tcPr>
          <w:p>
            <w:pPr>
              <w:jc w:val="center"/>
            </w:pPr>
            <w:r>
              <w:rPr>
                <w:rFonts w:ascii="Cambria" w:hAnsi="Cambria"/>
                <w:b/>
                <w:color w:val="FFFFFF"/>
                <w:sz w:val="20"/>
              </w:rPr>
              <w:t>Coverage/VAF</w:t>
            </w:r>
          </w:p>
        </w:tc>
      </w:tr>
      <w:tr>
        <w:trPr>
          <w:cantSplit w:val="true"/>
        </w:trPr>
        <w:tc>
          <w:tcPr>
            <w:tcW w:type="dxa" w:w="1408"/>
            <w:shd w:val="clear" w:color="auto" w:fill="f8f8f8"/>
            <w:tcMar>
              <w:top w:w="60" w:type="dxa"/>
              <w:bottom w:w="60" w:type="dxa"/>
              <w:start w:w="80" w:type="dxa"/>
              <w:end w:w="80" w:type="dxa"/>
            </w:tcMar>
          </w:tcPr>
          <w:p>
            <w:pPr>
              <w:jc w:val="left"/>
            </w:pPr>
            <w:r>
              <w:rPr>
                <w:rFonts w:ascii="Cambria" w:hAnsi="Cambria"/>
                <w:b w:val="0"/>
                <w:i w:val="0"/>
                <w:color w:val="000000"/>
                <w:sz w:val="20"/>
              </w:rPr>
              <w:t>IIC</w:t>
            </w:r>
          </w:p>
        </w:tc>
        <w:tc>
          <w:tcPr>
            <w:tcW w:type="dxa" w:w="2356"/>
            <w:shd w:val="clear" w:color="auto" w:fill="f8f8f8"/>
            <w:tcMar>
              <w:top w:w="60" w:type="dxa"/>
              <w:bottom w:w="60" w:type="dxa"/>
              <w:start w:w="80" w:type="dxa"/>
              <w:end w:w="80" w:type="dxa"/>
            </w:tcMar>
          </w:tcPr>
          <w:p>
            <w:pPr>
              <w:jc w:val="left"/>
            </w:pPr>
            <w:r>
              <w:rPr>
                <w:rFonts w:ascii="Cambria" w:hAnsi="Cambria"/>
                <w:b w:val="0"/>
                <w:i w:val="0"/>
                <w:color w:val="000000"/>
                <w:sz w:val="20"/>
              </w:rPr>
              <w:t>APC</w:t>
              <w:br/>
              <w:t>NM 000038.6</w:t>
              <w:br/>
              <w:t>_</w:t>
            </w:r>
          </w:p>
        </w:tc>
        <w:tc>
          <w:tcPr>
            <w:tcW w:type="dxa" w:w="3172"/>
            <w:shd w:val="clear" w:color="auto" w:fill="f8f8f8"/>
            <w:tcMar>
              <w:top w:w="60" w:type="dxa"/>
              <w:bottom w:w="60" w:type="dxa"/>
              <w:start w:w="80" w:type="dxa"/>
              <w:end w:w="80" w:type="dxa"/>
            </w:tcMar>
          </w:tcPr>
          <w:p>
            <w:pPr>
              <w:jc w:val="left"/>
            </w:pPr>
            <w:r>
              <w:rPr>
                <w:rFonts w:ascii="Cambria" w:hAnsi="Cambria"/>
                <w:b w:val="0"/>
                <w:i w:val="0"/>
                <w:color w:val="000000"/>
                <w:sz w:val="20"/>
              </w:rPr>
              <w:t>c.1312+3A&gt;G</w:t>
              <w:br/>
              <w:t>(Splice Site Mutation)</w:t>
            </w:r>
          </w:p>
        </w:tc>
        <w:tc>
          <w:tcPr>
            <w:tcW w:type="dxa" w:w="1408"/>
            <w:shd w:val="clear" w:color="auto" w:fill="f8f8f8"/>
            <w:tcMar>
              <w:top w:w="60" w:type="dxa"/>
              <w:bottom w:w="60" w:type="dxa"/>
              <w:start w:w="80" w:type="dxa"/>
              <w:end w:w="80" w:type="dxa"/>
            </w:tcMar>
          </w:tcPr>
          <w:p>
            <w:pPr>
              <w:jc w:val="left"/>
            </w:pPr>
            <w:r>
              <w:rPr>
                <w:rFonts w:ascii="Cambria" w:hAnsi="Cambria"/>
                <w:b w:val="0"/>
                <w:i w:val="0"/>
                <w:color w:val="000000"/>
                <w:sz w:val="20"/>
              </w:rPr>
              <w:t>10</w:t>
            </w:r>
          </w:p>
        </w:tc>
        <w:tc>
          <w:tcPr>
            <w:tcW w:type="dxa" w:w="2121"/>
            <w:shd w:val="clear" w:color="auto" w:fill="f8f8f8"/>
            <w:tcMar>
              <w:top w:w="60" w:type="dxa"/>
              <w:bottom w:w="60" w:type="dxa"/>
              <w:start w:w="80" w:type="dxa"/>
              <w:end w:w="80" w:type="dxa"/>
            </w:tcMar>
          </w:tcPr>
          <w:p>
            <w:pPr>
              <w:jc w:val="right"/>
            </w:pPr>
            <w:r>
              <w:rPr>
                <w:rFonts w:ascii="Cambria" w:hAnsi="Cambria"/>
                <w:b w:val="0"/>
                <w:i w:val="0"/>
                <w:color w:val="000000"/>
                <w:sz w:val="20"/>
              </w:rPr>
              <w:t>1037x / 13.51%</w:t>
            </w:r>
          </w:p>
        </w:tc>
      </w:tr>
      <w:tr>
        <w:trPr>
          <w:cantSplit w:val="true"/>
        </w:trPr>
        <w:tc>
          <w:tcPr>
            <w:tcW w:type="dxa" w:w="1408"/>
            <w:shd w:val="clear" w:color="auto" w:fill="ffffff"/>
            <w:tcMar>
              <w:top w:w="60" w:type="dxa"/>
              <w:bottom w:w="60" w:type="dxa"/>
              <w:start w:w="80" w:type="dxa"/>
              <w:end w:w="80" w:type="dxa"/>
            </w:tcMar>
          </w:tcPr>
          <w:p>
            <w:pPr>
              <w:jc w:val="left"/>
            </w:pPr>
            <w:r>
              <w:rPr>
                <w:rFonts w:ascii="Cambria" w:hAnsi="Cambria"/>
                <w:b w:val="0"/>
                <w:i w:val="0"/>
                <w:color w:val="000000"/>
                <w:sz w:val="20"/>
              </w:rPr>
              <w:t>IIC</w:t>
            </w:r>
          </w:p>
        </w:tc>
        <w:tc>
          <w:tcPr>
            <w:tcW w:type="dxa" w:w="2356"/>
            <w:shd w:val="clear" w:color="auto" w:fill="ffffff"/>
            <w:tcMar>
              <w:top w:w="60" w:type="dxa"/>
              <w:bottom w:w="60" w:type="dxa"/>
              <w:start w:w="80" w:type="dxa"/>
              <w:end w:w="80" w:type="dxa"/>
            </w:tcMar>
          </w:tcPr>
          <w:p>
            <w:pPr>
              <w:jc w:val="left"/>
            </w:pPr>
            <w:r>
              <w:rPr>
                <w:rFonts w:ascii="Cambria" w:hAnsi="Cambria"/>
                <w:b w:val="0"/>
                <w:i w:val="0"/>
                <w:color w:val="000000"/>
                <w:sz w:val="20"/>
              </w:rPr>
              <w:t>TP53</w:t>
              <w:br/>
              <w:t>NM 000546.6</w:t>
              <w:br/>
              <w:t>_</w:t>
            </w:r>
          </w:p>
        </w:tc>
        <w:tc>
          <w:tcPr>
            <w:tcW w:type="dxa" w:w="3172"/>
            <w:shd w:val="clear" w:color="auto" w:fill="ffffff"/>
            <w:tcMar>
              <w:top w:w="60" w:type="dxa"/>
              <w:bottom w:w="60" w:type="dxa"/>
              <w:start w:w="80" w:type="dxa"/>
              <w:end w:w="80" w:type="dxa"/>
            </w:tcMar>
          </w:tcPr>
          <w:p>
            <w:pPr>
              <w:jc w:val="left"/>
            </w:pPr>
            <w:r>
              <w:rPr>
                <w:rFonts w:ascii="Cambria" w:hAnsi="Cambria"/>
                <w:b w:val="0"/>
                <w:i w:val="0"/>
                <w:color w:val="000000"/>
                <w:sz w:val="20"/>
              </w:rPr>
              <w:t>c.524G&gt;A</w:t>
              <w:br/>
              <w:t>p.(R175H)</w:t>
            </w:r>
          </w:p>
        </w:tc>
        <w:tc>
          <w:tcPr>
            <w:tcW w:type="dxa" w:w="1408"/>
            <w:shd w:val="clear" w:color="auto" w:fill="ffffff"/>
            <w:tcMar>
              <w:top w:w="60" w:type="dxa"/>
              <w:bottom w:w="60" w:type="dxa"/>
              <w:start w:w="80" w:type="dxa"/>
              <w:end w:w="80" w:type="dxa"/>
            </w:tcMar>
          </w:tcPr>
          <w:p>
            <w:pPr>
              <w:jc w:val="left"/>
            </w:pPr>
            <w:r>
              <w:rPr>
                <w:rFonts w:ascii="Cambria" w:hAnsi="Cambria"/>
                <w:b w:val="0"/>
                <w:i w:val="0"/>
                <w:color w:val="000000"/>
                <w:sz w:val="20"/>
              </w:rPr>
              <w:t>5</w:t>
            </w:r>
          </w:p>
        </w:tc>
        <w:tc>
          <w:tcPr>
            <w:tcW w:type="dxa" w:w="2121"/>
            <w:shd w:val="clear" w:color="auto" w:fill="ffffff"/>
            <w:tcMar>
              <w:top w:w="60" w:type="dxa"/>
              <w:bottom w:w="60" w:type="dxa"/>
              <w:start w:w="80" w:type="dxa"/>
              <w:end w:w="80" w:type="dxa"/>
            </w:tcMar>
          </w:tcPr>
          <w:p>
            <w:pPr>
              <w:jc w:val="right"/>
            </w:pPr>
            <w:r>
              <w:rPr>
                <w:rFonts w:ascii="Cambria" w:hAnsi="Cambria"/>
                <w:b w:val="0"/>
                <w:i w:val="0"/>
                <w:color w:val="000000"/>
                <w:sz w:val="20"/>
              </w:rPr>
              <w:t>1080x / 5.00%</w:t>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133"/>
            <w:shd w:val="clear" w:color="auto" w:fill="008080"/>
            <w:tcMar>
              <w:top w:w="60" w:type="dxa"/>
              <w:bottom w:w="60" w:type="dxa"/>
              <w:start w:w="80" w:type="dxa"/>
              <w:end w:w="80" w:type="dxa"/>
            </w:tcMar>
          </w:tcPr>
          <w:p>
            <w:pPr>
              <w:jc w:val="center"/>
            </w:pPr>
            <w:r>
              <w:rPr>
                <w:rFonts w:ascii="Cambria" w:hAnsi="Cambria"/>
                <w:b/>
                <w:color w:val="FFFFFF"/>
                <w:sz w:val="20"/>
              </w:rPr>
              <w:t>CNV Type</w:t>
            </w:r>
          </w:p>
        </w:tc>
        <w:tc>
          <w:tcPr>
            <w:tcW w:type="dxa" w:w="2556"/>
            <w:shd w:val="clear" w:color="auto" w:fill="008080"/>
            <w:tcMar>
              <w:top w:w="60" w:type="dxa"/>
              <w:bottom w:w="60" w:type="dxa"/>
              <w:start w:w="80" w:type="dxa"/>
              <w:end w:w="80" w:type="dxa"/>
            </w:tcMar>
          </w:tcPr>
          <w:p>
            <w:pPr>
              <w:jc w:val="center"/>
            </w:pPr>
            <w:r>
              <w:rPr>
                <w:rFonts w:ascii="Cambria" w:hAnsi="Cambria"/>
                <w:b/>
                <w:color w:val="FFFFFF"/>
                <w:sz w:val="20"/>
              </w:rPr>
              <w:t>Genes</w:t>
            </w:r>
          </w:p>
        </w:tc>
        <w:tc>
          <w:tcPr>
            <w:tcW w:type="dxa" w:w="3776"/>
            <w:shd w:val="clear" w:color="auto" w:fill="008080"/>
            <w:tcMar>
              <w:top w:w="60" w:type="dxa"/>
              <w:bottom w:w="60" w:type="dxa"/>
              <w:start w:w="80" w:type="dxa"/>
              <w:end w:w="80" w:type="dxa"/>
            </w:tcMar>
          </w:tcPr>
          <w:p>
            <w:pPr>
              <w:jc w:val="center"/>
            </w:pPr>
            <w:r>
              <w:rPr>
                <w:rFonts w:ascii="Cambria" w:hAnsi="Cambria"/>
                <w:b/>
                <w:color w:val="FFFFFF"/>
                <w:sz w:val="20"/>
              </w:rPr>
              <w:t>Copy Number</w:t>
            </w:r>
          </w:p>
        </w:tc>
      </w:tr>
      <w:tr>
        <w:trPr>
          <w:cantSplit w:val="true"/>
        </w:trPr>
        <w:tc>
          <w:tcPr>
            <w:tcW w:type="dxa" w:w="4133"/>
            <w:shd w:val="clear" w:color="auto" w:fill="ffffff"/>
            <w:tcMar>
              <w:top w:w="60" w:type="dxa"/>
              <w:bottom w:w="60" w:type="dxa"/>
              <w:start w:w="80" w:type="dxa"/>
              <w:end w:w="80" w:type="dxa"/>
            </w:tcMar>
          </w:tcPr>
          <w:p>
            <w:pPr>
              <w:jc w:val="left"/>
            </w:pPr>
            <w:r>
              <w:rPr>
                <w:rFonts w:ascii="Cambria" w:hAnsi="Cambria"/>
                <w:b w:val="0"/>
                <w:i w:val="0"/>
                <w:color w:val="000000"/>
                <w:sz w:val="20"/>
              </w:rPr>
              <w:t>Amplification</w:t>
            </w:r>
          </w:p>
        </w:tc>
        <w:tc>
          <w:tcPr>
            <w:tcW w:type="dxa" w:w="2556"/>
            <w:shd w:val="clear" w:color="auto" w:fill="ffffff"/>
            <w:tcMar>
              <w:top w:w="60" w:type="dxa"/>
              <w:bottom w:w="60" w:type="dxa"/>
              <w:start w:w="80" w:type="dxa"/>
              <w:end w:w="80" w:type="dxa"/>
            </w:tcMar>
          </w:tcPr>
          <w:p>
            <w:pPr>
              <w:jc w:val="left"/>
            </w:pPr>
            <w:r>
              <w:rPr>
                <w:rFonts w:ascii="Cambria" w:hAnsi="Cambria"/>
                <w:b w:val="0"/>
                <w:i w:val="0"/>
                <w:color w:val="000000"/>
                <w:sz w:val="20"/>
              </w:rPr>
              <w:t>MYC</w:t>
            </w:r>
          </w:p>
        </w:tc>
        <w:tc>
          <w:tcPr>
            <w:tcW w:type="dxa" w:w="3776"/>
            <w:shd w:val="clear" w:color="auto" w:fill="ffffff"/>
            <w:tcMar>
              <w:top w:w="60" w:type="dxa"/>
              <w:bottom w:w="60" w:type="dxa"/>
              <w:start w:w="80" w:type="dxa"/>
              <w:end w:w="80" w:type="dxa"/>
            </w:tcMar>
          </w:tcPr>
          <w:p>
            <w:pPr>
              <w:jc w:val="right"/>
            </w:pPr>
            <w:r>
              <w:rPr>
                <w:rFonts w:ascii="Cambria" w:hAnsi="Cambria"/>
                <w:b w:val="0"/>
                <w:i w:val="0"/>
                <w:color w:val="000000"/>
                <w:sz w:val="20"/>
              </w:rPr>
              <w:t>6</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4"/>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830"/>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2934"/>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3701"/>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3830"/>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2934"/>
            <w:shd w:val="clear" w:color="auto" w:fill="f8f8f8"/>
            <w:tcMar>
              <w:top w:w="60" w:type="dxa"/>
              <w:bottom w:w="60" w:type="dxa"/>
              <w:start w:w="80" w:type="dxa"/>
              <w:end w:w="80" w:type="dxa"/>
            </w:tcMar>
          </w:tcPr>
          <w:p>
            <w:pPr>
              <w:jc w:val="left"/>
            </w:pPr>
            <w:r>
              <w:rPr>
                <w:rFonts w:ascii="Cambria" w:hAnsi="Cambria"/>
                <w:b w:val="0"/>
                <w:i w:val="0"/>
                <w:color w:val="000000"/>
                <w:sz w:val="20"/>
              </w:rPr>
              <w:t>Stable</w:t>
              <w:br/>
              <w:t>Page 1 of 17</w:t>
            </w:r>
          </w:p>
        </w:tc>
        <w:tc>
          <w:tcPr>
            <w:tcW w:type="dxa" w:w="3701"/>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r>
        <w:trPr>
          <w:cantSplit w:val="true"/>
        </w:trPr>
        <w:tc>
          <w:tcPr>
            <w:tcW w:type="dxa" w:w="383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934"/>
            <w:shd w:val="clear" w:color="auto" w:fill="f8f8f8"/>
            <w:tcMar>
              <w:top w:w="60" w:type="dxa"/>
              <w:bottom w:w="60" w:type="dxa"/>
              <w:start w:w="80" w:type="dxa"/>
              <w:end w:w="80" w:type="dxa"/>
            </w:tcMar>
          </w:tcPr>
          <w:p>
            <w:pPr>
              <w:jc w:val="left"/>
            </w:pPr>
            <w:r>
              <w:rPr>
                <w:rFonts w:ascii="Arial" w:hAnsi="Arial"/>
                <w:b w:val="0"/>
                <w:i w:val="0"/>
                <w:color w:val="000000"/>
                <w:sz w:val="16"/>
              </w:rPr>
            </w:r>
          </w:p>
        </w:tc>
        <w:tc>
          <w:tcPr>
            <w:tcW w:type="dxa" w:w="3701"/>
            <w:shd w:val="clear" w:color="auto" w:fill="f8f8f8"/>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7"/>
          <w:headerReference w:type="even" r:id="rId48"/>
          <w:footerReference w:type="first" r:id="rId49"/>
          <w:footerReference w:type="even" r:id="rId50"/>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keepNext/>
        <w:spacing w:before="360" w:after="80"/>
        <w:jc w:val="left"/>
      </w:pPr>
      <w:r>
        <w:rPr>
          <w:rFonts w:ascii="Cambria" w:hAnsi="Cambria"/>
          <w:b/>
          <w:i w:val="0"/>
          <w:color w:val="1F497D"/>
          <w:sz w:val="24"/>
        </w:rPr>
        <w:t>Clinical Significance:</w:t>
      </w:r>
    </w:p>
    <w:p>
      <w:pPr>
        <w:spacing w:before="0" w:after="21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56"/>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3295"/>
            <w:shd w:val="clear" w:color="auto" w:fill="008080"/>
            <w:tcMar>
              <w:top w:w="60" w:type="dxa"/>
              <w:bottom w:w="60" w:type="dxa"/>
              <w:start w:w="80" w:type="dxa"/>
              <w:end w:w="80" w:type="dxa"/>
            </w:tcMar>
          </w:tcPr>
          <w:p>
            <w:pPr>
              <w:jc w:val="center"/>
            </w:pPr>
            <w:r>
              <w:rPr>
                <w:rFonts w:ascii="Cambria" w:hAnsi="Cambria"/>
                <w:b/>
                <w:color w:val="FFFFFF"/>
                <w:sz w:val="20"/>
              </w:rPr>
              <w:t>Therapy</w:t>
            </w:r>
          </w:p>
        </w:tc>
        <w:tc>
          <w:tcPr>
            <w:tcW w:type="dxa" w:w="341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r>
      <w:tr>
        <w:trPr>
          <w:cantSplit w:val="true"/>
        </w:trPr>
        <w:tc>
          <w:tcPr>
            <w:tcW w:type="dxa" w:w="3756"/>
            <w:shd w:val="clear" w:color="auto" w:fill="a5a6a5"/>
            <w:tcMar>
              <w:top w:w="60" w:type="dxa"/>
              <w:bottom w:w="60" w:type="dxa"/>
              <w:start w:w="80" w:type="dxa"/>
              <w:end w:w="80" w:type="dxa"/>
            </w:tcMar>
          </w:tcPr>
          <w:p>
            <w:pPr>
              <w:jc w:val="left"/>
            </w:pPr>
            <w:r>
              <w:rPr>
                <w:rFonts w:ascii="Times New Roman" w:hAnsi="Times New Roman"/>
                <w:b w:val="0"/>
                <w:i w:val="0"/>
                <w:color w:val="000000"/>
                <w:sz w:val="19"/>
              </w:rPr>
            </w:r>
          </w:p>
        </w:tc>
        <w:tc>
          <w:tcPr>
            <w:tcW w:type="dxa" w:w="3295"/>
            <w:shd w:val="clear" w:color="auto" w:fill="a5a6a5"/>
            <w:tcMar>
              <w:top w:w="60" w:type="dxa"/>
              <w:bottom w:w="60" w:type="dxa"/>
              <w:start w:w="80" w:type="dxa"/>
              <w:end w:w="80" w:type="dxa"/>
            </w:tcMar>
          </w:tcPr>
          <w:p>
            <w:pPr>
              <w:jc w:val="center"/>
            </w:pPr>
            <w:r>
              <w:rPr>
                <w:rFonts w:ascii="Cambria" w:hAnsi="Cambria"/>
                <w:b/>
                <w:i w:val="0"/>
                <w:color w:val="FFFFFF"/>
                <w:sz w:val="20"/>
              </w:rPr>
              <w:t>In This Cancer</w:t>
            </w:r>
          </w:p>
        </w:tc>
        <w:tc>
          <w:tcPr>
            <w:tcW w:type="dxa" w:w="3414"/>
            <w:shd w:val="clear" w:color="auto" w:fill="a5a6a5"/>
            <w:tcMar>
              <w:top w:w="60" w:type="dxa"/>
              <w:bottom w:w="60" w:type="dxa"/>
              <w:start w:w="80" w:type="dxa"/>
              <w:end w:w="80" w:type="dxa"/>
            </w:tcMar>
          </w:tcPr>
          <w:p>
            <w:pPr>
              <w:jc w:val="right"/>
            </w:pPr>
            <w:r>
              <w:rPr>
                <w:rFonts w:ascii="Cambria" w:hAnsi="Cambria"/>
                <w:b/>
                <w:i w:val="0"/>
                <w:color w:val="FFFFFF"/>
                <w:sz w:val="20"/>
              </w:rPr>
              <w:t>In Other Cancer</w:t>
            </w:r>
          </w:p>
        </w:tc>
      </w:tr>
      <w:tr>
        <w:trPr>
          <w:cantSplit w:val="true"/>
        </w:trPr>
        <w:tc>
          <w:tcPr>
            <w:tcW w:type="dxa" w:w="3756"/>
            <w:shd w:val="clear" w:color="auto" w:fill="d8d9d8"/>
            <w:tcMar>
              <w:top w:w="60" w:type="dxa"/>
              <w:bottom w:w="60" w:type="dxa"/>
              <w:start w:w="80" w:type="dxa"/>
              <w:end w:w="80" w:type="dxa"/>
            </w:tcMar>
          </w:tcPr>
          <w:p>
            <w:pPr>
              <w:jc w:val="left"/>
            </w:pPr>
            <w:r>
              <w:rPr>
                <w:rFonts w:ascii="Cambria" w:hAnsi="Cambria"/>
                <w:b w:val="0"/>
                <w:i w:val="0"/>
                <w:color w:val="000000"/>
                <w:sz w:val="20"/>
              </w:rPr>
              <w:t>IIC</w:t>
              <w:br/>
              <w:t>TP53</w:t>
              <w:br/>
              <w:t>p.(R175H)</w:t>
            </w:r>
          </w:p>
        </w:tc>
        <w:tc>
          <w:tcPr>
            <w:tcW w:type="dxa" w:w="3295"/>
            <w:shd w:val="clear" w:color="auto" w:fill="f8f8f8"/>
            <w:tcMar>
              <w:top w:w="60" w:type="dxa"/>
              <w:bottom w:w="60" w:type="dxa"/>
              <w:start w:w="80" w:type="dxa"/>
              <w:end w:w="80" w:type="dxa"/>
            </w:tcMar>
          </w:tcPr>
          <w:p>
            <w:pPr>
              <w:jc w:val="center"/>
            </w:pPr>
            <w:r>
              <w:rPr>
                <w:rFonts w:ascii="Cambria" w:hAnsi="Cambria"/>
                <w:b w:val="0"/>
                <w:i w:val="0"/>
                <w:color w:val="006666"/>
                <w:sz w:val="24"/>
              </w:rPr>
              <w:t>▪None*</w:t>
            </w:r>
          </w:p>
        </w:tc>
        <w:tc>
          <w:tcPr>
            <w:tcW w:type="dxa" w:w="3414"/>
            <w:shd w:val="clear" w:color="auto" w:fill="f8f8f8"/>
            <w:tcMar>
              <w:top w:w="60" w:type="dxa"/>
              <w:bottom w:w="60" w:type="dxa"/>
              <w:start w:w="80" w:type="dxa"/>
              <w:end w:w="80" w:type="dxa"/>
            </w:tcMar>
          </w:tcPr>
          <w:p>
            <w:pPr>
              <w:jc w:val="right"/>
            </w:pPr>
            <w:r>
              <w:rPr>
                <w:rFonts w:ascii="Cambria" w:hAnsi="Cambria"/>
                <w:b w:val="0"/>
                <w:i w:val="0"/>
                <w:color w:val="006666"/>
                <w:sz w:val="24"/>
              </w:rPr>
              <w:t>▪None*</w:t>
            </w:r>
          </w:p>
        </w:tc>
      </w:tr>
      <w:tr>
        <w:trPr>
          <w:cantSplit w:val="true"/>
        </w:trPr>
        <w:tc>
          <w:tcPr>
            <w:tcW w:type="dxa" w:w="3756"/>
            <w:shd w:val="clear" w:color="auto" w:fill="d8d9d8"/>
            <w:tcMar>
              <w:top w:w="60" w:type="dxa"/>
              <w:bottom w:w="60" w:type="dxa"/>
              <w:start w:w="80" w:type="dxa"/>
              <w:end w:w="80" w:type="dxa"/>
            </w:tcMar>
          </w:tcPr>
          <w:p>
            <w:pPr>
              <w:jc w:val="left"/>
            </w:pPr>
            <w:r>
              <w:rPr>
                <w:rFonts w:ascii="Cambria" w:hAnsi="Cambria"/>
                <w:b w:val="0"/>
                <w:i w:val="0"/>
                <w:color w:val="000000"/>
                <w:sz w:val="20"/>
              </w:rPr>
              <w:t>APC</w:t>
              <w:br/>
              <w:t>c.1312+3A&gt;G</w:t>
            </w:r>
          </w:p>
        </w:tc>
        <w:tc>
          <w:tcPr>
            <w:tcW w:type="dxa" w:w="3295"/>
            <w:shd w:val="clear" w:color="auto" w:fill="ffffff"/>
            <w:tcMar>
              <w:top w:w="60" w:type="dxa"/>
              <w:bottom w:w="60" w:type="dxa"/>
              <w:start w:w="80" w:type="dxa"/>
              <w:end w:w="80" w:type="dxa"/>
            </w:tcMar>
          </w:tcPr>
          <w:p>
            <w:pPr>
              <w:jc w:val="center"/>
            </w:pPr>
            <w:r>
              <w:rPr>
                <w:rFonts w:ascii="Cambria" w:hAnsi="Cambria"/>
                <w:b w:val="0"/>
                <w:i w:val="0"/>
                <w:color w:val="006666"/>
                <w:sz w:val="24"/>
              </w:rPr>
              <w:t>▪None*</w:t>
            </w:r>
          </w:p>
        </w:tc>
        <w:tc>
          <w:tcPr>
            <w:tcW w:type="dxa" w:w="3414"/>
            <w:shd w:val="clear" w:color="auto" w:fill="ffffff"/>
            <w:tcMar>
              <w:top w:w="60" w:type="dxa"/>
              <w:bottom w:w="60" w:type="dxa"/>
              <w:start w:w="80" w:type="dxa"/>
              <w:end w:w="80" w:type="dxa"/>
            </w:tcMar>
          </w:tcPr>
          <w:p>
            <w:pPr>
              <w:jc w:val="right"/>
            </w:pPr>
            <w:r>
              <w:rPr>
                <w:rFonts w:ascii="Cambria" w:hAnsi="Cambria"/>
                <w:b w:val="0"/>
                <w:i w:val="0"/>
                <w:color w:val="006666"/>
                <w:sz w:val="24"/>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000"/>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3733"/>
            <w:shd w:val="clear" w:color="auto" w:fill="008080"/>
            <w:tcMar>
              <w:top w:w="60" w:type="dxa"/>
              <w:bottom w:w="60" w:type="dxa"/>
              <w:start w:w="80" w:type="dxa"/>
              <w:end w:w="80" w:type="dxa"/>
            </w:tcMar>
          </w:tcPr>
          <w:p>
            <w:pPr>
              <w:jc w:val="center"/>
            </w:pPr>
            <w:r>
              <w:rPr>
                <w:rFonts w:ascii="Cambria" w:hAnsi="Cambria"/>
                <w:b/>
                <w:color w:val="FFFFFF"/>
                <w:sz w:val="20"/>
              </w:rPr>
              <w:t>Diagnostic Significance</w:t>
            </w:r>
          </w:p>
        </w:tc>
        <w:tc>
          <w:tcPr>
            <w:tcW w:type="dxa" w:w="3733"/>
            <w:shd w:val="clear" w:color="auto" w:fill="008080"/>
            <w:tcMar>
              <w:top w:w="60" w:type="dxa"/>
              <w:bottom w:w="60" w:type="dxa"/>
              <w:start w:w="80" w:type="dxa"/>
              <w:end w:w="80" w:type="dxa"/>
            </w:tcMar>
          </w:tcPr>
          <w:p>
            <w:pPr>
              <w:jc w:val="center"/>
            </w:pPr>
            <w:r>
              <w:rPr>
                <w:rFonts w:ascii="Cambria" w:hAnsi="Cambria"/>
                <w:b/>
                <w:color w:val="FFFFFF"/>
                <w:sz w:val="20"/>
              </w:rPr>
              <w:t>Prognostic Significance</w:t>
            </w:r>
          </w:p>
        </w:tc>
      </w:tr>
      <w:tr>
        <w:trPr>
          <w:cantSplit w:val="true"/>
        </w:trPr>
        <w:tc>
          <w:tcPr>
            <w:tcW w:type="dxa" w:w="3000"/>
            <w:shd w:val="clear" w:color="auto" w:fill="d8d9d8"/>
            <w:tcMar>
              <w:top w:w="60" w:type="dxa"/>
              <w:bottom w:w="60" w:type="dxa"/>
              <w:start w:w="80" w:type="dxa"/>
              <w:end w:w="80" w:type="dxa"/>
            </w:tcMar>
          </w:tcPr>
          <w:p>
            <w:pPr>
              <w:jc w:val="left"/>
            </w:pPr>
            <w:r>
              <w:rPr>
                <w:rFonts w:ascii="Cambria" w:hAnsi="Cambria"/>
                <w:b w:val="0"/>
                <w:i w:val="0"/>
                <w:color w:val="000000"/>
                <w:sz w:val="20"/>
              </w:rPr>
              <w:t>TP53</w:t>
              <w:br/>
              <w:t>p.(R175H)</w:t>
            </w:r>
          </w:p>
        </w:tc>
        <w:tc>
          <w:tcPr>
            <w:tcW w:type="dxa" w:w="3733"/>
            <w:shd w:val="clear" w:color="auto" w:fill="f8f8f8"/>
            <w:tcMar>
              <w:top w:w="60" w:type="dxa"/>
              <w:bottom w:w="60" w:type="dxa"/>
              <w:start w:w="80" w:type="dxa"/>
              <w:end w:w="80" w:type="dxa"/>
            </w:tcMar>
          </w:tcPr>
          <w:p>
            <w:pPr>
              <w:jc w:val="center"/>
            </w:pPr>
            <w:r>
              <w:rPr>
                <w:rFonts w:ascii="Cambria" w:hAnsi="Cambria"/>
                <w:b w:val="0"/>
                <w:i w:val="0"/>
                <w:color w:val="000000"/>
                <w:sz w:val="20"/>
              </w:rPr>
              <w:t>None*</w:t>
            </w:r>
          </w:p>
        </w:tc>
        <w:tc>
          <w:tcPr>
            <w:tcW w:type="dxa" w:w="3733"/>
            <w:shd w:val="clear" w:color="auto" w:fill="f8f8f8"/>
            <w:tcMar>
              <w:top w:w="60" w:type="dxa"/>
              <w:bottom w:w="60" w:type="dxa"/>
              <w:start w:w="80" w:type="dxa"/>
              <w:end w:w="80" w:type="dxa"/>
            </w:tcMar>
          </w:tcPr>
          <w:p>
            <w:pPr>
              <w:jc w:val="right"/>
            </w:pPr>
            <w:r>
              <w:rPr>
                <w:rFonts w:ascii="Cambria" w:hAnsi="Cambria"/>
                <w:b w:val="0"/>
                <w:i w:val="0"/>
                <w:color w:val="000000"/>
                <w:sz w:val="20"/>
              </w:rPr>
              <w:t>None*</w:t>
            </w:r>
          </w:p>
        </w:tc>
      </w:tr>
      <w:tr>
        <w:trPr>
          <w:cantSplit w:val="true"/>
        </w:trPr>
        <w:tc>
          <w:tcPr>
            <w:tcW w:type="dxa" w:w="3000"/>
            <w:shd w:val="clear" w:color="auto" w:fill="d8d9d8"/>
            <w:tcMar>
              <w:top w:w="60" w:type="dxa"/>
              <w:bottom w:w="60" w:type="dxa"/>
              <w:start w:w="80" w:type="dxa"/>
              <w:end w:w="80" w:type="dxa"/>
            </w:tcMar>
          </w:tcPr>
          <w:p>
            <w:pPr>
              <w:jc w:val="left"/>
            </w:pPr>
            <w:r>
              <w:rPr>
                <w:rFonts w:ascii="Cambria" w:hAnsi="Cambria"/>
                <w:b w:val="0"/>
                <w:i w:val="0"/>
                <w:color w:val="000000"/>
                <w:sz w:val="20"/>
              </w:rPr>
              <w:t>APC</w:t>
              <w:br/>
              <w:t>c.1312+3A&gt;G</w:t>
            </w:r>
          </w:p>
        </w:tc>
        <w:tc>
          <w:tcPr>
            <w:tcW w:type="dxa" w:w="3733"/>
            <w:shd w:val="clear" w:color="auto" w:fill="ffffff"/>
            <w:tcMar>
              <w:top w:w="60" w:type="dxa"/>
              <w:bottom w:w="60" w:type="dxa"/>
              <w:start w:w="80" w:type="dxa"/>
              <w:end w:w="80" w:type="dxa"/>
            </w:tcMar>
          </w:tcPr>
          <w:p>
            <w:pPr>
              <w:jc w:val="center"/>
            </w:pPr>
            <w:r>
              <w:rPr>
                <w:rFonts w:ascii="Cambria" w:hAnsi="Cambria"/>
                <w:b w:val="0"/>
                <w:i w:val="0"/>
                <w:color w:val="000000"/>
                <w:sz w:val="20"/>
              </w:rPr>
              <w:t>None*</w:t>
            </w:r>
          </w:p>
        </w:tc>
        <w:tc>
          <w:tcPr>
            <w:tcW w:type="dxa" w:w="3733"/>
            <w:shd w:val="clear" w:color="auto" w:fill="ffffff"/>
            <w:tcMar>
              <w:top w:w="60" w:type="dxa"/>
              <w:bottom w:w="60" w:type="dxa"/>
              <w:start w:w="80" w:type="dxa"/>
              <w:end w:w="80" w:type="dxa"/>
            </w:tcMar>
          </w:tcPr>
          <w:p>
            <w:pPr>
              <w:jc w:val="right"/>
            </w:pPr>
            <w:r>
              <w:rPr>
                <w:rFonts w:ascii="Cambria" w:hAnsi="Cambria"/>
                <w:b w:val="0"/>
                <w:i w:val="0"/>
                <w:color w:val="000000"/>
                <w:sz w:val="20"/>
              </w:rPr>
              <w:t>None*</w:t>
            </w:r>
          </w:p>
        </w:tc>
      </w:tr>
    </w:tbl>
    <w:p>
      <w:pPr>
        <w:spacing w:before="0" w:after="120" w:line="20" w:lineRule="exact"/>
      </w:pPr>
      <w:r>
        <w:rPr>
          <w:sz w:val="2"/>
        </w:rPr>
      </w:r>
    </w:p>
    <w:p>
      <w:pPr>
        <w:keepNext/>
        <w:spacing w:before="262" w:after="80"/>
        <w:jc w:val="left"/>
      </w:pPr>
      <w:r>
        <w:rPr>
          <w:rFonts w:ascii="Cambria" w:hAnsi="Cambria"/>
          <w:b/>
          <w:i w:val="0"/>
          <w:color w:val="1F497D"/>
          <w:sz w:val="24"/>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076"/>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8389"/>
            <w:shd w:val="clear" w:color="auto" w:fill="008080"/>
            <w:tcMar>
              <w:top w:w="60" w:type="dxa"/>
              <w:bottom w:w="60" w:type="dxa"/>
              <w:start w:w="80" w:type="dxa"/>
              <w:end w:w="80" w:type="dxa"/>
            </w:tcMar>
          </w:tcPr>
          <w:p>
            <w:pPr>
              <w:jc w:val="center"/>
            </w:pPr>
            <w:r>
              <w:rPr>
                <w:rFonts w:ascii="Cambria" w:hAnsi="Cambria"/>
                <w:b/>
                <w:color w:val="FFFFFF"/>
                <w:sz w:val="20"/>
              </w:rPr>
              <w:t>Biomarker Description</w:t>
            </w:r>
          </w:p>
        </w:tc>
      </w:tr>
      <w:tr>
        <w:trPr>
          <w:cantSplit w:val="true"/>
        </w:trPr>
        <w:tc>
          <w:tcPr>
            <w:tcW w:type="dxa" w:w="2076"/>
            <w:shd w:val="clear" w:color="auto" w:fill="d8d9d8"/>
            <w:tcMar>
              <w:top w:w="60" w:type="dxa"/>
              <w:bottom w:w="60" w:type="dxa"/>
              <w:start w:w="80" w:type="dxa"/>
              <w:end w:w="80" w:type="dxa"/>
            </w:tcMar>
          </w:tcPr>
          <w:p>
            <w:pPr>
              <w:jc w:val="left"/>
            </w:pPr>
            <w:r>
              <w:rPr>
                <w:rFonts w:ascii="Cambria" w:hAnsi="Cambria"/>
                <w:b w:val="0"/>
                <w:i w:val="0"/>
                <w:color w:val="000000"/>
                <w:sz w:val="20"/>
              </w:rPr>
              <w:t>APC</w:t>
              <w:br/>
              <w:t>NM 000038.6</w:t>
              <w:br/>
              <w:t>_</w:t>
              <w:br/>
              <w:t>chr5:112155044</w:t>
              <w:br/>
              <w:t>c.1312+3A&gt;G</w:t>
              <w:br/>
              <w:t>(Splice Site</w:t>
              <w:br/>
              <w:t>Mutation)</w:t>
            </w:r>
          </w:p>
        </w:tc>
        <w:tc>
          <w:tcPr>
            <w:tcW w:type="dxa" w:w="8389"/>
            <w:shd w:val="clear" w:color="auto" w:fill="f8f8f8"/>
            <w:tcMar>
              <w:top w:w="60" w:type="dxa"/>
              <w:bottom w:w="60" w:type="dxa"/>
              <w:start w:w="80" w:type="dxa"/>
              <w:end w:w="80" w:type="dxa"/>
            </w:tcMar>
          </w:tcPr>
          <w:p>
            <w:pPr>
              <w:jc w:val="left"/>
            </w:pPr>
            <w:r>
              <w:rPr>
                <w:rFonts w:ascii="Cambria" w:hAnsi="Cambria"/>
                <w:b w:val="0"/>
                <w:i w:val="0"/>
                <w:color w:val="000000"/>
                <w:sz w:val="20"/>
              </w:rPr>
              <w:t>The APC gene encodes the adenomatous polyposis coli tumor suppressor protein that plays a</w:t>
              <w:br/>
              <w:t>crucial role in regulating the Î²-catenin/WNT signaling pathway which is involved in cell migration,</w:t>
              <w:br/>
              <w:t>adhesion, proliferation, and differentiation[30]. APC is an antagonist of WNT signaling as it targets</w:t>
              <w:br/>
              <w:t>Î²-catenin for proteasomal degradation[31,32]. Germline mutations in APC are predominantly</w:t>
              <w:br/>
              <w:t>inactivating and result in an autosomal dominant predisposition for familial adenomatous polyposis</w:t>
              <w:br/>
              <w:t>(FAP) which is characterized by numerous polyps in the intestine[30,33]. Acquiring a somatic</w:t>
              <w:br/>
              <w:t>mutation in APC is considered to be an early and possibly initiating event in colorectal cancer[34].</w:t>
              <w:br/>
              <w:t>Alterations and prevalence Somatic mutations in APC are observed in up to 65% of colorectal</w:t>
              <w:br/>
              <w:t>cancer, and in up to 15% of stomach adenocarcinoma and uterine corpus endometrial</w:t>
              <w:br/>
              <w:t>carcinoma[6,7,35]. In colorectal cancer, ~60% of somatic APC mutations have been reported to</w:t>
            </w:r>
          </w:p>
        </w:tc>
      </w:tr>
    </w:tbl>
    <w:p>
      <w:pPr>
        <w:spacing w:before="0" w:after="120" w:line="20" w:lineRule="exact"/>
      </w:pPr>
      <w:r>
        <w:rPr>
          <w:sz w:val="2"/>
        </w:rPr>
      </w:r>
    </w:p>
    <w:p>
      <w:pPr>
        <w:spacing w:before="219"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346"/>
            <w:shd w:val="clear" w:color="auto" w:fill="d8d9d8"/>
            <w:tcMar>
              <w:top w:w="60" w:type="dxa"/>
              <w:bottom w:w="60" w:type="dxa"/>
              <w:start w:w="80" w:type="dxa"/>
              <w:end w:w="80" w:type="dxa"/>
            </w:tcMar>
          </w:tcPr>
          <w:p>
            <w:pPr>
              <w:jc w:val="center"/>
            </w:pPr>
            <w:r>
              <w:rPr>
                <w:rFonts w:ascii="Times New Roman" w:hAnsi="Times New Roman"/>
                <w:b/>
                <w:color w:val="FFFFFF"/>
                <w:sz w:val="19"/>
              </w:rPr>
              <w:t>Variant</w:t>
            </w:r>
          </w:p>
        </w:tc>
        <w:tc>
          <w:tcPr>
            <w:tcW w:type="dxa" w:w="9120"/>
            <w:shd w:val="clear" w:color="auto" w:fill="f8f8f8"/>
            <w:tcMar>
              <w:top w:w="60" w:type="dxa"/>
              <w:bottom w:w="60" w:type="dxa"/>
              <w:start w:w="80" w:type="dxa"/>
              <w:end w:w="80" w:type="dxa"/>
            </w:tcMar>
          </w:tcPr>
          <w:p>
            <w:pPr>
              <w:jc w:val="center"/>
            </w:pPr>
            <w:r>
              <w:rPr>
                <w:rFonts w:ascii="Cambria" w:hAnsi="Cambria"/>
                <w:b w:val="0"/>
                <w:color w:val="000000"/>
                <w:sz w:val="20"/>
              </w:rPr>
              <w:t>Biomarker Description</w:t>
            </w:r>
          </w:p>
        </w:tc>
      </w:tr>
      <w:tr>
        <w:trPr>
          <w:cantSplit w:val="true"/>
        </w:trPr>
        <w:tc>
          <w:tcPr>
            <w:tcW w:type="dxa" w:w="1346"/>
            <w:shd w:val="clear" w:color="auto" w:fill="d8d9d8"/>
            <w:tcMar>
              <w:top w:w="60" w:type="dxa"/>
              <w:bottom w:w="60" w:type="dxa"/>
              <w:start w:w="80" w:type="dxa"/>
              <w:end w:w="80" w:type="dxa"/>
            </w:tcMar>
          </w:tcPr>
          <w:p>
            <w:pPr>
              <w:jc w:val="left"/>
            </w:pPr>
            <w:r>
              <w:rPr>
                <w:rFonts w:ascii="Cambria" w:hAnsi="Cambria"/>
                <w:b w:val="0"/>
                <w:i w:val="0"/>
                <w:color w:val="000000"/>
                <w:sz w:val="20"/>
              </w:rPr>
            </w:r>
          </w:p>
        </w:tc>
        <w:tc>
          <w:tcPr>
            <w:tcW w:type="dxa" w:w="9120"/>
            <w:shd w:val="clear" w:color="auto" w:fill="ffffff"/>
            <w:tcMar>
              <w:top w:w="60" w:type="dxa"/>
              <w:bottom w:w="60" w:type="dxa"/>
              <w:start w:w="80" w:type="dxa"/>
              <w:end w:w="80" w:type="dxa"/>
            </w:tcMar>
          </w:tcPr>
          <w:p>
            <w:pPr>
              <w:jc w:val="left"/>
            </w:pPr>
            <w:r>
              <w:rPr>
                <w:rFonts w:ascii="Cambria" w:hAnsi="Cambria"/>
                <w:b w:val="0"/>
                <w:i w:val="0"/>
                <w:color w:val="000000"/>
                <w:sz w:val="20"/>
              </w:rPr>
              <w:t>occur in a mutation cluster region (MCR) resulting in C-terminal protein truncation and APC</w:t>
              <w:br/>
              <w:t>inactivation[36,37].</w:t>
              <w:br/>
              <w:t>Potential relevance Currently, no therapies are approved for APC aberrations.</w:t>
            </w:r>
          </w:p>
        </w:tc>
      </w:tr>
      <w:tr>
        <w:trPr>
          <w:cantSplit w:val="true"/>
        </w:trPr>
        <w:tc>
          <w:tcPr>
            <w:tcW w:type="dxa" w:w="13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TP53</w:t>
              <w:br/>
              <w:t>NM 000546.6</w:t>
              <w:br/>
              <w:t>_</w:t>
              <w:br/>
              <w:t>chr17:7578406</w:t>
              <w:br/>
              <w:t>c.524G&gt;A</w:t>
              <w:br/>
              <w:t>p.(R175H)</w:t>
            </w:r>
          </w:p>
        </w:tc>
        <w:tc>
          <w:tcPr>
            <w:tcW w:type="dxa" w:w="912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The TP53 gene encodes the tumor suppressor protein p53, which binds to DNA and activates</w:t>
              <w:br/>
              <w:t>transcription in response to diverse cellular stresses to induce cell cycle arrest, apoptosis, or DNA</w:t>
              <w:br/>
              <w:t>repair[1]. In unstressed cells, TP53 is kept inactive by targeted degradation via MDM2, a substrate</w:t>
              <w:br/>
              <w:t>recognition factor for ubiquitin-dependent proteolysis[2]. Alterations in TP53 are required for</w:t>
              <w:br/>
              <w:t>oncogenesis as they result in loss of protein function and gain of transforming potential[3].</w:t>
              <w:br/>
              <w:t>Germline mutations in TP53 are the underlying cause of Li-Fraumeni syndrome, a complex</w:t>
              <w:br/>
              <w:t>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 two-</w:t>
              <w:br/>
              <w:t>thirds of TP53 mutations are missense mutations and several recurrent missense mutations are</w:t>
              <w:br/>
              <w:t>common, including substitutions at codons R158, R175, Y220, R248, R273, and R282[6,7].</w:t>
              <w:br/>
              <w:t>Invariably, recurrent missense mutations in TP53 inactivate its ability to bind DNA and activate</w:t>
              <w:br/>
              <w:t>transcription of target genes[12,13,14,15]. Alterations in TP53 are also observed in pediatric</w:t>
              <w:br/>
              <w:t>cancers[6,7]. Somatic mutations are observed in 53% of non-Hodgkin lymphoma, 24% of soft tissue</w:t>
              <w:br/>
              <w:t>sarcoma, 19% of glioma, 13% of bone cancer, 9% of B-lymphoblastic leukemia/lymphoma, 4% of</w:t>
              <w:br/>
              <w:t>embryonal tumors, 3% of Wilms tumor and leukemia, 2% of T-lymphoblastic leukemia/lymphoma,</w:t>
              <w:br/>
              <w:t>and less than 1% of peripheral nervous system cancers (5 in 1158 cases )[6,7]. Biallelic loss of TP53</w:t>
              <w:br/>
              <w:t>is observed in 10% of bone cancer, 2% of Wilms tumor, and less than 1% of B-lymphoblastic</w:t>
              <w:br/>
              <w:t>leukemia/lymphoma (2 in 731 cases) and leukemia (1 in 250 cases)[6,7].</w:t>
              <w:br/>
              <w:t>The small molecule p53 reactivator, PC14586[16] (2020), received a fast track designation by the</w:t>
              <w:br/>
              <w:t>FDA for advanced tumors harboring a TP53 Y220C mutation. The FDA has granted fast track</w:t>
              <w:br/>
              <w:t>designation to the p53 reactivator, eprenetapopt[17], (2019) and breakthrough designation[18]</w:t>
              <w:br/>
              <w:t>(2020) in combination with azacitidine or azacitidine and venetoclax for acute myeloid leukemia</w:t>
              <w:br/>
              <w:t>patients (AML) and myelodysplastic syndrome (MDS) harboring a TP53 mutation, respectively. In</w:t>
              <w:br/>
              <w:t>addition to investigational therapies aimed at restoring wild-type TP53 activity, compounds that</w:t>
              <w:br/>
              <w:t>induce synthetic lethality are also under clinical evaluation[19,20]. TP53 mutation are a diagnostic</w:t>
              <w:br/>
              <w:t>marker of SHH-activated, TP53-mutant medulloblastoma[21]. TP53 mutations confer poor</w:t>
              <w:br/>
              <w:t>prognosis and poor risk in multiple blood cancers including AML, MDS, myeloproliferative</w:t>
              <w:br/>
              <w:t>neoplasms (MPN), and chronic lymphocytic leukemia (CLL), and acute lymphoblastic leukemia</w:t>
              <w:br/>
              <w:t>(ALL)[22,23,24,25,26,27]. In mantle cell lymphoma, TP53 mutations are associated with poor</w:t>
              <w:br/>
              <w:t>prognosis when treated with conventional therapy including hematopoietic cell transplant[28].</w:t>
              <w:br/>
              <w:t>Mono- and bi-allelic mutations in TP53 confer unique characteristics in MDS, with multi-hit patients</w:t>
              <w:br/>
              <w:t>also experiencing associations with complex karyotype, few co-occurring mutations, and high-risk</w:t>
              <w:br/>
              <w:t>disease presentation as well as predicted death and leukemic transformation independent of the</w:t>
              <w:br/>
              <w:t>IPSS-R staging system[29].</w:t>
            </w:r>
          </w:p>
        </w:tc>
      </w:tr>
    </w:tbl>
    <w:p>
      <w:pPr>
        <w:spacing w:before="0" w:after="12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keepNext/>
        <w:spacing w:before="360" w:after="80"/>
        <w:jc w:val="left"/>
      </w:pPr>
      <w:r>
        <w:rPr>
          <w:rFonts w:ascii="Cambria" w:hAnsi="Cambria"/>
          <w:b/>
          <w:i w:val="0"/>
          <w:color w:val="1F497D"/>
          <w:sz w:val="24"/>
        </w:rPr>
        <w:t>Therapy &amp; Clinical Trials:</w:t>
      </w:r>
    </w:p>
    <w:p>
      <w:pPr>
        <w:keepNext/>
        <w:spacing w:before="360" w:after="60"/>
        <w:jc w:val="left"/>
      </w:pPr>
      <w:r>
        <w:rPr>
          <w:rFonts w:ascii="Cambria" w:hAnsi="Cambria"/>
          <w:b/>
          <w:i w:val="0"/>
          <w:color w:val="1F497D"/>
          <w:sz w:val="20"/>
        </w:rPr>
        <w:t>TP53 p.(R175H) c.524G&gt;A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569"/>
            <w:shd w:val="clear" w:color="auto" w:fill="008080"/>
            <w:tcMar>
              <w:top w:w="60" w:type="dxa"/>
              <w:bottom w:w="60" w:type="dxa"/>
              <w:start w:w="80" w:type="dxa"/>
              <w:end w:w="80" w:type="dxa"/>
            </w:tcMar>
          </w:tcPr>
          <w:p>
            <w:pPr>
              <w:jc w:val="center"/>
            </w:pPr>
            <w:r>
              <w:rPr>
                <w:rFonts w:ascii="Cambria" w:hAnsi="Cambria"/>
                <w:b/>
                <w:color w:val="FFFFFF"/>
                <w:sz w:val="20"/>
              </w:rPr>
              <w:t>Therapy</w:t>
            </w:r>
          </w:p>
        </w:tc>
        <w:tc>
          <w:tcPr>
            <w:tcW w:type="dxa" w:w="1295"/>
            <w:shd w:val="clear" w:color="auto" w:fill="008080"/>
            <w:tcMar>
              <w:top w:w="60" w:type="dxa"/>
              <w:bottom w:w="60" w:type="dxa"/>
              <w:start w:w="80" w:type="dxa"/>
              <w:end w:w="80" w:type="dxa"/>
            </w:tcMar>
          </w:tcPr>
          <w:p>
            <w:pPr>
              <w:jc w:val="center"/>
            </w:pPr>
            <w:r>
              <w:rPr>
                <w:rFonts w:ascii="Cambria" w:hAnsi="Cambria"/>
                <w:b/>
                <w:color w:val="FFFFFF"/>
                <w:sz w:val="20"/>
              </w:rPr>
              <w:t>FDA</w:t>
            </w:r>
          </w:p>
        </w:tc>
        <w:tc>
          <w:tcPr>
            <w:tcW w:type="dxa" w:w="1383"/>
            <w:shd w:val="clear" w:color="auto" w:fill="008080"/>
            <w:tcMar>
              <w:top w:w="60" w:type="dxa"/>
              <w:bottom w:w="60" w:type="dxa"/>
              <w:start w:w="80" w:type="dxa"/>
              <w:end w:w="80" w:type="dxa"/>
            </w:tcMar>
          </w:tcPr>
          <w:p>
            <w:pPr>
              <w:jc w:val="center"/>
            </w:pPr>
            <w:r>
              <w:rPr>
                <w:rFonts w:ascii="Cambria" w:hAnsi="Cambria"/>
                <w:b/>
                <w:color w:val="FFFFFF"/>
                <w:sz w:val="20"/>
              </w:rPr>
              <w:t>NCCN</w:t>
            </w:r>
          </w:p>
        </w:tc>
        <w:tc>
          <w:tcPr>
            <w:tcW w:type="dxa" w:w="1295"/>
            <w:shd w:val="clear" w:color="auto" w:fill="008080"/>
            <w:tcMar>
              <w:top w:w="60" w:type="dxa"/>
              <w:bottom w:w="60" w:type="dxa"/>
              <w:start w:w="80" w:type="dxa"/>
              <w:end w:w="80" w:type="dxa"/>
            </w:tcMar>
          </w:tcPr>
          <w:p>
            <w:pPr>
              <w:jc w:val="center"/>
            </w:pPr>
            <w:r>
              <w:rPr>
                <w:rFonts w:ascii="Cambria" w:hAnsi="Cambria"/>
                <w:b/>
                <w:color w:val="FFFFFF"/>
                <w:sz w:val="20"/>
              </w:rPr>
              <w:t>EMA</w:t>
            </w:r>
          </w:p>
        </w:tc>
        <w:tc>
          <w:tcPr>
            <w:tcW w:type="dxa" w:w="1383"/>
            <w:shd w:val="clear" w:color="auto" w:fill="008080"/>
            <w:tcMar>
              <w:top w:w="60" w:type="dxa"/>
              <w:bottom w:w="60" w:type="dxa"/>
              <w:start w:w="80" w:type="dxa"/>
              <w:end w:w="80" w:type="dxa"/>
            </w:tcMar>
          </w:tcPr>
          <w:p>
            <w:pPr>
              <w:jc w:val="center"/>
            </w:pPr>
            <w:r>
              <w:rPr>
                <w:rFonts w:ascii="Cambria" w:hAnsi="Cambria"/>
                <w:b/>
                <w:color w:val="FFFFFF"/>
                <w:sz w:val="20"/>
              </w:rPr>
              <w:t>ESMO</w:t>
            </w:r>
          </w:p>
        </w:tc>
        <w:tc>
          <w:tcPr>
            <w:tcW w:type="dxa" w:w="1541"/>
            <w:shd w:val="clear" w:color="auto" w:fill="008080"/>
            <w:tcMar>
              <w:top w:w="60" w:type="dxa"/>
              <w:bottom w:w="60" w:type="dxa"/>
              <w:start w:w="80" w:type="dxa"/>
              <w:end w:w="80" w:type="dxa"/>
            </w:tcMar>
          </w:tcPr>
          <w:p>
            <w:pPr>
              <w:jc w:val="center"/>
            </w:pPr>
            <w:r>
              <w:rPr>
                <w:rFonts w:ascii="Cambria" w:hAnsi="Cambria"/>
                <w:b/>
                <w:color w:val="FFFFFF"/>
                <w:sz w:val="20"/>
              </w:rPr>
              <w:t>Trials</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atezolizumab</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azenosertib</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niraparib</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ART-6043, olaparib, niraparib</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ATRN-119</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niraparib, GSK-101</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VB-15010</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CLSP-1025</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GenSci-122</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GH-2616</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HRS-1167</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HS-10502</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NT-175, chemotherapy, aldesleukin</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SC0245</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SIM-0501</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talazoparib, palbociclib, axitinib, crizotinib</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8f8f8"/>
            <w:tcMar>
              <w:top w:w="60" w:type="dxa"/>
              <w:bottom w:w="60" w:type="dxa"/>
              <w:start w:w="80" w:type="dxa"/>
              <w:end w:w="80" w:type="dxa"/>
            </w:tcMar>
          </w:tcPr>
          <w:p>
            <w:pPr>
              <w:jc w:val="left"/>
            </w:pPr>
            <w:r>
              <w:rPr>
                <w:rFonts w:ascii="Cambria" w:hAnsi="Cambria"/>
                <w:b w:val="0"/>
                <w:i w:val="0"/>
                <w:color w:val="000000"/>
                <w:sz w:val="20"/>
              </w:rPr>
              <w:t>TP53-EphA-2-CAR-DC, anti-PD-1</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569"/>
            <w:shd w:val="clear" w:color="auto" w:fill="ffffff"/>
            <w:tcMar>
              <w:top w:w="60" w:type="dxa"/>
              <w:bottom w:w="60" w:type="dxa"/>
              <w:start w:w="80" w:type="dxa"/>
              <w:end w:w="80" w:type="dxa"/>
            </w:tcMar>
          </w:tcPr>
          <w:p>
            <w:pPr>
              <w:jc w:val="left"/>
            </w:pPr>
            <w:r>
              <w:rPr>
                <w:rFonts w:ascii="Cambria" w:hAnsi="Cambria"/>
                <w:b w:val="0"/>
                <w:i w:val="0"/>
                <w:color w:val="000000"/>
                <w:sz w:val="20"/>
              </w:rPr>
              <w:t>XL-309, olaparib</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9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8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4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bl>
    <w:p>
      <w:pPr>
        <w:spacing w:before="0" w:after="120" w:line="20" w:lineRule="exact"/>
      </w:pPr>
      <w:r>
        <w:rPr>
          <w:sz w:val="2"/>
        </w:rPr>
      </w:r>
    </w:p>
    <w:p>
      <w:pPr>
        <w:spacing w:before="327"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728" w:right="720" w:bottom="800" w:left="720" w:header="720" w:footer="720" w:gutter="0"/>
          <w:cols w:space="720"/>
          <w:docGrid w:linePitch="360"/>
        </w:sectPr>
      </w:pPr>
    </w:p>
    <w:p>
      <w:pPr>
        <w:keepNext/>
        <w:spacing w:before="360" w:after="60"/>
        <w:jc w:val="left"/>
      </w:pPr>
      <w:r>
        <w:rPr>
          <w:rFonts w:ascii="Cambria" w:hAnsi="Cambria"/>
          <w:b/>
          <w:i w:val="0"/>
          <w:color w:val="1F497D"/>
          <w:sz w:val="20"/>
        </w:rPr>
        <w:t>APC c.1312+3A&gt;G</w:t>
      </w:r>
    </w:p>
    <w:p>
      <w:pPr>
        <w:spacing w:before="0" w:after="9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435"/>
            <w:shd w:val="clear" w:color="auto" w:fill="008080"/>
            <w:tcMar>
              <w:top w:w="60" w:type="dxa"/>
              <w:bottom w:w="60" w:type="dxa"/>
              <w:start w:w="80" w:type="dxa"/>
              <w:end w:w="80" w:type="dxa"/>
            </w:tcMar>
          </w:tcPr>
          <w:p>
            <w:pPr>
              <w:jc w:val="center"/>
            </w:pPr>
            <w:r>
              <w:rPr>
                <w:rFonts w:ascii="Cambria" w:hAnsi="Cambria"/>
                <w:b/>
                <w:color w:val="FFFFFF"/>
                <w:sz w:val="20"/>
              </w:rPr>
              <w:t>Therapy</w:t>
            </w:r>
          </w:p>
        </w:tc>
        <w:tc>
          <w:tcPr>
            <w:tcW w:type="dxa" w:w="1482"/>
            <w:shd w:val="clear" w:color="auto" w:fill="008080"/>
            <w:tcMar>
              <w:top w:w="60" w:type="dxa"/>
              <w:bottom w:w="60" w:type="dxa"/>
              <w:start w:w="80" w:type="dxa"/>
              <w:end w:w="80" w:type="dxa"/>
            </w:tcMar>
          </w:tcPr>
          <w:p>
            <w:pPr>
              <w:jc w:val="center"/>
            </w:pPr>
            <w:r>
              <w:rPr>
                <w:rFonts w:ascii="Cambria" w:hAnsi="Cambria"/>
                <w:b/>
                <w:color w:val="FFFFFF"/>
                <w:sz w:val="20"/>
              </w:rPr>
              <w:t>FDA</w:t>
            </w:r>
          </w:p>
        </w:tc>
        <w:tc>
          <w:tcPr>
            <w:tcW w:type="dxa" w:w="1611"/>
            <w:shd w:val="clear" w:color="auto" w:fill="008080"/>
            <w:tcMar>
              <w:top w:w="60" w:type="dxa"/>
              <w:bottom w:w="60" w:type="dxa"/>
              <w:start w:w="80" w:type="dxa"/>
              <w:end w:w="80" w:type="dxa"/>
            </w:tcMar>
          </w:tcPr>
          <w:p>
            <w:pPr>
              <w:jc w:val="center"/>
            </w:pPr>
            <w:r>
              <w:rPr>
                <w:rFonts w:ascii="Cambria" w:hAnsi="Cambria"/>
                <w:b/>
                <w:color w:val="FFFFFF"/>
                <w:sz w:val="20"/>
              </w:rPr>
              <w:t>NCCN</w:t>
            </w:r>
          </w:p>
        </w:tc>
        <w:tc>
          <w:tcPr>
            <w:tcW w:type="dxa" w:w="1482"/>
            <w:shd w:val="clear" w:color="auto" w:fill="008080"/>
            <w:tcMar>
              <w:top w:w="60" w:type="dxa"/>
              <w:bottom w:w="60" w:type="dxa"/>
              <w:start w:w="80" w:type="dxa"/>
              <w:end w:w="80" w:type="dxa"/>
            </w:tcMar>
          </w:tcPr>
          <w:p>
            <w:pPr>
              <w:jc w:val="center"/>
            </w:pPr>
            <w:r>
              <w:rPr>
                <w:rFonts w:ascii="Cambria" w:hAnsi="Cambria"/>
                <w:b/>
                <w:color w:val="FFFFFF"/>
                <w:sz w:val="20"/>
              </w:rPr>
              <w:t>EMA</w:t>
            </w:r>
          </w:p>
        </w:tc>
        <w:tc>
          <w:tcPr>
            <w:tcW w:type="dxa" w:w="1611"/>
            <w:shd w:val="clear" w:color="auto" w:fill="008080"/>
            <w:tcMar>
              <w:top w:w="60" w:type="dxa"/>
              <w:bottom w:w="60" w:type="dxa"/>
              <w:start w:w="80" w:type="dxa"/>
              <w:end w:w="80" w:type="dxa"/>
            </w:tcMar>
          </w:tcPr>
          <w:p>
            <w:pPr>
              <w:jc w:val="center"/>
            </w:pPr>
            <w:r>
              <w:rPr>
                <w:rFonts w:ascii="Cambria" w:hAnsi="Cambria"/>
                <w:b/>
                <w:color w:val="FFFFFF"/>
                <w:sz w:val="20"/>
              </w:rPr>
              <w:t>ESMO</w:t>
            </w:r>
          </w:p>
        </w:tc>
        <w:tc>
          <w:tcPr>
            <w:tcW w:type="dxa" w:w="1845"/>
            <w:shd w:val="clear" w:color="auto" w:fill="008080"/>
            <w:tcMar>
              <w:top w:w="60" w:type="dxa"/>
              <w:bottom w:w="60" w:type="dxa"/>
              <w:start w:w="80" w:type="dxa"/>
              <w:end w:w="80" w:type="dxa"/>
            </w:tcMar>
          </w:tcPr>
          <w:p>
            <w:pPr>
              <w:jc w:val="center"/>
            </w:pPr>
            <w:r>
              <w:rPr>
                <w:rFonts w:ascii="Cambria" w:hAnsi="Cambria"/>
                <w:b/>
                <w:color w:val="FFFFFF"/>
                <w:sz w:val="20"/>
              </w:rPr>
              <w:t>Trials</w:t>
            </w:r>
          </w:p>
        </w:tc>
      </w:tr>
      <w:tr>
        <w:trPr>
          <w:cantSplit w:val="true"/>
        </w:trPr>
        <w:tc>
          <w:tcPr>
            <w:tcW w:type="dxa" w:w="2435"/>
            <w:shd w:val="clear" w:color="auto" w:fill="f8f8f8"/>
            <w:tcMar>
              <w:top w:w="60" w:type="dxa"/>
              <w:bottom w:w="60" w:type="dxa"/>
              <w:start w:w="80" w:type="dxa"/>
              <w:end w:w="80" w:type="dxa"/>
            </w:tcMar>
          </w:tcPr>
          <w:p>
            <w:pPr>
              <w:jc w:val="left"/>
            </w:pPr>
            <w:r>
              <w:rPr>
                <w:rFonts w:ascii="Cambria" w:hAnsi="Cambria"/>
                <w:b w:val="0"/>
                <w:i w:val="0"/>
                <w:color w:val="000000"/>
                <w:sz w:val="20"/>
              </w:rPr>
              <w:t>Therapy</w:t>
            </w:r>
          </w:p>
        </w:tc>
        <w:tc>
          <w:tcPr>
            <w:tcW w:type="dxa" w:w="1482"/>
            <w:shd w:val="clear" w:color="auto" w:fill="f8f8f8"/>
            <w:tcMar>
              <w:top w:w="60" w:type="dxa"/>
              <w:bottom w:w="60" w:type="dxa"/>
              <w:start w:w="80" w:type="dxa"/>
              <w:end w:w="80" w:type="dxa"/>
            </w:tcMar>
          </w:tcPr>
          <w:p>
            <w:pPr>
              <w:jc w:val="left"/>
            </w:pPr>
            <w:r>
              <w:rPr>
                <w:rFonts w:ascii="Cambria" w:hAnsi="Cambria"/>
                <w:b w:val="0"/>
                <w:i w:val="0"/>
                <w:color w:val="808080"/>
                <w:sz w:val="24"/>
              </w:rPr>
              <w:t>FDA</w:t>
            </w:r>
          </w:p>
        </w:tc>
        <w:tc>
          <w:tcPr>
            <w:tcW w:type="dxa" w:w="1611"/>
            <w:shd w:val="clear" w:color="auto" w:fill="f8f8f8"/>
            <w:tcMar>
              <w:top w:w="60" w:type="dxa"/>
              <w:bottom w:w="60" w:type="dxa"/>
              <w:start w:w="80" w:type="dxa"/>
              <w:end w:w="80" w:type="dxa"/>
            </w:tcMar>
          </w:tcPr>
          <w:p>
            <w:pPr>
              <w:jc w:val="left"/>
            </w:pPr>
            <w:r>
              <w:rPr>
                <w:rFonts w:ascii="Cambria" w:hAnsi="Cambria"/>
                <w:b w:val="0"/>
                <w:i w:val="0"/>
                <w:color w:val="808080"/>
                <w:sz w:val="24"/>
              </w:rPr>
              <w:t>NCCN</w:t>
            </w:r>
          </w:p>
        </w:tc>
        <w:tc>
          <w:tcPr>
            <w:tcW w:type="dxa" w:w="1482"/>
            <w:shd w:val="clear" w:color="auto" w:fill="f8f8f8"/>
            <w:tcMar>
              <w:top w:w="60" w:type="dxa"/>
              <w:bottom w:w="60" w:type="dxa"/>
              <w:start w:w="80" w:type="dxa"/>
              <w:end w:w="80" w:type="dxa"/>
            </w:tcMar>
          </w:tcPr>
          <w:p>
            <w:pPr>
              <w:jc w:val="left"/>
            </w:pPr>
            <w:r>
              <w:rPr>
                <w:rFonts w:ascii="Cambria" w:hAnsi="Cambria"/>
                <w:b w:val="0"/>
                <w:i w:val="0"/>
                <w:color w:val="808080"/>
                <w:sz w:val="24"/>
              </w:rPr>
              <w:t>EMA</w:t>
            </w:r>
          </w:p>
        </w:tc>
        <w:tc>
          <w:tcPr>
            <w:tcW w:type="dxa" w:w="1611"/>
            <w:shd w:val="clear" w:color="auto" w:fill="f8f8f8"/>
            <w:tcMar>
              <w:top w:w="60" w:type="dxa"/>
              <w:bottom w:w="60" w:type="dxa"/>
              <w:start w:w="80" w:type="dxa"/>
              <w:end w:w="80" w:type="dxa"/>
            </w:tcMar>
          </w:tcPr>
          <w:p>
            <w:pPr>
              <w:jc w:val="left"/>
            </w:pPr>
            <w:r>
              <w:rPr>
                <w:rFonts w:ascii="Cambria" w:hAnsi="Cambria"/>
                <w:b w:val="0"/>
                <w:i w:val="0"/>
                <w:color w:val="808080"/>
                <w:sz w:val="24"/>
              </w:rPr>
              <w:t>ESMO</w:t>
            </w:r>
          </w:p>
        </w:tc>
        <w:tc>
          <w:tcPr>
            <w:tcW w:type="dxa" w:w="1845"/>
            <w:shd w:val="clear" w:color="auto" w:fill="f8f8f8"/>
            <w:tcMar>
              <w:top w:w="60" w:type="dxa"/>
              <w:bottom w:w="60" w:type="dxa"/>
              <w:start w:w="80" w:type="dxa"/>
              <w:end w:w="80" w:type="dxa"/>
            </w:tcMar>
          </w:tcPr>
          <w:p>
            <w:pPr>
              <w:jc w:val="right"/>
            </w:pPr>
            <w:r>
              <w:rPr>
                <w:rFonts w:ascii="Cambria" w:hAnsi="Cambria"/>
                <w:b w:val="0"/>
                <w:i w:val="0"/>
                <w:color w:val="000000"/>
                <w:sz w:val="20"/>
              </w:rPr>
              <w:t>Trials</w:t>
            </w:r>
          </w:p>
        </w:tc>
      </w:tr>
      <w:tr>
        <w:trPr>
          <w:cantSplit w:val="true"/>
        </w:trPr>
        <w:tc>
          <w:tcPr>
            <w:tcW w:type="dxa" w:w="2435"/>
            <w:shd w:val="clear" w:color="auto" w:fill="ffffff"/>
            <w:tcMar>
              <w:top w:w="60" w:type="dxa"/>
              <w:bottom w:w="60" w:type="dxa"/>
              <w:start w:w="80" w:type="dxa"/>
              <w:end w:w="80" w:type="dxa"/>
            </w:tcMar>
          </w:tcPr>
          <w:p>
            <w:pPr>
              <w:jc w:val="left"/>
            </w:pPr>
            <w:r>
              <w:rPr>
                <w:rFonts w:ascii="Cambria" w:hAnsi="Cambria"/>
                <w:b w:val="0"/>
                <w:i w:val="0"/>
                <w:color w:val="000000"/>
                <w:sz w:val="20"/>
              </w:rPr>
              <w:t>ST-316</w:t>
            </w:r>
          </w:p>
        </w:tc>
        <w:tc>
          <w:tcPr>
            <w:tcW w:type="dxa" w:w="1482"/>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611"/>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82"/>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611"/>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845"/>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435"/>
            <w:tcMar>
              <w:top w:w="60" w:type="dxa"/>
              <w:bottom w:w="60" w:type="dxa"/>
              <w:start w:w="80" w:type="dxa"/>
              <w:end w:w="80" w:type="dxa"/>
            </w:tcMar>
          </w:tcPr>
          <w:p>
            <w:pPr>
              <w:jc w:val="left"/>
            </w:pPr>
            <w:r>
              <w:rPr>
                <w:rFonts w:ascii="Times New Roman" w:hAnsi="Times New Roman"/>
                <w:b w:val="0"/>
                <w:i w:val="0"/>
                <w:color w:val="000000"/>
                <w:sz w:val="19"/>
              </w:rPr>
              <w:t>tegatrabetan</w:t>
            </w:r>
          </w:p>
        </w:tc>
        <w:tc>
          <w:tcPr>
            <w:tcW w:type="dxa" w:w="1482"/>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611"/>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82"/>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611"/>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845"/>
            <w:tcMar>
              <w:top w:w="60" w:type="dxa"/>
              <w:bottom w:w="60" w:type="dxa"/>
              <w:start w:w="80" w:type="dxa"/>
              <w:end w:w="80" w:type="dxa"/>
            </w:tcMar>
          </w:tcPr>
          <w:p>
            <w:pPr>
              <w:jc w:val="left"/>
            </w:pPr>
            <w:r>
              <w:rPr>
                <w:rFonts w:ascii="Times New Roman" w:hAnsi="Times New Roman"/>
                <w:b w:val="0"/>
                <w:i w:val="0"/>
                <w:color w:val="000000"/>
                <w:sz w:val="19"/>
              </w:rPr>
              <w:t>I/II</w:t>
            </w:r>
          </w:p>
        </w:tc>
      </w:tr>
    </w:tbl>
    <w:p>
      <w:pPr>
        <w:spacing w:before="0" w:after="120" w:line="20" w:lineRule="exact"/>
      </w:pPr>
      <w:r>
        <w:rPr>
          <w:sz w:val="2"/>
        </w:rPr>
      </w:r>
    </w:p>
    <w:p>
      <w:pPr>
        <w:spacing w:before="0" w:after="6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Note</w:t>
            </w:r>
          </w:p>
        </w:tc>
        <w:tc>
          <w:tcPr>
            <w:tcW w:type="dxa" w:w="3168"/>
            <w:tcMar>
              <w:top w:w="20" w:type="dxa"/>
              <w:bottom w:w="20" w:type="dxa"/>
              <w:start w:w="40" w:type="dxa"/>
              <w:end w:w="40" w:type="dxa"/>
            </w:tcMar>
          </w:tcPr>
          <w:p>
            <w:r>
              <w:rPr>
                <w:rFonts w:ascii="Times New Roman" w:hAnsi="Times New Roman"/>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92" w:after="60"/>
        <w:jc w:val="left"/>
      </w:pPr>
      <w:r>
        <w:rPr>
          <w:rFonts w:ascii="Cambria" w:hAnsi="Cambria"/>
          <w:b/>
          <w:i w:val="0"/>
          <w:color w:val="1F497D"/>
          <w:sz w:val="20"/>
        </w:rPr>
        <w:t>Test Description</w:t>
      </w:r>
    </w:p>
    <w:p>
      <w:pPr>
        <w:spacing w:before="125" w:after="80" w:line="276" w:lineRule="auto"/>
        <w:jc w:val="left"/>
      </w:pPr>
      <w:r>
        <w:rPr>
          <w:rFonts w:ascii="Cambria" w:hAnsi="Cambria"/>
          <w:color w:val="000000"/>
          <w:sz w:val="20"/>
          <w:highlight w:val="yellow"/>
        </w:rPr>
        <w:t>TEST NAME</w:t>
      </w:r>
      <w:r>
        <w:rPr>
          <w:rFonts w:ascii="Cambria" w:hAnsi="Cambria"/>
          <w:color w:val="000000"/>
          <w:sz w:val="20"/>
        </w:rPr>
        <w:t xml:space="preserv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w:t>
      </w:r>
      <w:r>
        <w:rPr>
          <w:rFonts w:ascii="Cambria" w:hAnsi="Cambria"/>
          <w:color w:val="000000"/>
          <w:sz w:val="20"/>
          <w:highlight w:val="yellow"/>
        </w:rPr>
        <w:t xml:space="preserve">TEST NAME</w:t>
      </w:r>
      <w:r>
        <w:rPr>
          <w:rFonts w:ascii="Cambria" w:hAnsi="Cambria"/>
          <w:color w:val="000000"/>
          <w:sz w:val="20"/>
        </w:rPr>
        <w:t xml:space="preserve"> assay analyses 271 unique genes ( 214 DNA + 57 RNA) for single gene and multiple gene biomarker insights, detects single gene biomarkers from all variant types including  SNVs, indels, CNVs, known and novel fusions, and splice variants ,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FFPE samples.</w:t>
      </w:r>
    </w:p>
    <w:p>
      <w:pPr>
        <w:spacing w:before="360" w:after="80" w:line="276" w:lineRule="auto"/>
        <w:jc w:val="left"/>
      </w:pPr>
      <w:r>
        <w:rPr>
          <w:rFonts w:ascii="Cambria" w:hAnsi="Cambria"/>
          <w:color w:val="000000"/>
          <w:sz w:val="20"/>
        </w:rPr>
        <w:t>Test Methodology Extraction &amp; Library Preparation: DNA &amp; RNA extracted from FFPE tissue block sample is used for targeted gene capture using a custom designed hybrid capture panel. In process quality controls were determined for prepared library.</w:t>
      </w:r>
    </w:p>
    <w:p>
      <w:pPr>
        <w:spacing w:before="0" w:after="304"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&gt;1000x   on   Illumina   Novaseq-   next   generation   sequen</w:t>
            </w:r>
          </w:p>
        </w:tc>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are   analyzed   using   a   customized   and   validated   bioinformatics   pipeline   capable   of</w:t>
            </w:r>
          </w:p>
        </w:tc>
      </w:tr>
    </w:tbl>
    <w:p>
      <w:pPr>
        <w:spacing w:before="0" w:after="80" w:line="20" w:lineRule="exact"/>
      </w:pPr>
      <w:r>
        <w:rPr>
          <w:sz w:val="2"/>
        </w:rPr>
      </w:r>
    </w:p>
    <w:p>
      <w:pPr>
        <w:spacing w:before="114" w:after="80" w:line="276" w:lineRule="auto"/>
        <w:jc w:val="left"/>
      </w:pPr>
      <w:r>
        <w:rPr>
          <w:rFonts w:ascii="Cambria" w:hAnsi="Cambria"/>
          <w:color w:val="000000"/>
          <w:sz w:val="20"/>
        </w:rPr>
        <w:t>Limit of Detection (LOD): The LOD for SNVs and InDels is 5% Variant allele Frequency (VAF) and for Fusions is ≥10 supporting reads.</w:t>
      </w:r>
    </w:p>
    <w:p>
      <w:pPr>
        <w:keepNext/>
        <w:spacing w:before="360" w:after="60"/>
        <w:jc w:val="left"/>
      </w:pPr>
      <w:r>
        <w:rPr>
          <w:rFonts w:ascii="Cambria" w:hAnsi="Cambria"/>
          <w:b/>
          <w:i w:val="0"/>
          <w:color w:val="1F497D"/>
          <w:sz w:val="20"/>
        </w:rPr>
        <w:t>Notes</w:t>
      </w:r>
    </w:p>
    <w:p>
      <w:pPr>
        <w:spacing w:before="14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This test is performed on tumor tissue without a matched normal (e.g., blood) sample. Therefore, some variants may be of germline origin. While 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0"/>
        </w:rPr>
        <w:t>FFPE-derived samples often pose challenges due to degradation. Poor-quality DNA or RNA may fail QC thresholds at various stages such as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allele frequencies between 3–5%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have &gt;80% detection sensitivity in this assay. Confirmation using orthogonal methods such as FISH/DDPCR is recommended when clinically indicated.</w:t>
      </w:r>
    </w:p>
    <w:p>
      <w:pPr>
        <w:spacing w:before="360"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115" w:after="80" w:line="276" w:lineRule="auto"/>
        <w:jc w:val="left"/>
      </w:pPr>
      <w:r>
        <w:rPr>
          <w:rFonts w:ascii="Cambria" w:hAnsi="Cambria"/>
          <w:color w:val="000000"/>
          <w:sz w:val="20"/>
        </w:rPr>
        <w:t>This assay is under the scope of NABL as </w:t>
      </w:r>
      <w:r>
        <w:rPr>
          <w:rFonts w:ascii="Cambria" w:hAnsi="Cambria"/>
          <w:color w:val="000000"/>
          <w:sz w:val="20"/>
          <w:highlight w:val="yellow"/>
        </w:rPr>
        <w:t xml:space="preserve">TEST NAME</w:t>
      </w:r>
      <w:r>
        <w:rPr>
          <w:rFonts w:ascii="Cambria" w:hAnsi="Cambria"/>
          <w:color w:val="000000"/>
          <w:sz w:val="20"/>
        </w:rPr>
        <w:t xml:space="preserve">.</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244"/>
            <w:shd w:val="clear" w:color="auto" w:fill="008080"/>
            <w:tcMar>
              <w:top w:w="60" w:type="dxa"/>
              <w:bottom w:w="60" w:type="dxa"/>
              <w:start w:w="80" w:type="dxa"/>
              <w:end w:w="80" w:type="dxa"/>
            </w:tcMar>
          </w:tcPr>
          <w:p>
            <w:pPr>
              <w:jc w:val="center"/>
            </w:pPr>
            <w:r>
              <w:rPr>
                <w:rFonts w:ascii="Cambria" w:hAnsi="Cambria"/>
                <w:b/>
                <w:color w:val="FFFFFF"/>
                <w:sz w:val="20"/>
              </w:rPr>
              <w:t>DNA Gene list</w:t>
            </w:r>
          </w:p>
        </w:tc>
        <w:tc>
          <w:tcPr>
            <w:tcW w:type="dxa" w:w="1856"/>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652"/>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1856"/>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1856"/>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AKT1</w:t>
            </w:r>
          </w:p>
        </w:tc>
        <w:tc>
          <w:tcPr>
            <w:tcW w:type="dxa" w:w="1856"/>
            <w:tcMar>
              <w:top w:w="60" w:type="dxa"/>
              <w:bottom w:w="60" w:type="dxa"/>
              <w:start w:w="80" w:type="dxa"/>
              <w:end w:w="80" w:type="dxa"/>
            </w:tcMar>
          </w:tcPr>
          <w:p>
            <w:pPr>
              <w:jc w:val="left"/>
            </w:pPr>
            <w:r>
              <w:rPr>
                <w:rFonts w:ascii="Cambria" w:hAnsi="Cambria"/>
                <w:b w:val="0"/>
                <w:i w:val="0"/>
                <w:color w:val="000000"/>
                <w:sz w:val="20"/>
              </w:rPr>
              <w:t>AKT2</w:t>
            </w:r>
          </w:p>
        </w:tc>
        <w:tc>
          <w:tcPr>
            <w:tcW w:type="dxa" w:w="2652"/>
            <w:tcMar>
              <w:top w:w="60" w:type="dxa"/>
              <w:bottom w:w="60" w:type="dxa"/>
              <w:start w:w="80" w:type="dxa"/>
              <w:end w:w="80" w:type="dxa"/>
            </w:tcMar>
          </w:tcPr>
          <w:p>
            <w:pPr>
              <w:jc w:val="center"/>
            </w:pPr>
            <w:r>
              <w:rPr>
                <w:rFonts w:ascii="Cambria" w:hAnsi="Cambria"/>
                <w:b w:val="0"/>
                <w:i w:val="0"/>
                <w:color w:val="000000"/>
                <w:sz w:val="20"/>
              </w:rPr>
              <w:t>AKT3</w:t>
            </w:r>
          </w:p>
        </w:tc>
        <w:tc>
          <w:tcPr>
            <w:tcW w:type="dxa" w:w="1856"/>
            <w:tcMar>
              <w:top w:w="60" w:type="dxa"/>
              <w:bottom w:w="60" w:type="dxa"/>
              <w:start w:w="80" w:type="dxa"/>
              <w:end w:w="80" w:type="dxa"/>
            </w:tcMar>
          </w:tcPr>
          <w:p>
            <w:pPr>
              <w:jc w:val="left"/>
            </w:pPr>
            <w:r>
              <w:rPr>
                <w:rFonts w:ascii="Cambria" w:hAnsi="Cambria"/>
                <w:b w:val="0"/>
                <w:i w:val="0"/>
                <w:color w:val="000000"/>
                <w:sz w:val="20"/>
              </w:rPr>
              <w:t>ALK</w:t>
            </w:r>
          </w:p>
        </w:tc>
        <w:tc>
          <w:tcPr>
            <w:tcW w:type="dxa" w:w="1856"/>
            <w:tcMar>
              <w:top w:w="60" w:type="dxa"/>
              <w:bottom w:w="60" w:type="dxa"/>
              <w:start w:w="80" w:type="dxa"/>
              <w:end w:w="80" w:type="dxa"/>
            </w:tcMar>
          </w:tcPr>
          <w:p>
            <w:pPr>
              <w:jc w:val="right"/>
            </w:pPr>
            <w:r>
              <w:rPr>
                <w:rFonts w:ascii="Cambria" w:hAnsi="Cambria"/>
                <w:b w:val="0"/>
                <w:i w:val="0"/>
                <w:color w:val="000000"/>
                <w:sz w:val="20"/>
              </w:rPr>
              <w:t>APC</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AR</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ARAF</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ARID1A</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ARID5B</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ATM</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ATR</w:t>
            </w:r>
          </w:p>
        </w:tc>
        <w:tc>
          <w:tcPr>
            <w:tcW w:type="dxa" w:w="1856"/>
            <w:tcMar>
              <w:top w:w="60" w:type="dxa"/>
              <w:bottom w:w="60" w:type="dxa"/>
              <w:start w:w="80" w:type="dxa"/>
              <w:end w:w="80" w:type="dxa"/>
            </w:tcMar>
          </w:tcPr>
          <w:p>
            <w:pPr>
              <w:jc w:val="left"/>
            </w:pPr>
            <w:r>
              <w:rPr>
                <w:rFonts w:ascii="Cambria" w:hAnsi="Cambria"/>
                <w:b w:val="0"/>
                <w:i w:val="0"/>
                <w:color w:val="000000"/>
                <w:sz w:val="20"/>
              </w:rPr>
              <w:t>ATRX</w:t>
            </w:r>
          </w:p>
        </w:tc>
        <w:tc>
          <w:tcPr>
            <w:tcW w:type="dxa" w:w="2652"/>
            <w:tcMar>
              <w:top w:w="60" w:type="dxa"/>
              <w:bottom w:w="60" w:type="dxa"/>
              <w:start w:w="80" w:type="dxa"/>
              <w:end w:w="80" w:type="dxa"/>
            </w:tcMar>
          </w:tcPr>
          <w:p>
            <w:pPr>
              <w:jc w:val="center"/>
            </w:pPr>
            <w:r>
              <w:rPr>
                <w:rFonts w:ascii="Cambria" w:hAnsi="Cambria"/>
                <w:b w:val="0"/>
                <w:i w:val="0"/>
                <w:color w:val="000000"/>
                <w:sz w:val="20"/>
              </w:rPr>
              <w:t>AXL</w:t>
            </w:r>
          </w:p>
        </w:tc>
        <w:tc>
          <w:tcPr>
            <w:tcW w:type="dxa" w:w="1856"/>
            <w:tcMar>
              <w:top w:w="60" w:type="dxa"/>
              <w:bottom w:w="60" w:type="dxa"/>
              <w:start w:w="80" w:type="dxa"/>
              <w:end w:w="80" w:type="dxa"/>
            </w:tcMar>
          </w:tcPr>
          <w:p>
            <w:pPr>
              <w:jc w:val="left"/>
            </w:pPr>
            <w:r>
              <w:rPr>
                <w:rFonts w:ascii="Cambria" w:hAnsi="Cambria"/>
                <w:b w:val="0"/>
                <w:i w:val="0"/>
                <w:color w:val="000000"/>
                <w:sz w:val="20"/>
              </w:rPr>
              <w:t>BAP1</w:t>
            </w:r>
          </w:p>
        </w:tc>
        <w:tc>
          <w:tcPr>
            <w:tcW w:type="dxa" w:w="1856"/>
            <w:tcMar>
              <w:top w:w="60" w:type="dxa"/>
              <w:bottom w:w="60" w:type="dxa"/>
              <w:start w:w="80" w:type="dxa"/>
              <w:end w:w="80" w:type="dxa"/>
            </w:tcMar>
          </w:tcPr>
          <w:p>
            <w:pPr>
              <w:jc w:val="right"/>
            </w:pPr>
            <w:r>
              <w:rPr>
                <w:rFonts w:ascii="Cambria" w:hAnsi="Cambria"/>
                <w:b w:val="0"/>
                <w:i w:val="0"/>
                <w:color w:val="000000"/>
                <w:sz w:val="20"/>
              </w:rPr>
              <w:t>BARD1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BCOR</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BCORL1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BLM</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BRAF</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BRCA1</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BRCA2</w:t>
            </w:r>
          </w:p>
        </w:tc>
        <w:tc>
          <w:tcPr>
            <w:tcW w:type="dxa" w:w="1856"/>
            <w:tcMar>
              <w:top w:w="60" w:type="dxa"/>
              <w:bottom w:w="60" w:type="dxa"/>
              <w:start w:w="80" w:type="dxa"/>
              <w:end w:w="80" w:type="dxa"/>
            </w:tcMar>
          </w:tcPr>
          <w:p>
            <w:pPr>
              <w:jc w:val="left"/>
            </w:pPr>
            <w:r>
              <w:rPr>
                <w:rFonts w:ascii="Cambria" w:hAnsi="Cambria"/>
                <w:b w:val="0"/>
                <w:i w:val="0"/>
                <w:color w:val="000000"/>
                <w:sz w:val="20"/>
              </w:rPr>
              <w:t>BRIP1</w:t>
            </w:r>
          </w:p>
        </w:tc>
        <w:tc>
          <w:tcPr>
            <w:tcW w:type="dxa" w:w="2652"/>
            <w:tcMar>
              <w:top w:w="60" w:type="dxa"/>
              <w:bottom w:w="60" w:type="dxa"/>
              <w:start w:w="80" w:type="dxa"/>
              <w:end w:w="80" w:type="dxa"/>
            </w:tcMar>
          </w:tcPr>
          <w:p>
            <w:pPr>
              <w:jc w:val="center"/>
            </w:pPr>
            <w:r>
              <w:rPr>
                <w:rFonts w:ascii="Cambria" w:hAnsi="Cambria"/>
                <w:b w:val="0"/>
                <w:i w:val="0"/>
                <w:color w:val="000000"/>
                <w:sz w:val="20"/>
              </w:rPr>
              <w:t>BTK</w:t>
            </w:r>
          </w:p>
        </w:tc>
        <w:tc>
          <w:tcPr>
            <w:tcW w:type="dxa" w:w="1856"/>
            <w:tcMar>
              <w:top w:w="60" w:type="dxa"/>
              <w:bottom w:w="60" w:type="dxa"/>
              <w:start w:w="80" w:type="dxa"/>
              <w:end w:w="80" w:type="dxa"/>
            </w:tcMar>
          </w:tcPr>
          <w:p>
            <w:pPr>
              <w:jc w:val="left"/>
            </w:pPr>
            <w:r>
              <w:rPr>
                <w:rFonts w:ascii="Cambria" w:hAnsi="Cambria"/>
                <w:b w:val="0"/>
                <w:i w:val="0"/>
                <w:color w:val="000000"/>
                <w:sz w:val="20"/>
              </w:rPr>
              <w:t>CBL</w:t>
            </w:r>
          </w:p>
        </w:tc>
        <w:tc>
          <w:tcPr>
            <w:tcW w:type="dxa" w:w="1856"/>
            <w:tcMar>
              <w:top w:w="60" w:type="dxa"/>
              <w:bottom w:w="60" w:type="dxa"/>
              <w:start w:w="80" w:type="dxa"/>
              <w:end w:w="80" w:type="dxa"/>
            </w:tcMar>
          </w:tcPr>
          <w:p>
            <w:pPr>
              <w:jc w:val="right"/>
            </w:pPr>
            <w:r>
              <w:rPr>
                <w:rFonts w:ascii="Cambria" w:hAnsi="Cambria"/>
                <w:b w:val="0"/>
                <w:i w:val="0"/>
                <w:color w:val="000000"/>
                <w:sz w:val="20"/>
              </w:rPr>
              <w:t>CCND1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CCND2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CCND3</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CCNE1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CDH1</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CDK12</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CDK2</w:t>
            </w:r>
          </w:p>
        </w:tc>
        <w:tc>
          <w:tcPr>
            <w:tcW w:type="dxa" w:w="1856"/>
            <w:tcMar>
              <w:top w:w="60" w:type="dxa"/>
              <w:bottom w:w="60" w:type="dxa"/>
              <w:start w:w="80" w:type="dxa"/>
              <w:end w:w="80" w:type="dxa"/>
            </w:tcMar>
          </w:tcPr>
          <w:p>
            <w:pPr>
              <w:jc w:val="left"/>
            </w:pPr>
            <w:r>
              <w:rPr>
                <w:rFonts w:ascii="Cambria" w:hAnsi="Cambria"/>
                <w:b w:val="0"/>
                <w:i w:val="0"/>
                <w:color w:val="000000"/>
                <w:sz w:val="20"/>
              </w:rPr>
              <w:t>CDK4</w:t>
            </w:r>
          </w:p>
        </w:tc>
        <w:tc>
          <w:tcPr>
            <w:tcW w:type="dxa" w:w="2652"/>
            <w:tcMar>
              <w:top w:w="60" w:type="dxa"/>
              <w:bottom w:w="60" w:type="dxa"/>
              <w:start w:w="80" w:type="dxa"/>
              <w:end w:w="80" w:type="dxa"/>
            </w:tcMar>
          </w:tcPr>
          <w:p>
            <w:pPr>
              <w:jc w:val="center"/>
            </w:pPr>
            <w:r>
              <w:rPr>
                <w:rFonts w:ascii="Cambria" w:hAnsi="Cambria"/>
                <w:b w:val="0"/>
                <w:i w:val="0"/>
                <w:color w:val="000000"/>
                <w:sz w:val="20"/>
              </w:rPr>
              <w:t>CDK6</w:t>
            </w:r>
          </w:p>
        </w:tc>
        <w:tc>
          <w:tcPr>
            <w:tcW w:type="dxa" w:w="1856"/>
            <w:tcMar>
              <w:top w:w="60" w:type="dxa"/>
              <w:bottom w:w="60" w:type="dxa"/>
              <w:start w:w="80" w:type="dxa"/>
              <w:end w:w="80" w:type="dxa"/>
            </w:tcMar>
          </w:tcPr>
          <w:p>
            <w:pPr>
              <w:jc w:val="left"/>
            </w:pPr>
            <w:r>
              <w:rPr>
                <w:rFonts w:ascii="Cambria" w:hAnsi="Cambria"/>
                <w:b w:val="0"/>
                <w:i w:val="0"/>
                <w:color w:val="000000"/>
                <w:sz w:val="20"/>
              </w:rPr>
              <w:t>CDKN1B</w:t>
            </w:r>
          </w:p>
        </w:tc>
        <w:tc>
          <w:tcPr>
            <w:tcW w:type="dxa" w:w="1856"/>
            <w:tcMar>
              <w:top w:w="60" w:type="dxa"/>
              <w:bottom w:w="60" w:type="dxa"/>
              <w:start w:w="80" w:type="dxa"/>
              <w:end w:w="80" w:type="dxa"/>
            </w:tcMar>
          </w:tcPr>
          <w:p>
            <w:pPr>
              <w:jc w:val="right"/>
            </w:pPr>
            <w:r>
              <w:rPr>
                <w:rFonts w:ascii="Cambria" w:hAnsi="Cambria"/>
                <w:b w:val="0"/>
                <w:i w:val="0"/>
                <w:color w:val="000000"/>
                <w:sz w:val="20"/>
              </w:rPr>
              <w:t>CDKN2A</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CDKN2B</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CHEK1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CHEK2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CIC</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CREBBP</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CSF1R</w:t>
            </w:r>
          </w:p>
        </w:tc>
        <w:tc>
          <w:tcPr>
            <w:tcW w:type="dxa" w:w="1856"/>
            <w:tcMar>
              <w:top w:w="60" w:type="dxa"/>
              <w:bottom w:w="60" w:type="dxa"/>
              <w:start w:w="80" w:type="dxa"/>
              <w:end w:w="80" w:type="dxa"/>
            </w:tcMar>
          </w:tcPr>
          <w:p>
            <w:pPr>
              <w:jc w:val="left"/>
            </w:pPr>
            <w:r>
              <w:rPr>
                <w:rFonts w:ascii="Cambria" w:hAnsi="Cambria"/>
                <w:b w:val="0"/>
                <w:i w:val="0"/>
                <w:color w:val="000000"/>
                <w:sz w:val="20"/>
              </w:rPr>
              <w:t>CSMD3</w:t>
            </w:r>
          </w:p>
        </w:tc>
        <w:tc>
          <w:tcPr>
            <w:tcW w:type="dxa" w:w="2652"/>
            <w:tcMar>
              <w:top w:w="60" w:type="dxa"/>
              <w:bottom w:w="60" w:type="dxa"/>
              <w:start w:w="80" w:type="dxa"/>
              <w:end w:w="80" w:type="dxa"/>
            </w:tcMar>
          </w:tcPr>
          <w:p>
            <w:pPr>
              <w:jc w:val="center"/>
            </w:pPr>
            <w:r>
              <w:rPr>
                <w:rFonts w:ascii="Cambria" w:hAnsi="Cambria"/>
                <w:b w:val="0"/>
                <w:i w:val="0"/>
                <w:color w:val="000000"/>
                <w:sz w:val="20"/>
              </w:rPr>
              <w:t>CTCF</w:t>
            </w:r>
          </w:p>
        </w:tc>
        <w:tc>
          <w:tcPr>
            <w:tcW w:type="dxa" w:w="1856"/>
            <w:tcMar>
              <w:top w:w="60" w:type="dxa"/>
              <w:bottom w:w="60" w:type="dxa"/>
              <w:start w:w="80" w:type="dxa"/>
              <w:end w:w="80" w:type="dxa"/>
            </w:tcMar>
          </w:tcPr>
          <w:p>
            <w:pPr>
              <w:jc w:val="left"/>
            </w:pPr>
            <w:r>
              <w:rPr>
                <w:rFonts w:ascii="Cambria" w:hAnsi="Cambria"/>
                <w:b w:val="0"/>
                <w:i w:val="0"/>
                <w:color w:val="000000"/>
                <w:sz w:val="20"/>
              </w:rPr>
              <w:t>CTNNB1</w:t>
            </w:r>
          </w:p>
        </w:tc>
        <w:tc>
          <w:tcPr>
            <w:tcW w:type="dxa" w:w="1856"/>
            <w:tcMar>
              <w:top w:w="60" w:type="dxa"/>
              <w:bottom w:w="60" w:type="dxa"/>
              <w:start w:w="80" w:type="dxa"/>
              <w:end w:w="80" w:type="dxa"/>
            </w:tcMar>
          </w:tcPr>
          <w:p>
            <w:pPr>
              <w:jc w:val="right"/>
            </w:pPr>
            <w:r>
              <w:rPr>
                <w:rFonts w:ascii="Cambria" w:hAnsi="Cambria"/>
                <w:b w:val="0"/>
                <w:i w:val="0"/>
                <w:color w:val="000000"/>
                <w:sz w:val="20"/>
              </w:rPr>
              <w:t>DDR2</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DICER1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DPYD</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EED</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EGFR</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EIF1AX</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EP300</w:t>
            </w:r>
          </w:p>
        </w:tc>
        <w:tc>
          <w:tcPr>
            <w:tcW w:type="dxa" w:w="1856"/>
            <w:tcMar>
              <w:top w:w="60" w:type="dxa"/>
              <w:bottom w:w="60" w:type="dxa"/>
              <w:start w:w="80" w:type="dxa"/>
              <w:end w:w="80" w:type="dxa"/>
            </w:tcMar>
          </w:tcPr>
          <w:p>
            <w:pPr>
              <w:jc w:val="left"/>
            </w:pPr>
            <w:r>
              <w:rPr>
                <w:rFonts w:ascii="Cambria" w:hAnsi="Cambria"/>
                <w:b w:val="0"/>
                <w:i w:val="0"/>
                <w:color w:val="000000"/>
                <w:sz w:val="20"/>
              </w:rPr>
              <w:t>EPCAM</w:t>
            </w:r>
          </w:p>
        </w:tc>
        <w:tc>
          <w:tcPr>
            <w:tcW w:type="dxa" w:w="2652"/>
            <w:tcMar>
              <w:top w:w="60" w:type="dxa"/>
              <w:bottom w:w="60" w:type="dxa"/>
              <w:start w:w="80" w:type="dxa"/>
              <w:end w:w="80" w:type="dxa"/>
            </w:tcMar>
          </w:tcPr>
          <w:p>
            <w:pPr>
              <w:jc w:val="center"/>
            </w:pPr>
            <w:r>
              <w:rPr>
                <w:rFonts w:ascii="Cambria" w:hAnsi="Cambria"/>
                <w:b w:val="0"/>
                <w:i w:val="0"/>
                <w:color w:val="000000"/>
                <w:sz w:val="20"/>
              </w:rPr>
              <w:t>ERBB2</w:t>
            </w:r>
          </w:p>
        </w:tc>
        <w:tc>
          <w:tcPr>
            <w:tcW w:type="dxa" w:w="1856"/>
            <w:tcMar>
              <w:top w:w="60" w:type="dxa"/>
              <w:bottom w:w="60" w:type="dxa"/>
              <w:start w:w="80" w:type="dxa"/>
              <w:end w:w="80" w:type="dxa"/>
            </w:tcMar>
          </w:tcPr>
          <w:p>
            <w:pPr>
              <w:jc w:val="left"/>
            </w:pPr>
            <w:r>
              <w:rPr>
                <w:rFonts w:ascii="Cambria" w:hAnsi="Cambria"/>
                <w:b w:val="0"/>
                <w:i w:val="0"/>
                <w:color w:val="000000"/>
                <w:sz w:val="20"/>
              </w:rPr>
              <w:t>ERBB3</w:t>
            </w:r>
          </w:p>
        </w:tc>
        <w:tc>
          <w:tcPr>
            <w:tcW w:type="dxa" w:w="1856"/>
            <w:tcMar>
              <w:top w:w="60" w:type="dxa"/>
              <w:bottom w:w="60" w:type="dxa"/>
              <w:start w:w="80" w:type="dxa"/>
              <w:end w:w="80" w:type="dxa"/>
            </w:tcMar>
          </w:tcPr>
          <w:p>
            <w:pPr>
              <w:jc w:val="right"/>
            </w:pPr>
            <w:r>
              <w:rPr>
                <w:rFonts w:ascii="Cambria" w:hAnsi="Cambria"/>
                <w:b w:val="0"/>
                <w:i w:val="0"/>
                <w:color w:val="000000"/>
                <w:sz w:val="20"/>
              </w:rPr>
              <w:t>ERBB4</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ERCC2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ESR1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EZH1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EZH2</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FANCA</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FANCC</w:t>
            </w:r>
          </w:p>
        </w:tc>
        <w:tc>
          <w:tcPr>
            <w:tcW w:type="dxa" w:w="1856"/>
            <w:tcMar>
              <w:top w:w="60" w:type="dxa"/>
              <w:bottom w:w="60" w:type="dxa"/>
              <w:start w:w="80" w:type="dxa"/>
              <w:end w:w="80" w:type="dxa"/>
            </w:tcMar>
          </w:tcPr>
          <w:p>
            <w:pPr>
              <w:jc w:val="left"/>
            </w:pPr>
            <w:r>
              <w:rPr>
                <w:rFonts w:ascii="Cambria" w:hAnsi="Cambria"/>
                <w:b w:val="0"/>
                <w:i w:val="0"/>
                <w:color w:val="000000"/>
                <w:sz w:val="20"/>
              </w:rPr>
              <w:t>FANCD2</w:t>
            </w:r>
          </w:p>
        </w:tc>
        <w:tc>
          <w:tcPr>
            <w:tcW w:type="dxa" w:w="2652"/>
            <w:tcMar>
              <w:top w:w="60" w:type="dxa"/>
              <w:bottom w:w="60" w:type="dxa"/>
              <w:start w:w="80" w:type="dxa"/>
              <w:end w:w="80" w:type="dxa"/>
            </w:tcMar>
          </w:tcPr>
          <w:p>
            <w:pPr>
              <w:jc w:val="center"/>
            </w:pPr>
            <w:r>
              <w:rPr>
                <w:rFonts w:ascii="Cambria" w:hAnsi="Cambria"/>
                <w:b w:val="0"/>
                <w:i w:val="0"/>
                <w:color w:val="000000"/>
                <w:sz w:val="20"/>
              </w:rPr>
              <w:t>FANCE</w:t>
            </w:r>
          </w:p>
        </w:tc>
        <w:tc>
          <w:tcPr>
            <w:tcW w:type="dxa" w:w="1856"/>
            <w:tcMar>
              <w:top w:w="60" w:type="dxa"/>
              <w:bottom w:w="60" w:type="dxa"/>
              <w:start w:w="80" w:type="dxa"/>
              <w:end w:w="80" w:type="dxa"/>
            </w:tcMar>
          </w:tcPr>
          <w:p>
            <w:pPr>
              <w:jc w:val="left"/>
            </w:pPr>
            <w:r>
              <w:rPr>
                <w:rFonts w:ascii="Cambria" w:hAnsi="Cambria"/>
                <w:b w:val="0"/>
                <w:i w:val="0"/>
                <w:color w:val="000000"/>
                <w:sz w:val="20"/>
              </w:rPr>
              <w:t>FANCF</w:t>
            </w:r>
          </w:p>
        </w:tc>
        <w:tc>
          <w:tcPr>
            <w:tcW w:type="dxa" w:w="1856"/>
            <w:tcMar>
              <w:top w:w="60" w:type="dxa"/>
              <w:bottom w:w="60" w:type="dxa"/>
              <w:start w:w="80" w:type="dxa"/>
              <w:end w:w="80" w:type="dxa"/>
            </w:tcMar>
          </w:tcPr>
          <w:p>
            <w:pPr>
              <w:jc w:val="right"/>
            </w:pPr>
            <w:r>
              <w:rPr>
                <w:rFonts w:ascii="Cambria" w:hAnsi="Cambria"/>
                <w:b w:val="0"/>
                <w:i w:val="0"/>
                <w:color w:val="000000"/>
                <w:sz w:val="20"/>
              </w:rPr>
              <w:t>FANCG</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FANCI</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FANCL</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FARSB</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FAT1</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FAT3</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FAT4</w:t>
            </w:r>
          </w:p>
        </w:tc>
        <w:tc>
          <w:tcPr>
            <w:tcW w:type="dxa" w:w="1856"/>
            <w:tcMar>
              <w:top w:w="60" w:type="dxa"/>
              <w:bottom w:w="60" w:type="dxa"/>
              <w:start w:w="80" w:type="dxa"/>
              <w:end w:w="80" w:type="dxa"/>
            </w:tcMar>
          </w:tcPr>
          <w:p>
            <w:pPr>
              <w:jc w:val="left"/>
            </w:pPr>
            <w:r>
              <w:rPr>
                <w:rFonts w:ascii="Cambria" w:hAnsi="Cambria"/>
                <w:b w:val="0"/>
                <w:i w:val="0"/>
                <w:color w:val="000000"/>
                <w:sz w:val="20"/>
              </w:rPr>
              <w:t>FBXW7</w:t>
            </w:r>
          </w:p>
        </w:tc>
        <w:tc>
          <w:tcPr>
            <w:tcW w:type="dxa" w:w="2652"/>
            <w:tcMar>
              <w:top w:w="60" w:type="dxa"/>
              <w:bottom w:w="60" w:type="dxa"/>
              <w:start w:w="80" w:type="dxa"/>
              <w:end w:w="80" w:type="dxa"/>
            </w:tcMar>
          </w:tcPr>
          <w:p>
            <w:pPr>
              <w:jc w:val="center"/>
            </w:pPr>
            <w:r>
              <w:rPr>
                <w:rFonts w:ascii="Cambria" w:hAnsi="Cambria"/>
                <w:b w:val="0"/>
                <w:i w:val="0"/>
                <w:color w:val="000000"/>
                <w:sz w:val="20"/>
              </w:rPr>
              <w:t>FGF19</w:t>
            </w:r>
          </w:p>
        </w:tc>
        <w:tc>
          <w:tcPr>
            <w:tcW w:type="dxa" w:w="1856"/>
            <w:tcMar>
              <w:top w:w="60" w:type="dxa"/>
              <w:bottom w:w="60" w:type="dxa"/>
              <w:start w:w="80" w:type="dxa"/>
              <w:end w:w="80" w:type="dxa"/>
            </w:tcMar>
          </w:tcPr>
          <w:p>
            <w:pPr>
              <w:jc w:val="left"/>
            </w:pPr>
            <w:r>
              <w:rPr>
                <w:rFonts w:ascii="Cambria" w:hAnsi="Cambria"/>
                <w:b w:val="0"/>
                <w:i w:val="0"/>
                <w:color w:val="000000"/>
                <w:sz w:val="20"/>
              </w:rPr>
              <w:t>FGF3</w:t>
            </w:r>
          </w:p>
        </w:tc>
        <w:tc>
          <w:tcPr>
            <w:tcW w:type="dxa" w:w="1856"/>
            <w:tcMar>
              <w:top w:w="60" w:type="dxa"/>
              <w:bottom w:w="60" w:type="dxa"/>
              <w:start w:w="80" w:type="dxa"/>
              <w:end w:w="80" w:type="dxa"/>
            </w:tcMar>
          </w:tcPr>
          <w:p>
            <w:pPr>
              <w:jc w:val="right"/>
            </w:pPr>
            <w:r>
              <w:rPr>
                <w:rFonts w:ascii="Cambria" w:hAnsi="Cambria"/>
                <w:b w:val="0"/>
                <w:i w:val="0"/>
                <w:color w:val="000000"/>
                <w:sz w:val="20"/>
              </w:rPr>
              <w:t>FGFR1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FGFR2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FGFR3</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FGFR4</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FLT3</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FOXL2</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FUBP1</w:t>
            </w:r>
          </w:p>
        </w:tc>
        <w:tc>
          <w:tcPr>
            <w:tcW w:type="dxa" w:w="1856"/>
            <w:tcMar>
              <w:top w:w="60" w:type="dxa"/>
              <w:bottom w:w="60" w:type="dxa"/>
              <w:start w:w="80" w:type="dxa"/>
              <w:end w:w="80" w:type="dxa"/>
            </w:tcMar>
          </w:tcPr>
          <w:p>
            <w:pPr>
              <w:jc w:val="left"/>
            </w:pPr>
            <w:r>
              <w:rPr>
                <w:rFonts w:ascii="Cambria" w:hAnsi="Cambria"/>
                <w:b w:val="0"/>
                <w:i w:val="0"/>
                <w:color w:val="000000"/>
                <w:sz w:val="20"/>
              </w:rPr>
              <w:t>GATA2</w:t>
            </w:r>
          </w:p>
        </w:tc>
        <w:tc>
          <w:tcPr>
            <w:tcW w:type="dxa" w:w="2652"/>
            <w:tcMar>
              <w:top w:w="60" w:type="dxa"/>
              <w:bottom w:w="60" w:type="dxa"/>
              <w:start w:w="80" w:type="dxa"/>
              <w:end w:w="80" w:type="dxa"/>
            </w:tcMar>
          </w:tcPr>
          <w:p>
            <w:pPr>
              <w:jc w:val="center"/>
            </w:pPr>
            <w:r>
              <w:rPr>
                <w:rFonts w:ascii="Cambria" w:hAnsi="Cambria"/>
                <w:b w:val="0"/>
                <w:i w:val="0"/>
                <w:color w:val="000000"/>
                <w:sz w:val="20"/>
              </w:rPr>
              <w:t>GATA3</w:t>
            </w:r>
          </w:p>
        </w:tc>
        <w:tc>
          <w:tcPr>
            <w:tcW w:type="dxa" w:w="1856"/>
            <w:tcMar>
              <w:top w:w="60" w:type="dxa"/>
              <w:bottom w:w="60" w:type="dxa"/>
              <w:start w:w="80" w:type="dxa"/>
              <w:end w:w="80" w:type="dxa"/>
            </w:tcMar>
          </w:tcPr>
          <w:p>
            <w:pPr>
              <w:jc w:val="left"/>
            </w:pPr>
            <w:r>
              <w:rPr>
                <w:rFonts w:ascii="Cambria" w:hAnsi="Cambria"/>
                <w:b w:val="0"/>
                <w:i w:val="0"/>
                <w:color w:val="000000"/>
                <w:sz w:val="20"/>
              </w:rPr>
              <w:t>GNA11</w:t>
            </w:r>
          </w:p>
        </w:tc>
        <w:tc>
          <w:tcPr>
            <w:tcW w:type="dxa" w:w="1856"/>
            <w:tcMar>
              <w:top w:w="60" w:type="dxa"/>
              <w:bottom w:w="60" w:type="dxa"/>
              <w:start w:w="80" w:type="dxa"/>
              <w:end w:w="80" w:type="dxa"/>
            </w:tcMar>
          </w:tcPr>
          <w:p>
            <w:pPr>
              <w:jc w:val="right"/>
            </w:pPr>
            <w:r>
              <w:rPr>
                <w:rFonts w:ascii="Cambria" w:hAnsi="Cambria"/>
                <w:b w:val="0"/>
                <w:i w:val="0"/>
                <w:color w:val="000000"/>
                <w:sz w:val="20"/>
              </w:rPr>
              <w:t>GNAQ</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GNAS</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H3F3A</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HIST1H3B</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HIST1H3C</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HNF1A</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HRAS</w:t>
            </w:r>
          </w:p>
        </w:tc>
        <w:tc>
          <w:tcPr>
            <w:tcW w:type="dxa" w:w="1856"/>
            <w:tcMar>
              <w:top w:w="60" w:type="dxa"/>
              <w:bottom w:w="60" w:type="dxa"/>
              <w:start w:w="80" w:type="dxa"/>
              <w:end w:w="80" w:type="dxa"/>
            </w:tcMar>
          </w:tcPr>
          <w:p>
            <w:pPr>
              <w:jc w:val="left"/>
            </w:pPr>
            <w:r>
              <w:rPr>
                <w:rFonts w:ascii="Cambria" w:hAnsi="Cambria"/>
                <w:b w:val="0"/>
                <w:i w:val="0"/>
                <w:color w:val="000000"/>
                <w:sz w:val="20"/>
              </w:rPr>
              <w:t>IDH1</w:t>
            </w:r>
          </w:p>
        </w:tc>
        <w:tc>
          <w:tcPr>
            <w:tcW w:type="dxa" w:w="2652"/>
            <w:tcMar>
              <w:top w:w="60" w:type="dxa"/>
              <w:bottom w:w="60" w:type="dxa"/>
              <w:start w:w="80" w:type="dxa"/>
              <w:end w:w="80" w:type="dxa"/>
            </w:tcMar>
          </w:tcPr>
          <w:p>
            <w:pPr>
              <w:jc w:val="center"/>
            </w:pPr>
            <w:r>
              <w:rPr>
                <w:rFonts w:ascii="Cambria" w:hAnsi="Cambria"/>
                <w:b w:val="0"/>
                <w:i w:val="0"/>
                <w:color w:val="000000"/>
                <w:sz w:val="20"/>
              </w:rPr>
              <w:t>IDH2</w:t>
            </w:r>
          </w:p>
        </w:tc>
        <w:tc>
          <w:tcPr>
            <w:tcW w:type="dxa" w:w="1856"/>
            <w:tcMar>
              <w:top w:w="60" w:type="dxa"/>
              <w:bottom w:w="60" w:type="dxa"/>
              <w:start w:w="80" w:type="dxa"/>
              <w:end w:w="80" w:type="dxa"/>
            </w:tcMar>
          </w:tcPr>
          <w:p>
            <w:pPr>
              <w:jc w:val="left"/>
            </w:pPr>
            <w:r>
              <w:rPr>
                <w:rFonts w:ascii="Cambria" w:hAnsi="Cambria"/>
                <w:b w:val="0"/>
                <w:i w:val="0"/>
                <w:color w:val="000000"/>
                <w:sz w:val="20"/>
              </w:rPr>
              <w:t>IGF1R</w:t>
            </w:r>
          </w:p>
        </w:tc>
        <w:tc>
          <w:tcPr>
            <w:tcW w:type="dxa" w:w="1856"/>
            <w:tcMar>
              <w:top w:w="60" w:type="dxa"/>
              <w:bottom w:w="60" w:type="dxa"/>
              <w:start w:w="80" w:type="dxa"/>
              <w:end w:w="80" w:type="dxa"/>
            </w:tcMar>
          </w:tcPr>
          <w:p>
            <w:pPr>
              <w:jc w:val="right"/>
            </w:pPr>
            <w:r>
              <w:rPr>
                <w:rFonts w:ascii="Cambria" w:hAnsi="Cambria"/>
                <w:b w:val="0"/>
                <w:i w:val="0"/>
                <w:color w:val="000000"/>
                <w:sz w:val="20"/>
              </w:rPr>
              <w:t>JAK1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JAK2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JAK3</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KDM6A</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KDR</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KEAP1</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KIT</w:t>
            </w:r>
          </w:p>
        </w:tc>
        <w:tc>
          <w:tcPr>
            <w:tcW w:type="dxa" w:w="1856"/>
            <w:tcMar>
              <w:top w:w="60" w:type="dxa"/>
              <w:bottom w:w="60" w:type="dxa"/>
              <w:start w:w="80" w:type="dxa"/>
              <w:end w:w="80" w:type="dxa"/>
            </w:tcMar>
          </w:tcPr>
          <w:p>
            <w:pPr>
              <w:jc w:val="left"/>
            </w:pPr>
            <w:r>
              <w:rPr>
                <w:rFonts w:ascii="Cambria" w:hAnsi="Cambria"/>
                <w:b w:val="0"/>
                <w:i w:val="0"/>
                <w:color w:val="000000"/>
                <w:sz w:val="20"/>
              </w:rPr>
              <w:t>KMT2C</w:t>
            </w:r>
          </w:p>
        </w:tc>
        <w:tc>
          <w:tcPr>
            <w:tcW w:type="dxa" w:w="2652"/>
            <w:tcMar>
              <w:top w:w="60" w:type="dxa"/>
              <w:bottom w:w="60" w:type="dxa"/>
              <w:start w:w="80" w:type="dxa"/>
              <w:end w:w="80" w:type="dxa"/>
            </w:tcMar>
          </w:tcPr>
          <w:p>
            <w:pPr>
              <w:jc w:val="center"/>
            </w:pPr>
            <w:r>
              <w:rPr>
                <w:rFonts w:ascii="Cambria" w:hAnsi="Cambria"/>
                <w:b w:val="0"/>
                <w:i w:val="0"/>
                <w:color w:val="000000"/>
                <w:sz w:val="20"/>
              </w:rPr>
              <w:t>KMT2D</w:t>
            </w:r>
          </w:p>
        </w:tc>
        <w:tc>
          <w:tcPr>
            <w:tcW w:type="dxa" w:w="1856"/>
            <w:tcMar>
              <w:top w:w="60" w:type="dxa"/>
              <w:bottom w:w="60" w:type="dxa"/>
              <w:start w:w="80" w:type="dxa"/>
              <w:end w:w="80" w:type="dxa"/>
            </w:tcMar>
          </w:tcPr>
          <w:p>
            <w:pPr>
              <w:jc w:val="left"/>
            </w:pPr>
            <w:r>
              <w:rPr>
                <w:rFonts w:ascii="Cambria" w:hAnsi="Cambria"/>
                <w:b w:val="0"/>
                <w:i w:val="0"/>
                <w:color w:val="000000"/>
                <w:sz w:val="20"/>
              </w:rPr>
              <w:t>KNSTRN</w:t>
            </w:r>
          </w:p>
        </w:tc>
        <w:tc>
          <w:tcPr>
            <w:tcW w:type="dxa" w:w="1856"/>
            <w:tcMar>
              <w:top w:w="60" w:type="dxa"/>
              <w:bottom w:w="60" w:type="dxa"/>
              <w:start w:w="80" w:type="dxa"/>
              <w:end w:w="80" w:type="dxa"/>
            </w:tcMar>
          </w:tcPr>
          <w:p>
            <w:pPr>
              <w:jc w:val="right"/>
            </w:pPr>
            <w:r>
              <w:rPr>
                <w:rFonts w:ascii="Cambria" w:hAnsi="Cambria"/>
                <w:b w:val="0"/>
                <w:i w:val="0"/>
                <w:color w:val="000000"/>
                <w:sz w:val="20"/>
              </w:rPr>
              <w:t>KRAS</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LRP1B</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MAGOH</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MAP2K1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MAP2K2</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MAP2K4</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MAPK1</w:t>
            </w:r>
          </w:p>
        </w:tc>
        <w:tc>
          <w:tcPr>
            <w:tcW w:type="dxa" w:w="1856"/>
            <w:tcMar>
              <w:top w:w="60" w:type="dxa"/>
              <w:bottom w:w="60" w:type="dxa"/>
              <w:start w:w="80" w:type="dxa"/>
              <w:end w:w="80" w:type="dxa"/>
            </w:tcMar>
          </w:tcPr>
          <w:p>
            <w:pPr>
              <w:jc w:val="left"/>
            </w:pPr>
            <w:r>
              <w:rPr>
                <w:rFonts w:ascii="Cambria" w:hAnsi="Cambria"/>
                <w:b w:val="0"/>
                <w:i w:val="0"/>
                <w:color w:val="000000"/>
                <w:sz w:val="20"/>
              </w:rPr>
              <w:t>MAPK3</w:t>
            </w:r>
          </w:p>
        </w:tc>
        <w:tc>
          <w:tcPr>
            <w:tcW w:type="dxa" w:w="2652"/>
            <w:tcMar>
              <w:top w:w="60" w:type="dxa"/>
              <w:bottom w:w="60" w:type="dxa"/>
              <w:start w:w="80" w:type="dxa"/>
              <w:end w:w="80" w:type="dxa"/>
            </w:tcMar>
          </w:tcPr>
          <w:p>
            <w:pPr>
              <w:jc w:val="center"/>
            </w:pPr>
            <w:r>
              <w:rPr>
                <w:rFonts w:ascii="Cambria" w:hAnsi="Cambria"/>
                <w:b w:val="0"/>
                <w:i w:val="0"/>
                <w:color w:val="000000"/>
                <w:sz w:val="20"/>
              </w:rPr>
              <w:t>MAX</w:t>
            </w:r>
          </w:p>
        </w:tc>
        <w:tc>
          <w:tcPr>
            <w:tcW w:type="dxa" w:w="1856"/>
            <w:tcMar>
              <w:top w:w="60" w:type="dxa"/>
              <w:bottom w:w="60" w:type="dxa"/>
              <w:start w:w="80" w:type="dxa"/>
              <w:end w:w="80" w:type="dxa"/>
            </w:tcMar>
          </w:tcPr>
          <w:p>
            <w:pPr>
              <w:jc w:val="left"/>
            </w:pPr>
            <w:r>
              <w:rPr>
                <w:rFonts w:ascii="Cambria" w:hAnsi="Cambria"/>
                <w:b w:val="0"/>
                <w:i w:val="0"/>
                <w:color w:val="000000"/>
                <w:sz w:val="20"/>
              </w:rPr>
              <w:t>MDM2</w:t>
            </w:r>
          </w:p>
        </w:tc>
        <w:tc>
          <w:tcPr>
            <w:tcW w:type="dxa" w:w="1856"/>
            <w:tcMar>
              <w:top w:w="60" w:type="dxa"/>
              <w:bottom w:w="60" w:type="dxa"/>
              <w:start w:w="80" w:type="dxa"/>
              <w:end w:w="80" w:type="dxa"/>
            </w:tcMar>
          </w:tcPr>
          <w:p>
            <w:pPr>
              <w:jc w:val="right"/>
            </w:pPr>
            <w:r>
              <w:rPr>
                <w:rFonts w:ascii="Cambria" w:hAnsi="Cambria"/>
                <w:b w:val="0"/>
                <w:i w:val="0"/>
                <w:color w:val="000000"/>
                <w:sz w:val="20"/>
              </w:rPr>
              <w:t>MDM4</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MED12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MEN1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MET</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MLH1</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MLH3</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MPL</w:t>
            </w:r>
          </w:p>
        </w:tc>
        <w:tc>
          <w:tcPr>
            <w:tcW w:type="dxa" w:w="1856"/>
            <w:tcMar>
              <w:top w:w="60" w:type="dxa"/>
              <w:bottom w:w="60" w:type="dxa"/>
              <w:start w:w="80" w:type="dxa"/>
              <w:end w:w="80" w:type="dxa"/>
            </w:tcMar>
          </w:tcPr>
          <w:p>
            <w:pPr>
              <w:jc w:val="left"/>
            </w:pPr>
            <w:r>
              <w:rPr>
                <w:rFonts w:ascii="Cambria" w:hAnsi="Cambria"/>
                <w:b w:val="0"/>
                <w:i w:val="0"/>
                <w:color w:val="000000"/>
                <w:sz w:val="20"/>
              </w:rPr>
              <w:t>MRE11</w:t>
            </w:r>
          </w:p>
        </w:tc>
        <w:tc>
          <w:tcPr>
            <w:tcW w:type="dxa" w:w="2652"/>
            <w:tcMar>
              <w:top w:w="60" w:type="dxa"/>
              <w:bottom w:w="60" w:type="dxa"/>
              <w:start w:w="80" w:type="dxa"/>
              <w:end w:w="80" w:type="dxa"/>
            </w:tcMar>
          </w:tcPr>
          <w:p>
            <w:pPr>
              <w:jc w:val="center"/>
            </w:pPr>
            <w:r>
              <w:rPr>
                <w:rFonts w:ascii="Cambria" w:hAnsi="Cambria"/>
                <w:b w:val="0"/>
                <w:i w:val="0"/>
                <w:color w:val="000000"/>
                <w:sz w:val="20"/>
              </w:rPr>
              <w:t>MSH2</w:t>
            </w:r>
          </w:p>
        </w:tc>
        <w:tc>
          <w:tcPr>
            <w:tcW w:type="dxa" w:w="1856"/>
            <w:tcMar>
              <w:top w:w="60" w:type="dxa"/>
              <w:bottom w:w="60" w:type="dxa"/>
              <w:start w:w="80" w:type="dxa"/>
              <w:end w:w="80" w:type="dxa"/>
            </w:tcMar>
          </w:tcPr>
          <w:p>
            <w:pPr>
              <w:jc w:val="left"/>
            </w:pPr>
            <w:r>
              <w:rPr>
                <w:rFonts w:ascii="Cambria" w:hAnsi="Cambria"/>
                <w:b w:val="0"/>
                <w:i w:val="0"/>
                <w:color w:val="000000"/>
                <w:sz w:val="20"/>
              </w:rPr>
              <w:t>MSH3</w:t>
            </w:r>
          </w:p>
        </w:tc>
        <w:tc>
          <w:tcPr>
            <w:tcW w:type="dxa" w:w="1856"/>
            <w:tcMar>
              <w:top w:w="60" w:type="dxa"/>
              <w:bottom w:w="60" w:type="dxa"/>
              <w:start w:w="80" w:type="dxa"/>
              <w:end w:w="80" w:type="dxa"/>
            </w:tcMar>
          </w:tcPr>
          <w:p>
            <w:pPr>
              <w:jc w:val="right"/>
            </w:pPr>
            <w:r>
              <w:rPr>
                <w:rFonts w:ascii="Cambria" w:hAnsi="Cambria"/>
                <w:b w:val="0"/>
                <w:i w:val="0"/>
                <w:color w:val="000000"/>
                <w:sz w:val="20"/>
              </w:rPr>
              <w:t>MSH6</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MTOR</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MUC16</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MUTYH</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MYC</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MYCL</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MYCN</w:t>
            </w:r>
          </w:p>
        </w:tc>
        <w:tc>
          <w:tcPr>
            <w:tcW w:type="dxa" w:w="1856"/>
            <w:tcMar>
              <w:top w:w="60" w:type="dxa"/>
              <w:bottom w:w="60" w:type="dxa"/>
              <w:start w:w="80" w:type="dxa"/>
              <w:end w:w="80" w:type="dxa"/>
            </w:tcMar>
          </w:tcPr>
          <w:p>
            <w:pPr>
              <w:jc w:val="left"/>
            </w:pPr>
            <w:r>
              <w:rPr>
                <w:rFonts w:ascii="Cambria" w:hAnsi="Cambria"/>
                <w:b w:val="0"/>
                <w:i w:val="0"/>
                <w:color w:val="000000"/>
                <w:sz w:val="20"/>
              </w:rPr>
              <w:t>MYD88</w:t>
            </w:r>
          </w:p>
        </w:tc>
        <w:tc>
          <w:tcPr>
            <w:tcW w:type="dxa" w:w="2652"/>
            <w:tcMar>
              <w:top w:w="60" w:type="dxa"/>
              <w:bottom w:w="60" w:type="dxa"/>
              <w:start w:w="80" w:type="dxa"/>
              <w:end w:w="80" w:type="dxa"/>
            </w:tcMar>
          </w:tcPr>
          <w:p>
            <w:pPr>
              <w:jc w:val="center"/>
            </w:pPr>
            <w:r>
              <w:rPr>
                <w:rFonts w:ascii="Cambria" w:hAnsi="Cambria"/>
                <w:b w:val="0"/>
                <w:i w:val="0"/>
                <w:color w:val="000000"/>
                <w:sz w:val="20"/>
              </w:rPr>
              <w:t>NBN</w:t>
            </w:r>
          </w:p>
        </w:tc>
        <w:tc>
          <w:tcPr>
            <w:tcW w:type="dxa" w:w="1856"/>
            <w:tcMar>
              <w:top w:w="60" w:type="dxa"/>
              <w:bottom w:w="60" w:type="dxa"/>
              <w:start w:w="80" w:type="dxa"/>
              <w:end w:w="80" w:type="dxa"/>
            </w:tcMar>
          </w:tcPr>
          <w:p>
            <w:pPr>
              <w:jc w:val="left"/>
            </w:pPr>
            <w:r>
              <w:rPr>
                <w:rFonts w:ascii="Cambria" w:hAnsi="Cambria"/>
                <w:b w:val="0"/>
                <w:i w:val="0"/>
                <w:color w:val="000000"/>
                <w:sz w:val="20"/>
              </w:rPr>
              <w:t>NF1</w:t>
            </w:r>
          </w:p>
        </w:tc>
        <w:tc>
          <w:tcPr>
            <w:tcW w:type="dxa" w:w="1856"/>
            <w:tcMar>
              <w:top w:w="60" w:type="dxa"/>
              <w:bottom w:w="60" w:type="dxa"/>
              <w:start w:w="80" w:type="dxa"/>
              <w:end w:w="80" w:type="dxa"/>
            </w:tcMar>
          </w:tcPr>
          <w:p>
            <w:pPr>
              <w:jc w:val="right"/>
            </w:pPr>
            <w:r>
              <w:rPr>
                <w:rFonts w:ascii="Cambria" w:hAnsi="Cambria"/>
                <w:b w:val="0"/>
                <w:i w:val="0"/>
                <w:color w:val="000000"/>
                <w:sz w:val="20"/>
              </w:rPr>
              <w:t>NF2</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NFE2L2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NOTCH1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NOTCH2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NOTCH3</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NPM1</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NRAS</w:t>
            </w:r>
          </w:p>
        </w:tc>
        <w:tc>
          <w:tcPr>
            <w:tcW w:type="dxa" w:w="1856"/>
            <w:tcMar>
              <w:top w:w="60" w:type="dxa"/>
              <w:bottom w:w="60" w:type="dxa"/>
              <w:start w:w="80" w:type="dxa"/>
              <w:end w:w="80" w:type="dxa"/>
            </w:tcMar>
          </w:tcPr>
          <w:p>
            <w:pPr>
              <w:jc w:val="left"/>
            </w:pPr>
            <w:r>
              <w:rPr>
                <w:rFonts w:ascii="Cambria" w:hAnsi="Cambria"/>
                <w:b w:val="0"/>
                <w:i w:val="0"/>
                <w:color w:val="000000"/>
                <w:sz w:val="20"/>
              </w:rPr>
              <w:t>NTRK1</w:t>
            </w:r>
          </w:p>
        </w:tc>
        <w:tc>
          <w:tcPr>
            <w:tcW w:type="dxa" w:w="2652"/>
            <w:tcMar>
              <w:top w:w="60" w:type="dxa"/>
              <w:bottom w:w="60" w:type="dxa"/>
              <w:start w:w="80" w:type="dxa"/>
              <w:end w:w="80" w:type="dxa"/>
            </w:tcMar>
          </w:tcPr>
          <w:p>
            <w:pPr>
              <w:jc w:val="center"/>
            </w:pPr>
            <w:r>
              <w:rPr>
                <w:rFonts w:ascii="Cambria" w:hAnsi="Cambria"/>
                <w:b w:val="0"/>
                <w:i w:val="0"/>
                <w:color w:val="000000"/>
                <w:sz w:val="20"/>
              </w:rPr>
              <w:t>NTRK2</w:t>
            </w:r>
          </w:p>
        </w:tc>
        <w:tc>
          <w:tcPr>
            <w:tcW w:type="dxa" w:w="1856"/>
            <w:tcMar>
              <w:top w:w="60" w:type="dxa"/>
              <w:bottom w:w="60" w:type="dxa"/>
              <w:start w:w="80" w:type="dxa"/>
              <w:end w:w="80" w:type="dxa"/>
            </w:tcMar>
          </w:tcPr>
          <w:p>
            <w:pPr>
              <w:jc w:val="left"/>
            </w:pPr>
            <w:r>
              <w:rPr>
                <w:rFonts w:ascii="Cambria" w:hAnsi="Cambria"/>
                <w:b w:val="0"/>
                <w:i w:val="0"/>
                <w:color w:val="000000"/>
                <w:sz w:val="20"/>
              </w:rPr>
              <w:t>NTRK3</w:t>
            </w:r>
          </w:p>
        </w:tc>
        <w:tc>
          <w:tcPr>
            <w:tcW w:type="dxa" w:w="1856"/>
            <w:tcMar>
              <w:top w:w="60" w:type="dxa"/>
              <w:bottom w:w="60" w:type="dxa"/>
              <w:start w:w="80" w:type="dxa"/>
              <w:end w:w="80" w:type="dxa"/>
            </w:tcMar>
          </w:tcPr>
          <w:p>
            <w:pPr>
              <w:jc w:val="right"/>
            </w:pPr>
            <w:r>
              <w:rPr>
                <w:rFonts w:ascii="Cambria" w:hAnsi="Cambria"/>
                <w:b w:val="0"/>
                <w:i w:val="0"/>
                <w:color w:val="000000"/>
                <w:sz w:val="20"/>
              </w:rPr>
              <w:t>PALB2</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PBRM1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PDGFRA</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PDGFRB</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PICALM</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PIK3CA</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PIK3CB</w:t>
            </w:r>
          </w:p>
        </w:tc>
        <w:tc>
          <w:tcPr>
            <w:tcW w:type="dxa" w:w="1856"/>
            <w:tcMar>
              <w:top w:w="60" w:type="dxa"/>
              <w:bottom w:w="60" w:type="dxa"/>
              <w:start w:w="80" w:type="dxa"/>
              <w:end w:w="80" w:type="dxa"/>
            </w:tcMar>
          </w:tcPr>
          <w:p>
            <w:pPr>
              <w:jc w:val="left"/>
            </w:pPr>
            <w:r>
              <w:rPr>
                <w:rFonts w:ascii="Cambria" w:hAnsi="Cambria"/>
                <w:b w:val="0"/>
                <w:i w:val="0"/>
                <w:color w:val="000000"/>
                <w:sz w:val="20"/>
              </w:rPr>
              <w:t>PIK3CD</w:t>
            </w:r>
          </w:p>
        </w:tc>
        <w:tc>
          <w:tcPr>
            <w:tcW w:type="dxa" w:w="2652"/>
            <w:tcMar>
              <w:top w:w="60" w:type="dxa"/>
              <w:bottom w:w="60" w:type="dxa"/>
              <w:start w:w="80" w:type="dxa"/>
              <w:end w:w="80" w:type="dxa"/>
            </w:tcMar>
          </w:tcPr>
          <w:p>
            <w:pPr>
              <w:jc w:val="center"/>
            </w:pPr>
            <w:r>
              <w:rPr>
                <w:rFonts w:ascii="Cambria" w:hAnsi="Cambria"/>
                <w:b w:val="0"/>
                <w:i w:val="0"/>
                <w:color w:val="000000"/>
                <w:sz w:val="20"/>
              </w:rPr>
              <w:t>PIK3R1</w:t>
            </w:r>
          </w:p>
        </w:tc>
        <w:tc>
          <w:tcPr>
            <w:tcW w:type="dxa" w:w="1856"/>
            <w:tcMar>
              <w:top w:w="60" w:type="dxa"/>
              <w:bottom w:w="60" w:type="dxa"/>
              <w:start w:w="80" w:type="dxa"/>
              <w:end w:w="80" w:type="dxa"/>
            </w:tcMar>
          </w:tcPr>
          <w:p>
            <w:pPr>
              <w:jc w:val="left"/>
            </w:pPr>
            <w:r>
              <w:rPr>
                <w:rFonts w:ascii="Cambria" w:hAnsi="Cambria"/>
                <w:b w:val="0"/>
                <w:i w:val="0"/>
                <w:color w:val="000000"/>
                <w:sz w:val="20"/>
              </w:rPr>
              <w:t>PIK3R2</w:t>
            </w:r>
          </w:p>
        </w:tc>
        <w:tc>
          <w:tcPr>
            <w:tcW w:type="dxa" w:w="1856"/>
            <w:tcMar>
              <w:top w:w="60" w:type="dxa"/>
              <w:bottom w:w="60" w:type="dxa"/>
              <w:start w:w="80" w:type="dxa"/>
              <w:end w:w="80" w:type="dxa"/>
            </w:tcMar>
          </w:tcPr>
          <w:p>
            <w:pPr>
              <w:jc w:val="right"/>
            </w:pPr>
            <w:r>
              <w:rPr>
                <w:rFonts w:ascii="Cambria" w:hAnsi="Cambria"/>
                <w:b w:val="0"/>
                <w:i w:val="0"/>
                <w:color w:val="000000"/>
                <w:sz w:val="20"/>
              </w:rPr>
              <w:t>PMS1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PMS2</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POLD1</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POLE</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PPARG</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PPP2R1A</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PPP2R2A</w:t>
            </w:r>
          </w:p>
        </w:tc>
        <w:tc>
          <w:tcPr>
            <w:tcW w:type="dxa" w:w="1856"/>
            <w:tcMar>
              <w:top w:w="60" w:type="dxa"/>
              <w:bottom w:w="60" w:type="dxa"/>
              <w:start w:w="80" w:type="dxa"/>
              <w:end w:w="80" w:type="dxa"/>
            </w:tcMar>
          </w:tcPr>
          <w:p>
            <w:pPr>
              <w:jc w:val="left"/>
            </w:pPr>
            <w:r>
              <w:rPr>
                <w:rFonts w:ascii="Cambria" w:hAnsi="Cambria"/>
                <w:b w:val="0"/>
                <w:i w:val="0"/>
                <w:color w:val="000000"/>
                <w:sz w:val="20"/>
              </w:rPr>
              <w:t>PTCH1</w:t>
            </w:r>
          </w:p>
        </w:tc>
        <w:tc>
          <w:tcPr>
            <w:tcW w:type="dxa" w:w="2652"/>
            <w:tcMar>
              <w:top w:w="60" w:type="dxa"/>
              <w:bottom w:w="60" w:type="dxa"/>
              <w:start w:w="80" w:type="dxa"/>
              <w:end w:w="80" w:type="dxa"/>
            </w:tcMar>
          </w:tcPr>
          <w:p>
            <w:pPr>
              <w:jc w:val="center"/>
            </w:pPr>
            <w:r>
              <w:rPr>
                <w:rFonts w:ascii="Cambria" w:hAnsi="Cambria"/>
                <w:b w:val="0"/>
                <w:i w:val="0"/>
                <w:color w:val="000000"/>
                <w:sz w:val="20"/>
              </w:rPr>
              <w:t>PTEN</w:t>
            </w:r>
          </w:p>
        </w:tc>
        <w:tc>
          <w:tcPr>
            <w:tcW w:type="dxa" w:w="1856"/>
            <w:tcMar>
              <w:top w:w="60" w:type="dxa"/>
              <w:bottom w:w="60" w:type="dxa"/>
              <w:start w:w="80" w:type="dxa"/>
              <w:end w:w="80" w:type="dxa"/>
            </w:tcMar>
          </w:tcPr>
          <w:p>
            <w:pPr>
              <w:jc w:val="left"/>
            </w:pPr>
            <w:r>
              <w:rPr>
                <w:rFonts w:ascii="Cambria" w:hAnsi="Cambria"/>
                <w:b w:val="0"/>
                <w:i w:val="0"/>
                <w:color w:val="000000"/>
                <w:sz w:val="20"/>
              </w:rPr>
              <w:t>PTH</w:t>
            </w:r>
          </w:p>
        </w:tc>
        <w:tc>
          <w:tcPr>
            <w:tcW w:type="dxa" w:w="1856"/>
            <w:tcMar>
              <w:top w:w="60" w:type="dxa"/>
              <w:bottom w:w="60" w:type="dxa"/>
              <w:start w:w="80" w:type="dxa"/>
              <w:end w:w="80" w:type="dxa"/>
            </w:tcMar>
          </w:tcPr>
          <w:p>
            <w:pPr>
              <w:jc w:val="right"/>
            </w:pPr>
            <w:r>
              <w:rPr>
                <w:rFonts w:ascii="Cambria" w:hAnsi="Cambria"/>
                <w:b w:val="0"/>
                <w:i w:val="0"/>
                <w:color w:val="000000"/>
                <w:sz w:val="20"/>
              </w:rPr>
              <w:t>PTPN11</w:t>
            </w:r>
          </w:p>
        </w:tc>
      </w:tr>
      <w:tr>
        <w:trPr>
          <w:cantSplit w:val="true"/>
        </w:trPr>
        <w:tc>
          <w:tcPr>
            <w:tcW w:type="dxa" w:w="2244"/>
            <w:shd w:val="clear" w:color="auto" w:fill="f8fafc"/>
            <w:tcMar>
              <w:top w:w="60" w:type="dxa"/>
              <w:bottom w:w="60" w:type="dxa"/>
              <w:start w:w="80" w:type="dxa"/>
              <w:end w:w="80" w:type="dxa"/>
            </w:tcMar>
          </w:tcPr>
          <w:p>
            <w:pPr>
              <w:jc w:val="left"/>
            </w:pPr>
            <w:r>
              <w:rPr>
                <w:rFonts w:ascii="Cambria" w:hAnsi="Cambria"/>
                <w:b w:val="0"/>
                <w:i w:val="0"/>
                <w:color w:val="000000"/>
                <w:sz w:val="20"/>
              </w:rPr>
              <w:t>RAC1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RAD50</w:t>
            </w:r>
          </w:p>
        </w:tc>
        <w:tc>
          <w:tcPr>
            <w:tcW w:type="dxa" w:w="2652"/>
            <w:shd w:val="clear" w:color="auto" w:fill="f8fafc"/>
            <w:tcMar>
              <w:top w:w="60" w:type="dxa"/>
              <w:bottom w:w="60" w:type="dxa"/>
              <w:start w:w="80" w:type="dxa"/>
              <w:end w:w="80" w:type="dxa"/>
            </w:tcMar>
          </w:tcPr>
          <w:p>
            <w:pPr>
              <w:jc w:val="center"/>
            </w:pPr>
            <w:r>
              <w:rPr>
                <w:rFonts w:ascii="Cambria" w:hAnsi="Cambria"/>
                <w:b w:val="0"/>
                <w:i w:val="0"/>
                <w:color w:val="000000"/>
                <w:sz w:val="20"/>
              </w:rPr>
              <w:t>RAD51</w:t>
            </w:r>
          </w:p>
        </w:tc>
        <w:tc>
          <w:tcPr>
            <w:tcW w:type="dxa" w:w="1856"/>
            <w:shd w:val="clear" w:color="auto" w:fill="f8fafc"/>
            <w:tcMar>
              <w:top w:w="60" w:type="dxa"/>
              <w:bottom w:w="60" w:type="dxa"/>
              <w:start w:w="80" w:type="dxa"/>
              <w:end w:w="80" w:type="dxa"/>
            </w:tcMar>
          </w:tcPr>
          <w:p>
            <w:pPr>
              <w:jc w:val="left"/>
            </w:pPr>
            <w:r>
              <w:rPr>
                <w:rFonts w:ascii="Cambria" w:hAnsi="Cambria"/>
                <w:b w:val="0"/>
                <w:i w:val="0"/>
                <w:color w:val="000000"/>
                <w:sz w:val="20"/>
              </w:rPr>
              <w:t>RAD51B</w:t>
            </w:r>
          </w:p>
        </w:tc>
        <w:tc>
          <w:tcPr>
            <w:tcW w:type="dxa" w:w="1856"/>
            <w:shd w:val="clear" w:color="auto" w:fill="f8fafc"/>
            <w:tcMar>
              <w:top w:w="60" w:type="dxa"/>
              <w:bottom w:w="60" w:type="dxa"/>
              <w:start w:w="80" w:type="dxa"/>
              <w:end w:w="80" w:type="dxa"/>
            </w:tcMar>
          </w:tcPr>
          <w:p>
            <w:pPr>
              <w:jc w:val="right"/>
            </w:pPr>
            <w:r>
              <w:rPr>
                <w:rFonts w:ascii="Cambria" w:hAnsi="Cambria"/>
                <w:b w:val="0"/>
                <w:i w:val="0"/>
                <w:color w:val="000000"/>
                <w:sz w:val="20"/>
              </w:rPr>
              <w:t>RAD51C</w:t>
            </w:r>
          </w:p>
        </w:tc>
      </w:tr>
      <w:tr>
        <w:trPr>
          <w:cantSplit w:val="true"/>
        </w:trPr>
        <w:tc>
          <w:tcPr>
            <w:tcW w:type="dxa" w:w="2244"/>
            <w:tcMar>
              <w:top w:w="60" w:type="dxa"/>
              <w:bottom w:w="60" w:type="dxa"/>
              <w:start w:w="80" w:type="dxa"/>
              <w:end w:w="80" w:type="dxa"/>
            </w:tcMar>
          </w:tcPr>
          <w:p>
            <w:pPr>
              <w:jc w:val="left"/>
            </w:pPr>
            <w:r>
              <w:rPr>
                <w:rFonts w:ascii="Cambria" w:hAnsi="Cambria"/>
                <w:b w:val="0"/>
                <w:i w:val="0"/>
                <w:color w:val="000000"/>
                <w:sz w:val="20"/>
              </w:rPr>
              <w:t>RAD51D</w:t>
            </w:r>
          </w:p>
        </w:tc>
        <w:tc>
          <w:tcPr>
            <w:tcW w:type="dxa" w:w="1856"/>
            <w:tcMar>
              <w:top w:w="60" w:type="dxa"/>
              <w:bottom w:w="60" w:type="dxa"/>
              <w:start w:w="80" w:type="dxa"/>
              <w:end w:w="80" w:type="dxa"/>
            </w:tcMar>
          </w:tcPr>
          <w:p>
            <w:pPr>
              <w:jc w:val="left"/>
            </w:pPr>
            <w:r>
              <w:rPr>
                <w:rFonts w:ascii="Cambria" w:hAnsi="Cambria"/>
                <w:b w:val="0"/>
                <w:i w:val="0"/>
                <w:color w:val="000000"/>
                <w:sz w:val="20"/>
              </w:rPr>
              <w:t>RAD52</w:t>
            </w:r>
          </w:p>
        </w:tc>
        <w:tc>
          <w:tcPr>
            <w:tcW w:type="dxa" w:w="2652"/>
            <w:tcMar>
              <w:top w:w="60" w:type="dxa"/>
              <w:bottom w:w="60" w:type="dxa"/>
              <w:start w:w="80" w:type="dxa"/>
              <w:end w:w="80" w:type="dxa"/>
            </w:tcMar>
          </w:tcPr>
          <w:p>
            <w:pPr>
              <w:jc w:val="center"/>
            </w:pPr>
            <w:r>
              <w:rPr>
                <w:rFonts w:ascii="Cambria" w:hAnsi="Cambria"/>
                <w:b w:val="0"/>
                <w:i w:val="0"/>
                <w:color w:val="000000"/>
                <w:sz w:val="20"/>
              </w:rPr>
              <w:t>RAD54L</w:t>
              <w:br/>
              <w:t>Page 8 of 17</w:t>
            </w:r>
          </w:p>
        </w:tc>
        <w:tc>
          <w:tcPr>
            <w:tcW w:type="dxa" w:w="1856"/>
            <w:tcMar>
              <w:top w:w="60" w:type="dxa"/>
              <w:bottom w:w="60" w:type="dxa"/>
              <w:start w:w="80" w:type="dxa"/>
              <w:end w:w="80" w:type="dxa"/>
            </w:tcMar>
          </w:tcPr>
          <w:p>
            <w:pPr>
              <w:jc w:val="left"/>
            </w:pPr>
            <w:r>
              <w:rPr>
                <w:rFonts w:ascii="Cambria" w:hAnsi="Cambria"/>
                <w:b w:val="0"/>
                <w:i w:val="0"/>
                <w:color w:val="000000"/>
                <w:sz w:val="20"/>
              </w:rPr>
              <w:t>RAF1</w:t>
            </w:r>
          </w:p>
        </w:tc>
        <w:tc>
          <w:tcPr>
            <w:tcW w:type="dxa" w:w="1856"/>
            <w:tcMar>
              <w:top w:w="60" w:type="dxa"/>
              <w:bottom w:w="60" w:type="dxa"/>
              <w:start w:w="80" w:type="dxa"/>
              <w:end w:w="80" w:type="dxa"/>
            </w:tcMar>
          </w:tcPr>
          <w:p>
            <w:pPr>
              <w:jc w:val="right"/>
            </w:pPr>
            <w:r>
              <w:rPr>
                <w:rFonts w:ascii="Cambria" w:hAnsi="Cambria"/>
                <w:b w:val="0"/>
                <w:i w:val="0"/>
                <w:color w:val="000000"/>
                <w:sz w:val="20"/>
              </w:rPr>
              <w:t>RB1</w:t>
            </w:r>
          </w:p>
        </w:tc>
      </w:tr>
    </w:tbl>
    <w:p>
      <w:pPr>
        <w:spacing w:before="0" w:after="120" w:line="20" w:lineRule="exact"/>
      </w:pPr>
      <w:r>
        <w:rPr>
          <w:sz w:val="2"/>
        </w:rPr>
      </w:r>
    </w:p>
    <w:p>
      <w:pPr>
        <w:spacing w:before="74"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RBM10</w:t>
            </w:r>
          </w:p>
        </w:tc>
        <w:tc>
          <w:tcPr>
            <w:tcW w:type="dxa" w:w="2004"/>
            <w:tcMar>
              <w:top w:w="60" w:type="dxa"/>
              <w:bottom w:w="60" w:type="dxa"/>
              <w:start w:w="80" w:type="dxa"/>
              <w:end w:w="80" w:type="dxa"/>
            </w:tcMar>
          </w:tcPr>
          <w:p>
            <w:pPr>
              <w:jc w:val="left"/>
            </w:pPr>
            <w:r>
              <w:rPr>
                <w:rFonts w:ascii="Cambria" w:hAnsi="Cambria"/>
                <w:b w:val="0"/>
                <w:i w:val="0"/>
                <w:color w:val="000000"/>
                <w:sz w:val="20"/>
              </w:rPr>
              <w:t>RET</w:t>
            </w:r>
          </w:p>
        </w:tc>
        <w:tc>
          <w:tcPr>
            <w:tcW w:type="dxa" w:w="2004"/>
            <w:tcMar>
              <w:top w:w="60" w:type="dxa"/>
              <w:bottom w:w="60" w:type="dxa"/>
              <w:start w:w="80" w:type="dxa"/>
              <w:end w:w="80" w:type="dxa"/>
            </w:tcMar>
          </w:tcPr>
          <w:p>
            <w:pPr>
              <w:jc w:val="center"/>
            </w:pPr>
            <w:r>
              <w:rPr>
                <w:rFonts w:ascii="Cambria" w:hAnsi="Cambria"/>
                <w:b w:val="0"/>
                <w:i w:val="0"/>
                <w:color w:val="000000"/>
                <w:sz w:val="20"/>
              </w:rPr>
              <w:t>RHEB</w:t>
            </w:r>
          </w:p>
        </w:tc>
        <w:tc>
          <w:tcPr>
            <w:tcW w:type="dxa" w:w="2004"/>
            <w:tcMar>
              <w:top w:w="60" w:type="dxa"/>
              <w:bottom w:w="60" w:type="dxa"/>
              <w:start w:w="80" w:type="dxa"/>
              <w:end w:w="80" w:type="dxa"/>
            </w:tcMar>
          </w:tcPr>
          <w:p>
            <w:pPr>
              <w:jc w:val="left"/>
            </w:pPr>
            <w:r>
              <w:rPr>
                <w:rFonts w:ascii="Cambria" w:hAnsi="Cambria"/>
                <w:b w:val="0"/>
                <w:i w:val="0"/>
                <w:color w:val="000000"/>
                <w:sz w:val="20"/>
              </w:rPr>
              <w:t>RHOA</w:t>
            </w:r>
          </w:p>
        </w:tc>
        <w:tc>
          <w:tcPr>
            <w:tcW w:type="dxa" w:w="2004"/>
            <w:tcMar>
              <w:top w:w="60" w:type="dxa"/>
              <w:bottom w:w="60" w:type="dxa"/>
              <w:start w:w="80" w:type="dxa"/>
              <w:end w:w="80" w:type="dxa"/>
            </w:tcMar>
          </w:tcPr>
          <w:p>
            <w:pPr>
              <w:jc w:val="right"/>
            </w:pPr>
            <w:r>
              <w:rPr>
                <w:rFonts w:ascii="Cambria" w:hAnsi="Cambria"/>
                <w:b w:val="0"/>
                <w:i w:val="0"/>
                <w:color w:val="000000"/>
                <w:sz w:val="20"/>
              </w:rPr>
              <w:t>RICTOR</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RIT1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RNF213</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RNF43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SDHA</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SDHB</w:t>
            </w:r>
          </w:p>
        </w:tc>
        <w:tc>
          <w:tcPr>
            <w:tcW w:type="dxa" w:w="2004"/>
            <w:tcMar>
              <w:top w:w="60" w:type="dxa"/>
              <w:bottom w:w="60" w:type="dxa"/>
              <w:start w:w="80" w:type="dxa"/>
              <w:end w:w="80" w:type="dxa"/>
            </w:tcMar>
          </w:tcPr>
          <w:p>
            <w:pPr>
              <w:jc w:val="left"/>
            </w:pPr>
            <w:r>
              <w:rPr>
                <w:rFonts w:ascii="Cambria" w:hAnsi="Cambria"/>
                <w:b w:val="0"/>
                <w:i w:val="0"/>
                <w:color w:val="000000"/>
                <w:sz w:val="20"/>
              </w:rPr>
              <w:t>SDHC</w:t>
            </w:r>
          </w:p>
        </w:tc>
        <w:tc>
          <w:tcPr>
            <w:tcW w:type="dxa" w:w="2004"/>
            <w:tcMar>
              <w:top w:w="60" w:type="dxa"/>
              <w:bottom w:w="60" w:type="dxa"/>
              <w:start w:w="80" w:type="dxa"/>
              <w:end w:w="80" w:type="dxa"/>
            </w:tcMar>
          </w:tcPr>
          <w:p>
            <w:pPr>
              <w:jc w:val="center"/>
            </w:pPr>
            <w:r>
              <w:rPr>
                <w:rFonts w:ascii="Cambria" w:hAnsi="Cambria"/>
                <w:b w:val="0"/>
                <w:i w:val="0"/>
                <w:color w:val="000000"/>
                <w:sz w:val="20"/>
              </w:rPr>
              <w:t>SDHD</w:t>
            </w:r>
          </w:p>
        </w:tc>
        <w:tc>
          <w:tcPr>
            <w:tcW w:type="dxa" w:w="2004"/>
            <w:tcMar>
              <w:top w:w="60" w:type="dxa"/>
              <w:bottom w:w="60" w:type="dxa"/>
              <w:start w:w="80" w:type="dxa"/>
              <w:end w:w="80" w:type="dxa"/>
            </w:tcMar>
          </w:tcPr>
          <w:p>
            <w:pPr>
              <w:jc w:val="left"/>
            </w:pPr>
            <w:r>
              <w:rPr>
                <w:rFonts w:ascii="Cambria" w:hAnsi="Cambria"/>
                <w:b w:val="0"/>
                <w:i w:val="0"/>
                <w:color w:val="000000"/>
                <w:sz w:val="20"/>
              </w:rPr>
              <w:t>SETD2</w:t>
            </w:r>
          </w:p>
        </w:tc>
        <w:tc>
          <w:tcPr>
            <w:tcW w:type="dxa" w:w="2004"/>
            <w:tcMar>
              <w:top w:w="60" w:type="dxa"/>
              <w:bottom w:w="60" w:type="dxa"/>
              <w:start w:w="80" w:type="dxa"/>
              <w:end w:w="80" w:type="dxa"/>
            </w:tcMar>
          </w:tcPr>
          <w:p>
            <w:pPr>
              <w:jc w:val="right"/>
            </w:pPr>
            <w:r>
              <w:rPr>
                <w:rFonts w:ascii="Cambria" w:hAnsi="Cambria"/>
                <w:b w:val="0"/>
                <w:i w:val="0"/>
                <w:color w:val="000000"/>
                <w:sz w:val="20"/>
              </w:rPr>
              <w:t>SF3B1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SLC5A5</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SLX4</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SMAD4</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SMARCA4</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SMARCB1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SMO</w:t>
            </w:r>
          </w:p>
        </w:tc>
        <w:tc>
          <w:tcPr>
            <w:tcW w:type="dxa" w:w="2004"/>
            <w:tcMar>
              <w:top w:w="60" w:type="dxa"/>
              <w:bottom w:w="60" w:type="dxa"/>
              <w:start w:w="80" w:type="dxa"/>
              <w:end w:w="80" w:type="dxa"/>
            </w:tcMar>
          </w:tcPr>
          <w:p>
            <w:pPr>
              <w:jc w:val="left"/>
            </w:pPr>
            <w:r>
              <w:rPr>
                <w:rFonts w:ascii="Cambria" w:hAnsi="Cambria"/>
                <w:b w:val="0"/>
                <w:i w:val="0"/>
                <w:color w:val="000000"/>
                <w:sz w:val="20"/>
              </w:rPr>
              <w:t>SPOP</w:t>
            </w:r>
          </w:p>
        </w:tc>
        <w:tc>
          <w:tcPr>
            <w:tcW w:type="dxa" w:w="2004"/>
            <w:tcMar>
              <w:top w:w="60" w:type="dxa"/>
              <w:bottom w:w="60" w:type="dxa"/>
              <w:start w:w="80" w:type="dxa"/>
              <w:end w:w="80" w:type="dxa"/>
            </w:tcMar>
          </w:tcPr>
          <w:p>
            <w:pPr>
              <w:jc w:val="center"/>
            </w:pPr>
            <w:r>
              <w:rPr>
                <w:rFonts w:ascii="Cambria" w:hAnsi="Cambria"/>
                <w:b w:val="0"/>
                <w:i w:val="0"/>
                <w:color w:val="000000"/>
                <w:sz w:val="20"/>
              </w:rPr>
              <w:t>SRC</w:t>
            </w:r>
          </w:p>
        </w:tc>
        <w:tc>
          <w:tcPr>
            <w:tcW w:type="dxa" w:w="2004"/>
            <w:tcMar>
              <w:top w:w="60" w:type="dxa"/>
              <w:bottom w:w="60" w:type="dxa"/>
              <w:start w:w="80" w:type="dxa"/>
              <w:end w:w="80" w:type="dxa"/>
            </w:tcMar>
          </w:tcPr>
          <w:p>
            <w:pPr>
              <w:jc w:val="left"/>
            </w:pPr>
            <w:r>
              <w:rPr>
                <w:rFonts w:ascii="Cambria" w:hAnsi="Cambria"/>
                <w:b w:val="0"/>
                <w:i w:val="0"/>
                <w:color w:val="000000"/>
                <w:sz w:val="20"/>
              </w:rPr>
              <w:t>STAT3</w:t>
            </w:r>
          </w:p>
        </w:tc>
        <w:tc>
          <w:tcPr>
            <w:tcW w:type="dxa" w:w="2004"/>
            <w:tcMar>
              <w:top w:w="60" w:type="dxa"/>
              <w:bottom w:w="60" w:type="dxa"/>
              <w:start w:w="80" w:type="dxa"/>
              <w:end w:w="80" w:type="dxa"/>
            </w:tcMar>
          </w:tcPr>
          <w:p>
            <w:pPr>
              <w:jc w:val="right"/>
            </w:pPr>
            <w:r>
              <w:rPr>
                <w:rFonts w:ascii="Cambria" w:hAnsi="Cambria"/>
                <w:b w:val="0"/>
                <w:i w:val="0"/>
                <w:color w:val="000000"/>
                <w:sz w:val="20"/>
              </w:rPr>
              <w:t>STK11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SUFU</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SUZ12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SYN2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TERT</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TG</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TOP1</w:t>
            </w:r>
          </w:p>
        </w:tc>
        <w:tc>
          <w:tcPr>
            <w:tcW w:type="dxa" w:w="2004"/>
            <w:tcMar>
              <w:top w:w="60" w:type="dxa"/>
              <w:bottom w:w="60" w:type="dxa"/>
              <w:start w:w="80" w:type="dxa"/>
              <w:end w:w="80" w:type="dxa"/>
            </w:tcMar>
          </w:tcPr>
          <w:p>
            <w:pPr>
              <w:jc w:val="left"/>
            </w:pPr>
            <w:r>
              <w:rPr>
                <w:rFonts w:ascii="Cambria" w:hAnsi="Cambria"/>
                <w:b w:val="0"/>
                <w:i w:val="0"/>
                <w:color w:val="000000"/>
                <w:sz w:val="20"/>
              </w:rPr>
              <w:t>TP53</w:t>
            </w:r>
          </w:p>
        </w:tc>
        <w:tc>
          <w:tcPr>
            <w:tcW w:type="dxa" w:w="2004"/>
            <w:tcMar>
              <w:top w:w="60" w:type="dxa"/>
              <w:bottom w:w="60" w:type="dxa"/>
              <w:start w:w="80" w:type="dxa"/>
              <w:end w:w="80" w:type="dxa"/>
            </w:tcMar>
          </w:tcPr>
          <w:p>
            <w:pPr>
              <w:jc w:val="center"/>
            </w:pPr>
            <w:r>
              <w:rPr>
                <w:rFonts w:ascii="Cambria" w:hAnsi="Cambria"/>
                <w:b w:val="0"/>
                <w:i w:val="0"/>
                <w:color w:val="000000"/>
                <w:sz w:val="20"/>
              </w:rPr>
              <w:t>TSC1</w:t>
            </w:r>
          </w:p>
        </w:tc>
        <w:tc>
          <w:tcPr>
            <w:tcW w:type="dxa" w:w="2004"/>
            <w:tcMar>
              <w:top w:w="60" w:type="dxa"/>
              <w:bottom w:w="60" w:type="dxa"/>
              <w:start w:w="80" w:type="dxa"/>
              <w:end w:w="80" w:type="dxa"/>
            </w:tcMar>
          </w:tcPr>
          <w:p>
            <w:pPr>
              <w:jc w:val="left"/>
            </w:pPr>
            <w:r>
              <w:rPr>
                <w:rFonts w:ascii="Cambria" w:hAnsi="Cambria"/>
                <w:b w:val="0"/>
                <w:i w:val="0"/>
                <w:color w:val="000000"/>
                <w:sz w:val="20"/>
              </w:rPr>
              <w:t>TSC2</w:t>
            </w:r>
          </w:p>
        </w:tc>
        <w:tc>
          <w:tcPr>
            <w:tcW w:type="dxa" w:w="2004"/>
            <w:tcMar>
              <w:top w:w="60" w:type="dxa"/>
              <w:bottom w:w="60" w:type="dxa"/>
              <w:start w:w="80" w:type="dxa"/>
              <w:end w:w="80" w:type="dxa"/>
            </w:tcMar>
          </w:tcPr>
          <w:p>
            <w:pPr>
              <w:jc w:val="right"/>
            </w:pPr>
            <w:r>
              <w:rPr>
                <w:rFonts w:ascii="Times New Roman" w:hAnsi="Times New Roman"/>
                <w:b w:val="0"/>
                <w:i w:val="0"/>
                <w:color w:val="000000"/>
                <w:sz w:val="19"/>
              </w:rPr>
              <w:t>TSHR</w:t>
            </w:r>
          </w:p>
        </w:tc>
      </w:tr>
      <w:tr>
        <w:trPr>
          <w:cantSplit w:val="true"/>
        </w:trPr>
        <w:tc>
          <w:tcPr>
            <w:tcW w:type="dxa" w:w="245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U2AF1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VHL</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XPO1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XRCC2</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ABL1</w:t>
            </w:r>
          </w:p>
        </w:tc>
        <w:tc>
          <w:tcPr>
            <w:tcW w:type="dxa" w:w="2004"/>
            <w:tcMar>
              <w:top w:w="60" w:type="dxa"/>
              <w:bottom w:w="60" w:type="dxa"/>
              <w:start w:w="80" w:type="dxa"/>
              <w:end w:w="80" w:type="dxa"/>
            </w:tcMar>
          </w:tcPr>
          <w:p>
            <w:pPr>
              <w:jc w:val="left"/>
            </w:pPr>
            <w:r>
              <w:rPr>
                <w:rFonts w:ascii="Cambria" w:hAnsi="Cambria"/>
                <w:b w:val="0"/>
                <w:i w:val="0"/>
                <w:color w:val="000000"/>
                <w:sz w:val="20"/>
              </w:rPr>
              <w:t>AKT3</w:t>
            </w:r>
          </w:p>
        </w:tc>
        <w:tc>
          <w:tcPr>
            <w:tcW w:type="dxa" w:w="2004"/>
            <w:tcMar>
              <w:top w:w="60" w:type="dxa"/>
              <w:bottom w:w="60" w:type="dxa"/>
              <w:start w:w="80" w:type="dxa"/>
              <w:end w:w="80" w:type="dxa"/>
            </w:tcMar>
          </w:tcPr>
          <w:p>
            <w:pPr>
              <w:jc w:val="center"/>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AXL</w:t>
            </w:r>
          </w:p>
        </w:tc>
        <w:tc>
          <w:tcPr>
            <w:tcW w:type="dxa" w:w="2004"/>
            <w:tcMar>
              <w:top w:w="60" w:type="dxa"/>
              <w:bottom w:w="60" w:type="dxa"/>
              <w:start w:w="80" w:type="dxa"/>
              <w:end w:w="80" w:type="dxa"/>
            </w:tcMar>
          </w:tcPr>
          <w:p>
            <w:pPr>
              <w:jc w:val="right"/>
            </w:pPr>
            <w:r>
              <w:rPr>
                <w:rFonts w:ascii="Cambria" w:hAnsi="Cambria"/>
                <w:b w:val="0"/>
                <w:i w:val="0"/>
                <w:color w:val="000000"/>
                <w:sz w:val="20"/>
              </w:rPr>
              <w:t>BRAF</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CCND1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CIC</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CLIP1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EGFR</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EML4</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ERBB2</w:t>
            </w:r>
          </w:p>
        </w:tc>
        <w:tc>
          <w:tcPr>
            <w:tcW w:type="dxa" w:w="2004"/>
            <w:tcMar>
              <w:top w:w="60" w:type="dxa"/>
              <w:bottom w:w="60" w:type="dxa"/>
              <w:start w:w="80" w:type="dxa"/>
              <w:end w:w="80" w:type="dxa"/>
            </w:tcMar>
          </w:tcPr>
          <w:p>
            <w:pPr>
              <w:jc w:val="left"/>
            </w:pPr>
            <w:r>
              <w:rPr>
                <w:rFonts w:ascii="Cambria" w:hAnsi="Cambria"/>
                <w:b w:val="0"/>
                <w:i w:val="0"/>
                <w:color w:val="000000"/>
                <w:sz w:val="20"/>
              </w:rPr>
              <w:t>ERBB4</w:t>
            </w:r>
          </w:p>
        </w:tc>
        <w:tc>
          <w:tcPr>
            <w:tcW w:type="dxa" w:w="2004"/>
            <w:tcMar>
              <w:top w:w="60" w:type="dxa"/>
              <w:bottom w:w="60" w:type="dxa"/>
              <w:start w:w="80" w:type="dxa"/>
              <w:end w:w="80" w:type="dxa"/>
            </w:tcMar>
          </w:tcPr>
          <w:p>
            <w:pPr>
              <w:jc w:val="center"/>
            </w:pPr>
            <w:r>
              <w:rPr>
                <w:rFonts w:ascii="Cambria" w:hAnsi="Cambria"/>
                <w:b w:val="0"/>
                <w:i w:val="0"/>
                <w:color w:val="000000"/>
                <w:sz w:val="20"/>
              </w:rPr>
              <w:t>ERG</w:t>
            </w:r>
          </w:p>
        </w:tc>
        <w:tc>
          <w:tcPr>
            <w:tcW w:type="dxa" w:w="2004"/>
            <w:tcMar>
              <w:top w:w="60" w:type="dxa"/>
              <w:bottom w:w="60" w:type="dxa"/>
              <w:start w:w="80" w:type="dxa"/>
              <w:end w:w="80" w:type="dxa"/>
            </w:tcMar>
          </w:tcPr>
          <w:p>
            <w:pPr>
              <w:jc w:val="left"/>
            </w:pPr>
            <w:r>
              <w:rPr>
                <w:rFonts w:ascii="Cambria" w:hAnsi="Cambria"/>
                <w:b w:val="0"/>
                <w:i w:val="0"/>
                <w:color w:val="000000"/>
                <w:sz w:val="20"/>
              </w:rPr>
              <w:t>ETV1</w:t>
            </w:r>
          </w:p>
        </w:tc>
        <w:tc>
          <w:tcPr>
            <w:tcW w:type="dxa" w:w="2004"/>
            <w:tcMar>
              <w:top w:w="60" w:type="dxa"/>
              <w:bottom w:w="60" w:type="dxa"/>
              <w:start w:w="80" w:type="dxa"/>
              <w:end w:w="80" w:type="dxa"/>
            </w:tcMar>
          </w:tcPr>
          <w:p>
            <w:pPr>
              <w:jc w:val="right"/>
            </w:pPr>
            <w:r>
              <w:rPr>
                <w:rFonts w:ascii="Cambria" w:hAnsi="Cambria"/>
                <w:b w:val="0"/>
                <w:i w:val="0"/>
                <w:color w:val="000000"/>
                <w:sz w:val="20"/>
              </w:rPr>
              <w:t>ETV4</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ETV5</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ETV6</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EWSR1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FARSB</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FGFR1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FGFR2</w:t>
            </w:r>
          </w:p>
        </w:tc>
        <w:tc>
          <w:tcPr>
            <w:tcW w:type="dxa" w:w="2004"/>
            <w:tcMar>
              <w:top w:w="60" w:type="dxa"/>
              <w:bottom w:w="60" w:type="dxa"/>
              <w:start w:w="80" w:type="dxa"/>
              <w:end w:w="80" w:type="dxa"/>
            </w:tcMar>
          </w:tcPr>
          <w:p>
            <w:pPr>
              <w:jc w:val="left"/>
            </w:pPr>
            <w:r>
              <w:rPr>
                <w:rFonts w:ascii="Cambria" w:hAnsi="Cambria"/>
                <w:b w:val="0"/>
                <w:i w:val="0"/>
                <w:color w:val="000000"/>
                <w:sz w:val="20"/>
              </w:rPr>
              <w:t>FGFR3</w:t>
            </w:r>
          </w:p>
        </w:tc>
        <w:tc>
          <w:tcPr>
            <w:tcW w:type="dxa" w:w="2004"/>
            <w:tcMar>
              <w:top w:w="60" w:type="dxa"/>
              <w:bottom w:w="60" w:type="dxa"/>
              <w:start w:w="80" w:type="dxa"/>
              <w:end w:w="80" w:type="dxa"/>
            </w:tcMar>
          </w:tcPr>
          <w:p>
            <w:pPr>
              <w:jc w:val="center"/>
            </w:pPr>
            <w:r>
              <w:rPr>
                <w:rFonts w:ascii="Cambria" w:hAnsi="Cambria"/>
                <w:b w:val="0"/>
                <w:i w:val="0"/>
                <w:color w:val="000000"/>
                <w:sz w:val="20"/>
              </w:rPr>
              <w:t>FGFR4</w:t>
            </w:r>
          </w:p>
        </w:tc>
        <w:tc>
          <w:tcPr>
            <w:tcW w:type="dxa" w:w="2004"/>
            <w:tcMar>
              <w:top w:w="60" w:type="dxa"/>
              <w:bottom w:w="60" w:type="dxa"/>
              <w:start w:w="80" w:type="dxa"/>
              <w:end w:w="80" w:type="dxa"/>
            </w:tcMar>
          </w:tcPr>
          <w:p>
            <w:pPr>
              <w:jc w:val="left"/>
            </w:pPr>
            <w:r>
              <w:rPr>
                <w:rFonts w:ascii="Cambria" w:hAnsi="Cambria"/>
                <w:b w:val="0"/>
                <w:i w:val="0"/>
                <w:color w:val="000000"/>
                <w:sz w:val="20"/>
              </w:rPr>
              <w:t>FUS</w:t>
            </w:r>
          </w:p>
        </w:tc>
        <w:tc>
          <w:tcPr>
            <w:tcW w:type="dxa" w:w="2004"/>
            <w:tcMar>
              <w:top w:w="60" w:type="dxa"/>
              <w:bottom w:w="60" w:type="dxa"/>
              <w:start w:w="80" w:type="dxa"/>
              <w:end w:w="80" w:type="dxa"/>
            </w:tcMar>
          </w:tcPr>
          <w:p>
            <w:pPr>
              <w:jc w:val="right"/>
            </w:pPr>
            <w:r>
              <w:rPr>
                <w:rFonts w:ascii="Cambria" w:hAnsi="Cambria"/>
                <w:b w:val="0"/>
                <w:i w:val="0"/>
                <w:color w:val="000000"/>
                <w:sz w:val="20"/>
              </w:rPr>
              <w:t>GLIS3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KIAA1549</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KIF5B</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MAML2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MET</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MN1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MYB</w:t>
            </w:r>
          </w:p>
        </w:tc>
        <w:tc>
          <w:tcPr>
            <w:tcW w:type="dxa" w:w="2004"/>
            <w:tcMar>
              <w:top w:w="60" w:type="dxa"/>
              <w:bottom w:w="60" w:type="dxa"/>
              <w:start w:w="80" w:type="dxa"/>
              <w:end w:w="80" w:type="dxa"/>
            </w:tcMar>
          </w:tcPr>
          <w:p>
            <w:pPr>
              <w:jc w:val="left"/>
            </w:pPr>
            <w:r>
              <w:rPr>
                <w:rFonts w:ascii="Cambria" w:hAnsi="Cambria"/>
                <w:b w:val="0"/>
                <w:i w:val="0"/>
                <w:color w:val="000000"/>
                <w:sz w:val="20"/>
              </w:rPr>
              <w:t>MYBL1</w:t>
            </w:r>
          </w:p>
        </w:tc>
        <w:tc>
          <w:tcPr>
            <w:tcW w:type="dxa" w:w="2004"/>
            <w:tcMar>
              <w:top w:w="60" w:type="dxa"/>
              <w:bottom w:w="60" w:type="dxa"/>
              <w:start w:w="80" w:type="dxa"/>
              <w:end w:w="80" w:type="dxa"/>
            </w:tcMar>
          </w:tcPr>
          <w:p>
            <w:pPr>
              <w:jc w:val="center"/>
            </w:pPr>
            <w:r>
              <w:rPr>
                <w:rFonts w:ascii="Cambria" w:hAnsi="Cambria"/>
                <w:b w:val="0"/>
                <w:i w:val="0"/>
                <w:color w:val="000000"/>
                <w:sz w:val="20"/>
              </w:rPr>
              <w:t>NOTCH1</w:t>
            </w:r>
          </w:p>
        </w:tc>
        <w:tc>
          <w:tcPr>
            <w:tcW w:type="dxa" w:w="2004"/>
            <w:tcMar>
              <w:top w:w="60" w:type="dxa"/>
              <w:bottom w:w="60" w:type="dxa"/>
              <w:start w:w="80" w:type="dxa"/>
              <w:end w:w="80" w:type="dxa"/>
            </w:tcMar>
          </w:tcPr>
          <w:p>
            <w:pPr>
              <w:jc w:val="left"/>
            </w:pPr>
            <w:r>
              <w:rPr>
                <w:rFonts w:ascii="Cambria" w:hAnsi="Cambria"/>
                <w:b w:val="0"/>
                <w:i w:val="0"/>
                <w:color w:val="000000"/>
                <w:sz w:val="20"/>
              </w:rPr>
              <w:t>NOTCH2</w:t>
            </w:r>
          </w:p>
        </w:tc>
        <w:tc>
          <w:tcPr>
            <w:tcW w:type="dxa" w:w="2004"/>
            <w:tcMar>
              <w:top w:w="60" w:type="dxa"/>
              <w:bottom w:w="60" w:type="dxa"/>
              <w:start w:w="80" w:type="dxa"/>
              <w:end w:w="80" w:type="dxa"/>
            </w:tcMar>
          </w:tcPr>
          <w:p>
            <w:pPr>
              <w:jc w:val="right"/>
            </w:pPr>
            <w:r>
              <w:rPr>
                <w:rFonts w:ascii="Cambria" w:hAnsi="Cambria"/>
                <w:b w:val="0"/>
                <w:i w:val="0"/>
                <w:color w:val="000000"/>
                <w:sz w:val="20"/>
              </w:rPr>
              <w:t>NRG1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NTRK1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NTRK2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NTRK3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PAX8</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PDGFB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PDGFRA</w:t>
            </w:r>
          </w:p>
        </w:tc>
        <w:tc>
          <w:tcPr>
            <w:tcW w:type="dxa" w:w="2004"/>
            <w:tcMar>
              <w:top w:w="60" w:type="dxa"/>
              <w:bottom w:w="60" w:type="dxa"/>
              <w:start w:w="80" w:type="dxa"/>
              <w:end w:w="80" w:type="dxa"/>
            </w:tcMar>
          </w:tcPr>
          <w:p>
            <w:pPr>
              <w:jc w:val="left"/>
            </w:pPr>
            <w:r>
              <w:rPr>
                <w:rFonts w:ascii="Cambria" w:hAnsi="Cambria"/>
                <w:b w:val="0"/>
                <w:i w:val="0"/>
                <w:color w:val="000000"/>
                <w:sz w:val="20"/>
              </w:rPr>
              <w:t>PDGFRB</w:t>
            </w:r>
          </w:p>
        </w:tc>
        <w:tc>
          <w:tcPr>
            <w:tcW w:type="dxa" w:w="2004"/>
            <w:tcMar>
              <w:top w:w="60" w:type="dxa"/>
              <w:bottom w:w="60" w:type="dxa"/>
              <w:start w:w="80" w:type="dxa"/>
              <w:end w:w="80" w:type="dxa"/>
            </w:tcMar>
          </w:tcPr>
          <w:p>
            <w:pPr>
              <w:jc w:val="center"/>
            </w:pPr>
            <w:r>
              <w:rPr>
                <w:rFonts w:ascii="Cambria" w:hAnsi="Cambria"/>
                <w:b w:val="0"/>
                <w:i w:val="0"/>
                <w:color w:val="000000"/>
                <w:sz w:val="20"/>
              </w:rPr>
              <w:t>PICALM</w:t>
            </w:r>
          </w:p>
        </w:tc>
        <w:tc>
          <w:tcPr>
            <w:tcW w:type="dxa" w:w="2004"/>
            <w:tcMar>
              <w:top w:w="60" w:type="dxa"/>
              <w:bottom w:w="60" w:type="dxa"/>
              <w:start w:w="80" w:type="dxa"/>
              <w:end w:w="80" w:type="dxa"/>
            </w:tcMar>
          </w:tcPr>
          <w:p>
            <w:pPr>
              <w:jc w:val="left"/>
            </w:pPr>
            <w:r>
              <w:rPr>
                <w:rFonts w:ascii="Cambria" w:hAnsi="Cambria"/>
                <w:b w:val="0"/>
                <w:i w:val="0"/>
                <w:color w:val="000000"/>
                <w:sz w:val="20"/>
              </w:rPr>
              <w:t>PPARG</w:t>
            </w:r>
          </w:p>
        </w:tc>
        <w:tc>
          <w:tcPr>
            <w:tcW w:type="dxa" w:w="2004"/>
            <w:tcMar>
              <w:top w:w="60" w:type="dxa"/>
              <w:bottom w:w="60" w:type="dxa"/>
              <w:start w:w="80" w:type="dxa"/>
              <w:end w:w="80" w:type="dxa"/>
            </w:tcMar>
          </w:tcPr>
          <w:p>
            <w:pPr>
              <w:jc w:val="right"/>
            </w:pPr>
            <w:r>
              <w:rPr>
                <w:rFonts w:ascii="Cambria" w:hAnsi="Cambria"/>
                <w:b w:val="0"/>
                <w:i w:val="0"/>
                <w:color w:val="000000"/>
                <w:sz w:val="20"/>
              </w:rPr>
              <w:t>PRKCA</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RAF1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RET</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RNF213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SS18</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STAT6</w:t>
            </w:r>
          </w:p>
        </w:tc>
        <w:tc>
          <w:tcPr>
            <w:tcW w:type="dxa" w:w="2004"/>
            <w:tcMar>
              <w:top w:w="60" w:type="dxa"/>
              <w:bottom w:w="60" w:type="dxa"/>
              <w:start w:w="80" w:type="dxa"/>
              <w:end w:w="80" w:type="dxa"/>
            </w:tcMar>
          </w:tcPr>
          <w:p>
            <w:pPr>
              <w:jc w:val="left"/>
            </w:pPr>
            <w:r>
              <w:rPr>
                <w:rFonts w:ascii="Cambria" w:hAnsi="Cambria"/>
                <w:b w:val="0"/>
                <w:i w:val="0"/>
                <w:color w:val="000000"/>
                <w:sz w:val="20"/>
              </w:rPr>
              <w:t>SYN2</w:t>
            </w:r>
          </w:p>
        </w:tc>
        <w:tc>
          <w:tcPr>
            <w:tcW w:type="dxa" w:w="2004"/>
            <w:tcMar>
              <w:top w:w="60" w:type="dxa"/>
              <w:bottom w:w="60" w:type="dxa"/>
              <w:start w:w="80" w:type="dxa"/>
              <w:end w:w="80" w:type="dxa"/>
            </w:tcMar>
          </w:tcPr>
          <w:p>
            <w:pPr>
              <w:jc w:val="center"/>
            </w:pPr>
            <w:r>
              <w:rPr>
                <w:rFonts w:ascii="Cambria" w:hAnsi="Cambria"/>
                <w:b w:val="0"/>
                <w:i w:val="0"/>
                <w:color w:val="000000"/>
                <w:sz w:val="20"/>
              </w:rPr>
              <w:t>TACC3</w:t>
            </w:r>
          </w:p>
        </w:tc>
        <w:tc>
          <w:tcPr>
            <w:tcW w:type="dxa" w:w="2004"/>
            <w:tcMar>
              <w:top w:w="60" w:type="dxa"/>
              <w:bottom w:w="60" w:type="dxa"/>
              <w:start w:w="80" w:type="dxa"/>
              <w:end w:w="80" w:type="dxa"/>
            </w:tcMar>
          </w:tcPr>
          <w:p>
            <w:pPr>
              <w:jc w:val="left"/>
            </w:pPr>
            <w:r>
              <w:rPr>
                <w:rFonts w:ascii="Cambria" w:hAnsi="Cambria"/>
                <w:b w:val="0"/>
                <w:i w:val="0"/>
                <w:color w:val="000000"/>
                <w:sz w:val="20"/>
              </w:rPr>
              <w:t>TFG</w:t>
            </w:r>
          </w:p>
        </w:tc>
        <w:tc>
          <w:tcPr>
            <w:tcW w:type="dxa" w:w="2004"/>
            <w:tcMar>
              <w:top w:w="60" w:type="dxa"/>
              <w:bottom w:w="60" w:type="dxa"/>
              <w:start w:w="80" w:type="dxa"/>
              <w:end w:w="80" w:type="dxa"/>
            </w:tcMar>
          </w:tcPr>
          <w:p>
            <w:pPr>
              <w:jc w:val="right"/>
            </w:pPr>
            <w:r>
              <w:rPr>
                <w:rFonts w:ascii="Cambria" w:hAnsi="Cambria"/>
                <w:b w:val="0"/>
                <w:i w:val="0"/>
                <w:color w:val="000000"/>
                <w:sz w:val="20"/>
              </w:rPr>
              <w:t>THADA</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UACA</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YAP1</w:t>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0"/>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0"/>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0"/>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12"/>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8954"/>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1512"/>
            <w:shd w:val="clear" w:color="auto" w:fill="ececec"/>
            <w:tcMar>
              <w:top w:w="60" w:type="dxa"/>
              <w:bottom w:w="60" w:type="dxa"/>
              <w:start w:w="80" w:type="dxa"/>
              <w:end w:w="80" w:type="dxa"/>
            </w:tcMar>
          </w:tcPr>
          <w:p>
            <w:pPr>
              <w:jc w:val="left"/>
            </w:pPr>
            <w:r>
              <w:rPr>
                <w:rFonts w:ascii="Cambria" w:hAnsi="Cambria"/>
                <w:b/>
                <w:i w:val="0"/>
                <w:color w:val="000000"/>
                <w:sz w:val="20"/>
              </w:rPr>
              <w:t>Tier IA</w:t>
            </w:r>
          </w:p>
        </w:tc>
        <w:tc>
          <w:tcPr>
            <w:tcW w:type="dxa" w:w="8954"/>
            <w:shd w:val="clear" w:color="auto" w:fill="ecece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12"/>
            <w:shd w:val="clear" w:color="auto" w:fill="f8fafc"/>
            <w:tcMar>
              <w:top w:w="60" w:type="dxa"/>
              <w:bottom w:w="60" w:type="dxa"/>
              <w:start w:w="80" w:type="dxa"/>
              <w:end w:w="80" w:type="dxa"/>
            </w:tcMar>
          </w:tcPr>
          <w:p>
            <w:pPr>
              <w:jc w:val="left"/>
            </w:pPr>
            <w:r>
              <w:rPr>
                <w:rFonts w:ascii="Cambria" w:hAnsi="Cambria"/>
                <w:b/>
                <w:i w:val="0"/>
                <w:color w:val="000000"/>
                <w:sz w:val="20"/>
              </w:rPr>
              <w:t>Tier IB</w:t>
            </w:r>
          </w:p>
        </w:tc>
        <w:tc>
          <w:tcPr>
            <w:tcW w:type="dxa" w:w="8954"/>
            <w:shd w:val="clear" w:color="auto" w:fill="f8faf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a therapy</w:t>
              <w:br/>
              <w:t>based on well-powered studies with consensus from experts in the field, or have diagnostic and/or</w:t>
              <w:br/>
              <w:t>prognostic significance of certain diseases based on well-powered studies with expert consensus.</w:t>
            </w:r>
          </w:p>
        </w:tc>
      </w:tr>
      <w:tr>
        <w:trPr>
          <w:cantSplit w:val="true"/>
        </w:trPr>
        <w:tc>
          <w:tcPr>
            <w:tcW w:type="dxa" w:w="1512"/>
            <w:shd w:val="clear" w:color="auto" w:fill="ececec"/>
            <w:tcMar>
              <w:top w:w="60" w:type="dxa"/>
              <w:bottom w:w="60" w:type="dxa"/>
              <w:start w:w="80" w:type="dxa"/>
              <w:end w:w="80" w:type="dxa"/>
            </w:tcMar>
          </w:tcPr>
          <w:p>
            <w:pPr>
              <w:jc w:val="left"/>
            </w:pPr>
            <w:r>
              <w:rPr>
                <w:rFonts w:ascii="Cambria" w:hAnsi="Cambria"/>
                <w:b/>
                <w:i w:val="0"/>
                <w:color w:val="000000"/>
                <w:sz w:val="20"/>
              </w:rPr>
              <w:t>Tier IIC</w:t>
            </w:r>
          </w:p>
        </w:tc>
        <w:tc>
          <w:tcPr>
            <w:tcW w:type="dxa" w:w="8954"/>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Page 9 of 17</w:t>
            </w:r>
          </w:p>
        </w:tc>
      </w:tr>
    </w:tbl>
    <w:p>
      <w:pPr>
        <w:spacing w:before="0" w:after="120" w:line="20" w:lineRule="exact"/>
      </w:pPr>
      <w:r>
        <w:rPr>
          <w:sz w:val="2"/>
        </w:rPr>
      </w:r>
    </w:p>
    <w:p>
      <w:pPr>
        <w:spacing w:before="71"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54"/>
            <w:shd w:val="clear" w:color="auto" w:fill="ececec"/>
            <w:tcMar>
              <w:top w:w="60" w:type="dxa"/>
              <w:bottom w:w="60" w:type="dxa"/>
              <w:start w:w="80" w:type="dxa"/>
              <w:end w:w="80" w:type="dxa"/>
            </w:tcMar>
          </w:tcPr>
          <w:p>
            <w:pPr>
              <w:jc w:val="center"/>
            </w:pPr>
            <w:r>
              <w:rPr>
                <w:rFonts w:ascii="Times New Roman" w:hAnsi="Times New Roman"/>
                <w:b/>
                <w:color w:val="FFFFFF"/>
                <w:sz w:val="19"/>
              </w:rPr>
              <w:t>Tier</w:t>
            </w:r>
          </w:p>
        </w:tc>
        <w:tc>
          <w:tcPr>
            <w:tcW w:type="dxa" w:w="8912"/>
            <w:shd w:val="clear" w:color="auto" w:fill="ececec"/>
            <w:tcMar>
              <w:top w:w="60" w:type="dxa"/>
              <w:bottom w:w="60" w:type="dxa"/>
              <w:start w:w="80" w:type="dxa"/>
              <w:end w:w="80" w:type="dxa"/>
            </w:tcMar>
          </w:tcPr>
          <w:p>
            <w:pPr>
              <w:jc w:val="center"/>
            </w:pPr>
            <w:r>
              <w:rPr>
                <w:rFonts w:ascii="Cambria" w:hAnsi="Cambria"/>
                <w:b w:val="0"/>
                <w:color w:val="000000"/>
                <w:sz w:val="20"/>
              </w:rPr>
              <w:t>Interpretation</w:t>
            </w:r>
          </w:p>
        </w:tc>
      </w:tr>
      <w:tr>
        <w:trPr>
          <w:cantSplit w:val="true"/>
        </w:trPr>
        <w:tc>
          <w:tcPr>
            <w:tcW w:type="dxa" w:w="1554"/>
            <w:tcMar>
              <w:top w:w="60" w:type="dxa"/>
              <w:bottom w:w="60" w:type="dxa"/>
              <w:start w:w="80" w:type="dxa"/>
              <w:end w:w="80" w:type="dxa"/>
            </w:tcMar>
          </w:tcPr>
          <w:p>
            <w:pPr>
              <w:jc w:val="left"/>
            </w:pPr>
            <w:r>
              <w:rPr>
                <w:rFonts w:ascii="Cambria" w:hAnsi="Cambria"/>
                <w:b/>
                <w:i w:val="0"/>
                <w:color w:val="000000"/>
                <w:sz w:val="20"/>
              </w:rPr>
            </w:r>
          </w:p>
        </w:tc>
        <w:tc>
          <w:tcPr>
            <w:tcW w:type="dxa" w:w="8912"/>
            <w:tcMar>
              <w:top w:w="60" w:type="dxa"/>
              <w:bottom w:w="60" w:type="dxa"/>
              <w:start w:w="80" w:type="dxa"/>
              <w:end w:w="80" w:type="dxa"/>
            </w:tcMar>
          </w:tcPr>
          <w:p>
            <w:pPr>
              <w:jc w:val="left"/>
            </w:pPr>
            <w:r>
              <w:rPr>
                <w:rFonts w:ascii="Cambria" w:hAnsi="Cambria"/>
                <w:b w:val="0"/>
                <w:i w:val="0"/>
                <w:color w:val="000000"/>
                <w:sz w:val="20"/>
              </w:rPr>
              <w:t>based on the results of multiple small studies.</w:t>
            </w:r>
          </w:p>
        </w:tc>
      </w:tr>
      <w:tr>
        <w:trPr>
          <w:cantSplit w:val="true"/>
        </w:trPr>
        <w:tc>
          <w:tcPr>
            <w:tcW w:type="dxa" w:w="1554"/>
            <w:shd w:val="clear" w:color="auto" w:fill="ececec"/>
            <w:tcMar>
              <w:top w:w="60" w:type="dxa"/>
              <w:bottom w:w="60" w:type="dxa"/>
              <w:start w:w="80" w:type="dxa"/>
              <w:end w:w="80" w:type="dxa"/>
            </w:tcMar>
          </w:tcPr>
          <w:p>
            <w:pPr>
              <w:jc w:val="left"/>
            </w:pPr>
            <w:r>
              <w:rPr>
                <w:rFonts w:ascii="Cambria" w:hAnsi="Cambria"/>
                <w:b/>
                <w:i w:val="0"/>
                <w:color w:val="000000"/>
                <w:sz w:val="20"/>
              </w:rPr>
              <w:t>Tier IID</w:t>
            </w:r>
          </w:p>
        </w:tc>
        <w:tc>
          <w:tcPr>
            <w:tcW w:type="dxa" w:w="8912"/>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554"/>
            <w:tcMar>
              <w:top w:w="60" w:type="dxa"/>
              <w:bottom w:w="60" w:type="dxa"/>
              <w:start w:w="80" w:type="dxa"/>
              <w:end w:w="80" w:type="dxa"/>
            </w:tcMar>
          </w:tcPr>
          <w:p>
            <w:pPr>
              <w:jc w:val="left"/>
            </w:pPr>
            <w:r>
              <w:rPr>
                <w:rFonts w:ascii="Times New Roman" w:hAnsi="Times New Roman"/>
                <w:b w:val="0"/>
                <w:i w:val="0"/>
                <w:color w:val="000000"/>
                <w:sz w:val="19"/>
              </w:rPr>
              <w:t>Tier III</w:t>
            </w:r>
          </w:p>
        </w:tc>
        <w:tc>
          <w:tcPr>
            <w:tcW w:type="dxa" w:w="8912"/>
            <w:tcMar>
              <w:top w:w="60" w:type="dxa"/>
              <w:bottom w:w="60" w:type="dxa"/>
              <w:start w:w="80" w:type="dxa"/>
              <w:end w:w="80" w:type="dxa"/>
            </w:tcMar>
          </w:tcPr>
          <w:p>
            <w:pPr>
              <w:jc w:val="left"/>
            </w:pPr>
            <w:r>
              <w:rPr>
                <w:rFonts w:ascii="Times New Roman" w:hAnsi="Times New Roman"/>
                <w:b w:val="0"/>
                <w:i w:val="0"/>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304" w:after="60"/>
        <w:jc w:val="left"/>
      </w:pPr>
      <w:r>
        <w:rPr>
          <w:rFonts w:ascii="Cambria" w:hAnsi="Cambria"/>
          <w:b/>
          <w:i w:val="0"/>
          <w:color w:val="1F497D"/>
          <w:sz w:val="20"/>
        </w:rPr>
        <w:t>References:</w:t>
      </w:r>
    </w:p>
    <w:p>
      <w:pPr>
        <w:spacing w:before="154"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50" w:after="80" w:line="276" w:lineRule="auto"/>
        <w:jc w:val="left"/>
      </w:pPr>
      <w:r>
        <w:rPr>
          <w:rFonts w:ascii="Cambria" w:hAnsi="Cambria"/>
          <w:color w:val="000000"/>
          <w:sz w:val="20"/>
        </w:rPr>
        <w:t>2. Nag et al. The MDM2-p53 pathway revisited. J Biomed Res. 2013 Jul;27(4):254-71. PMID: 23885265</w:t>
      </w:r>
    </w:p>
    <w:p>
      <w:pPr>
        <w:spacing w:before="150" w:after="80" w:line="276" w:lineRule="auto"/>
        <w:jc w:val="left"/>
      </w:pPr>
      <w:r>
        <w:rPr>
          <w:rFonts w:ascii="Cambria" w:hAnsi="Cambria"/>
          <w:color w:val="000000"/>
          <w:sz w:val="20"/>
        </w:rPr>
        <w:t>3. Muller et al. Mutant p53 in cancer: new functions and therapeutic opportunities. Cancer Cell. 2014 Mar 17;25(3):304-17. PMID: 24651012</w:t>
      </w:r>
    </w:p>
    <w:p>
      <w:pPr>
        <w:spacing w:before="150" w:after="80" w:line="276" w:lineRule="auto"/>
        <w:jc w:val="left"/>
      </w:pPr>
      <w:r>
        <w:rPr>
          <w:rFonts w:ascii="Cambria" w:hAnsi="Cambria"/>
          <w:color w:val="000000"/>
          <w:sz w:val="20"/>
        </w:rPr>
        <w:t>4. Olivier et al. TP53 mutations in human cancers: origins, consequences, and clinical use. Cold Spring Harb Perspect Biol. 2010 Jan;2(1):a001008. PMID: 20182602</w:t>
      </w:r>
    </w:p>
    <w:p>
      <w:pPr>
        <w:spacing w:before="150" w:after="80" w:line="276" w:lineRule="auto"/>
        <w:jc w:val="left"/>
      </w:pPr>
      <w:r>
        <w:rPr>
          <w:rFonts w:ascii="Cambria" w:hAnsi="Cambria"/>
          <w:color w:val="000000"/>
          <w:sz w:val="20"/>
        </w:rPr>
        <w:t>5. Guha et al. Inherited TP53 Mutations and the Li-Fraumeni Syndrome. Cold Spring Harb Perspect Med. 2017 Apr 3;7(4). PMID: 28270529</w:t>
      </w:r>
    </w:p>
    <w:p>
      <w:pPr>
        <w:spacing w:before="150" w:after="80" w:line="276" w:lineRule="auto"/>
        <w:jc w:val="left"/>
      </w:pPr>
      <w:r>
        <w:rPr>
          <w:rFonts w:ascii="Cambria" w:hAnsi="Cambria"/>
          <w:color w:val="000000"/>
          <w:sz w:val="20"/>
        </w:rPr>
        <w:t>6. Cerami et al. The cBio cancer genomics portal: an open platform for exploring multidimensional cancer genomics data. Cancer Discov. 2012 May;2(5):401-4. PMID: 22588877</w:t>
      </w:r>
    </w:p>
    <w:p>
      <w:pPr>
        <w:spacing w:before="150" w:after="80" w:line="276" w:lineRule="auto"/>
        <w:jc w:val="left"/>
      </w:pPr>
      <w:r>
        <w:rPr>
          <w:rFonts w:ascii="Cambria" w:hAnsi="Cambria"/>
          <w:color w:val="000000"/>
          <w:sz w:val="20"/>
        </w:rPr>
        <w:t>7. Weinstein et al. The Cancer Genome Atlas Pan-Cancer analysis project. Nat. Genet. 2013 Oct;45(10):1113-20. PMID: 24071849</w:t>
      </w:r>
    </w:p>
    <w:p>
      <w:pPr>
        <w:spacing w:before="150" w:after="80" w:line="276" w:lineRule="auto"/>
        <w:jc w:val="left"/>
      </w:pPr>
      <w:r>
        <w:rPr>
          <w:rFonts w:ascii="Cambria" w:hAnsi="Cambria"/>
          <w:color w:val="000000"/>
          <w:sz w:val="20"/>
        </w:rPr>
        <w:t>8. Peter et al. Comprehensive genomic characterization of squamous cell lung cancers. Nature. 2012 Sep 27;489(7417):519-25. PMID: 22960745</w:t>
      </w:r>
    </w:p>
    <w:p>
      <w:pPr>
        <w:spacing w:before="150" w:after="80" w:line="276" w:lineRule="auto"/>
        <w:jc w:val="left"/>
      </w:pPr>
      <w:r>
        <w:rPr>
          <w:rFonts w:ascii="Cambria" w:hAnsi="Cambria"/>
          <w:color w:val="000000"/>
          <w:sz w:val="20"/>
        </w:rPr>
        <w:t>9. Cancer Genome Atlas Network. Comprehensive genomic characterization of head and neck squamous cell carcinomas. Nature. 2015 Jan 29;517(7536):576-82. PMID: 25631445</w:t>
      </w:r>
    </w:p>
    <w:p>
      <w:pPr>
        <w:spacing w:before="150" w:after="80" w:line="276" w:lineRule="auto"/>
        <w:jc w:val="left"/>
      </w:pPr>
      <w:r>
        <w:rPr>
          <w:rFonts w:ascii="Cambria" w:hAnsi="Cambria"/>
          <w:color w:val="000000"/>
          <w:sz w:val="20"/>
        </w:rPr>
        <w:t>10. Campbell et al. Distinct patterns of somatic genome alterations in lung adenocarcinomas and squamous cell carcinomas. Nat. Genet. 2016 Jun;48(6):607-16. PMID: 27158780</w:t>
      </w:r>
    </w:p>
    <w:p>
      <w:pPr>
        <w:spacing w:before="150" w:after="80" w:line="276" w:lineRule="auto"/>
        <w:jc w:val="left"/>
      </w:pPr>
      <w:r>
        <w:rPr>
          <w:rFonts w:ascii="Cambria" w:hAnsi="Cambria"/>
          <w:color w:val="000000"/>
          <w:sz w:val="20"/>
        </w:rPr>
        <w:t>11. Cancer Genome Atlas Research Network. Integrated genomic characterization of oesophageal carcinoma. Nature. 2017 Jan 12;541(7636):169-175. doi: 10.1038/nature20805. Epub 2017 Jan 4. PMID: 28052061</w:t>
      </w:r>
    </w:p>
    <w:p>
      <w:pPr>
        <w:spacing w:before="150" w:after="80" w:line="276" w:lineRule="auto"/>
        <w:jc w:val="left"/>
      </w:pPr>
      <w:r>
        <w:rPr>
          <w:rFonts w:ascii="Cambria" w:hAnsi="Cambria"/>
          <w:color w:val="000000"/>
          <w:sz w:val="20"/>
        </w:rPr>
        <w:t>12. Olivier et al. The IARC TP53 database: new online mutation analysis and recommendations to users. Hum. Mutat. 2002 Jun;19(6):607-14. PMID: 12007217 Page 10 of 17</w:t>
      </w:r>
    </w:p>
    <w:p>
      <w:pPr>
        <w:spacing w:before="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30"/>
          <w:footerReference w:type="default" r:id="rId31"/>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13. Rivlin et al. Mutations in the p53 Tumor Suppressor Gene: Important Milestones at the Various Steps of Tumorigenesis. Genes Cancer. 2011 Apr;2(4):466-74. PMID: 21779514</w:t>
      </w:r>
    </w:p>
    <w:p>
      <w:pPr>
        <w:spacing w:before="150" w:after="80" w:line="276" w:lineRule="auto"/>
        <w:jc w:val="left"/>
      </w:pPr>
      <w:r>
        <w:rPr>
          <w:rFonts w:ascii="Cambria" w:hAnsi="Cambria"/>
          <w:color w:val="000000"/>
          <w:sz w:val="20"/>
        </w:rPr>
        <w:t>14. Petitjean et al. TP53 mutations in human cancers: functional selection and impact on cancer prognosis and outcomes. Oncogene. 2007 Apr 2;26(15):2157-65. PMID: 17401424</w:t>
      </w:r>
    </w:p>
    <w:p>
      <w:pPr>
        <w:spacing w:before="150" w:after="80" w:line="276" w:lineRule="auto"/>
        <w:jc w:val="left"/>
      </w:pPr>
      <w:r>
        <w:rPr>
          <w:rFonts w:ascii="Cambria" w:hAnsi="Cambria"/>
          <w:color w:val="000000"/>
          <w:sz w:val="20"/>
        </w:rPr>
        <w:t>15. Soussi et al. Recommendations for analyzing and reporting TP53 gene variants in the high-throughput sequencing era. Hum. Mutat. 2014 Jun;35(6):766-78. PMID: 24729566</w:t>
      </w:r>
    </w:p>
    <w:p>
      <w:pPr>
        <w:spacing w:before="150" w:after="80" w:line="276" w:lineRule="auto"/>
        <w:jc w:val="left"/>
      </w:pPr>
      <w:r>
        <w:rPr>
          <w:rFonts w:ascii="Cambria" w:hAnsi="Cambria"/>
          <w:color w:val="000000"/>
          <w:sz w:val="20"/>
        </w:rPr>
        <w:t>16. https://www.globenewswire.com/news-release/2020/10/13/2107498/0/en/PMV-Pharma-Granted-FDA-Fast-Track- Designation-of-PC14586-for-the-Treatment-of-Advanced-Cancer-Patients-that-have-Tumors-with-a-p53-Y220C- Mutation.html</w:t>
      </w:r>
    </w:p>
    <w:p>
      <w:pPr>
        <w:spacing w:before="150" w:after="80" w:line="276" w:lineRule="auto"/>
        <w:jc w:val="left"/>
      </w:pPr>
      <w:r>
        <w:rPr>
          <w:rFonts w:ascii="Cambria" w:hAnsi="Cambria"/>
          <w:color w:val="000000"/>
          <w:sz w:val="20"/>
        </w:rPr>
        <w:t>17. https://ir.aprea.com//news-releases/news-release-details/aprea-therapeutics-receives-fda-fast-track-designation</w:t>
      </w:r>
    </w:p>
    <w:p>
      <w:pPr>
        <w:spacing w:before="150" w:after="80" w:line="276" w:lineRule="auto"/>
        <w:jc w:val="left"/>
      </w:pPr>
      <w:r>
        <w:rPr>
          <w:rFonts w:ascii="Cambria" w:hAnsi="Cambria"/>
          <w:color w:val="000000"/>
          <w:sz w:val="20"/>
        </w:rPr>
        <w:t>18. http://vp280.alertir.com/en/pressreleases/karolinska-development%27s-portfolio-company-aprea-therapeutics- receives-fda-breakthrough-therapy-designation-1769167</w:t>
      </w:r>
    </w:p>
    <w:p>
      <w:pPr>
        <w:spacing w:before="150" w:after="80" w:line="276" w:lineRule="auto"/>
        <w:jc w:val="left"/>
      </w:pPr>
      <w:r>
        <w:rPr>
          <w:rFonts w:ascii="Cambria" w:hAnsi="Cambria"/>
          <w:color w:val="000000"/>
          <w:sz w:val="20"/>
        </w:rPr>
        <w:t>19. Parrales et al. Targeting Oncogenic Mutant p53 for Cancer Therapy. Front Oncol. 2015 Dec 21;5:288. doi: 10.3389/fonc.2015.00288. eCollection 2015. PMID: 26732534</w:t>
      </w:r>
    </w:p>
    <w:p>
      <w:pPr>
        <w:spacing w:before="150" w:after="80" w:line="276" w:lineRule="auto"/>
        <w:jc w:val="left"/>
      </w:pPr>
      <w:r>
        <w:rPr>
          <w:rFonts w:ascii="Cambria" w:hAnsi="Cambria"/>
          <w:color w:val="000000"/>
          <w:sz w:val="20"/>
        </w:rPr>
        <w:t>20. Zhao et al. Molecularly targeted therapies for p53-mutant cancers. Cell. Mol. Life Sci. 2017 Nov;74(22):4171-4187. PMID: 28643165</w:t>
      </w:r>
    </w:p>
    <w:p>
      <w:pPr>
        <w:spacing w:before="150" w:after="80" w:line="276" w:lineRule="auto"/>
        <w:jc w:val="left"/>
      </w:pPr>
      <w:r>
        <w:rPr>
          <w:rFonts w:ascii="Cambria" w:hAnsi="Cambria"/>
          <w:color w:val="000000"/>
          <w:sz w:val="20"/>
        </w:rPr>
        <w:t>21. Louis et al. The 2021 WHO Classification of Tumors of the Central Nervous System: a summary. Neuro Oncol. 2021 Aug 2;23(8):1231-1251. PMID: 34185076</w:t>
      </w:r>
    </w:p>
    <w:p>
      <w:pPr>
        <w:keepNext/>
        <w:spacing w:before="150" w:after="60"/>
        <w:jc w:val="left"/>
      </w:pPr>
      <w:r>
        <w:rPr>
          <w:rFonts w:ascii="Cambria" w:hAnsi="Cambria"/>
          <w:b/>
          <w:i/>
          <w:color w:val="000000"/>
          <w:sz w:val="20"/>
        </w:rPr>
        <w:t>22. NCCN Guidelines&amp;amp;reg; - NCCN-Acute Myeloid Leukemia [Version 2.2025]</w:t>
      </w:r>
    </w:p>
    <w:p>
      <w:pPr>
        <w:spacing w:before="150" w:after="80" w:line="276" w:lineRule="auto"/>
        <w:jc w:val="left"/>
      </w:pPr>
      <w:r>
        <w:rPr>
          <w:rFonts w:ascii="Cambria" w:hAnsi="Cambria"/>
          <w:color w:val="000000"/>
          <w:sz w:val="20"/>
        </w:rPr>
        <w:t>23. Döhner et al. Diagnosis and management of AML in adults: 2022 recommendations from an international expert panel on behalf of the ELN. Blood. 2022 Sep 22;140(12):1345-1377. PMID: 35797463</w:t>
      </w:r>
    </w:p>
    <w:p>
      <w:pPr>
        <w:keepNext/>
        <w:spacing w:before="150" w:after="60"/>
        <w:jc w:val="left"/>
      </w:pPr>
      <w:r>
        <w:rPr>
          <w:rFonts w:ascii="Cambria" w:hAnsi="Cambria"/>
          <w:b/>
          <w:i/>
          <w:color w:val="000000"/>
          <w:sz w:val="20"/>
        </w:rPr>
        <w:t>24. NCCN Guidelines&amp;amp;reg; - NCCN-Myelodysplastic Syndromes [Version 2.2025]</w:t>
      </w:r>
    </w:p>
    <w:p>
      <w:pPr>
        <w:keepNext/>
        <w:spacing w:before="150" w:after="60"/>
        <w:jc w:val="left"/>
      </w:pPr>
      <w:r>
        <w:rPr>
          <w:rFonts w:ascii="Cambria" w:hAnsi="Cambria"/>
          <w:b/>
          <w:i/>
          <w:color w:val="000000"/>
          <w:sz w:val="20"/>
        </w:rPr>
        <w:t>25. NCCN Guidelines&amp;amp;reg; - NCCN-Myeloproliferative Neoplasms [Version 1.2025]</w:t>
      </w:r>
    </w:p>
    <w:p>
      <w:pPr>
        <w:spacing w:before="150" w:after="80" w:line="276" w:lineRule="auto"/>
        <w:jc w:val="left"/>
      </w:pPr>
      <w:r>
        <w:rPr>
          <w:rFonts w:ascii="Cambria" w:hAnsi="Cambria"/>
          <w:color w:val="000000"/>
          <w:sz w:val="20"/>
        </w:rPr>
        <w:t>26. NCCN Guidelines&amp;amp;reg; - NCCN-Chronic Lymphocytic Leukemia/Small Lymphocytic Lymphoma [Version 3.2025]</w:t>
      </w:r>
    </w:p>
    <w:p>
      <w:pPr>
        <w:keepNext/>
        <w:spacing w:before="150" w:after="60"/>
        <w:jc w:val="left"/>
      </w:pPr>
      <w:r>
        <w:rPr>
          <w:rFonts w:ascii="Cambria" w:hAnsi="Cambria"/>
          <w:b/>
          <w:i/>
          <w:color w:val="000000"/>
          <w:sz w:val="20"/>
        </w:rPr>
        <w:t>27. NCCN Guidelines&amp;amp;reg; - NCCN-Acute Lymphoblastic Leukemia [Version 3.2024]</w:t>
      </w:r>
    </w:p>
    <w:p>
      <w:pPr>
        <w:keepNext/>
        <w:spacing w:before="150" w:after="60"/>
        <w:jc w:val="left"/>
      </w:pPr>
      <w:r>
        <w:rPr>
          <w:rFonts w:ascii="Cambria" w:hAnsi="Cambria"/>
          <w:b/>
          <w:i/>
          <w:color w:val="000000"/>
          <w:sz w:val="20"/>
        </w:rPr>
        <w:t>28. NCCN Guidelines&amp;amp;reg; - NCCN-B-Cell Lymphomas [Version 2.2025]</w:t>
      </w:r>
    </w:p>
    <w:p>
      <w:pPr>
        <w:spacing w:before="150" w:after="80" w:line="276" w:lineRule="auto"/>
        <w:jc w:val="left"/>
      </w:pPr>
      <w:r>
        <w:rPr>
          <w:rFonts w:ascii="Cambria" w:hAnsi="Cambria"/>
          <w:color w:val="000000"/>
          <w:sz w:val="20"/>
        </w:rPr>
        <w:t>29. Bernard et al. Implications of TP53 allelic state for genome stability, clinical presentation and outcomes in myelodysplastic syndromes. Nat. Med. 2020 Aug 3. PMID: 32747829</w:t>
      </w:r>
    </w:p>
    <w:p>
      <w:pPr>
        <w:spacing w:before="150" w:after="80" w:line="276" w:lineRule="auto"/>
        <w:jc w:val="left"/>
      </w:pPr>
      <w:r>
        <w:rPr>
          <w:rFonts w:ascii="Cambria" w:hAnsi="Cambria"/>
          <w:color w:val="000000"/>
          <w:sz w:val="20"/>
        </w:rPr>
        <w:t>30. Wang et al. Loss of Tumor Suppressor Gene Function in Human Cancer: An Overview. Cell. Physiol. Biochem. 2018;51(6):2647-2693. PMID: 30562755</w:t>
      </w:r>
    </w:p>
    <w:p>
      <w:pPr>
        <w:spacing w:before="360" w:after="120"/>
        <w:jc w:val="center"/>
      </w:pPr>
      <w:r>
        <w:drawing>
          <wp:inline xmlns:a="http://schemas.openxmlformats.org/drawingml/2006/main" xmlns:pic="http://schemas.openxmlformats.org/drawingml/2006/picture">
            <wp:extent cx="1536700" cy="6731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2" name="Picture 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3" name="Picture 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32"/>
          <w:footerReference w:type="default" r:id="rId33"/>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31. Stamos et al. The β-catenin destruction complex. Cold Spring Harb Perspect Biol. 2013 Jan 1;5(1):a007898. PMID: 23169527</w:t>
      </w:r>
    </w:p>
    <w:p>
      <w:pPr>
        <w:spacing w:before="150" w:after="80" w:line="276" w:lineRule="auto"/>
        <w:jc w:val="left"/>
      </w:pPr>
      <w:r>
        <w:rPr>
          <w:rFonts w:ascii="Cambria" w:hAnsi="Cambria"/>
          <w:color w:val="000000"/>
          <w:sz w:val="20"/>
        </w:rPr>
        <w:t>32. Minde et al. Messing up disorder: how do missense mutations in the tumor suppressor protein APC lead to cancer?. Mol Cancer. 2011 Aug 22;10:101. doi: 10.1186/1476-4598-10-101. PMID: 21859464</w:t>
      </w:r>
    </w:p>
    <w:p>
      <w:pPr>
        <w:spacing w:before="150" w:after="80" w:line="276" w:lineRule="auto"/>
        <w:jc w:val="left"/>
      </w:pPr>
      <w:r>
        <w:rPr>
          <w:rFonts w:ascii="Cambria" w:hAnsi="Cambria"/>
          <w:color w:val="000000"/>
          <w:sz w:val="20"/>
        </w:rPr>
        <w:t>33. Aoki et al. Adenomatous polyposis coli (APC): a multi-functional tumor suppressor gene. J. Cell. Sci. 2007 Oct 1;120(Pt 19):3327-35. PMID: 17881494</w:t>
      </w:r>
    </w:p>
    <w:p>
      <w:pPr>
        <w:spacing w:before="150" w:after="80" w:line="276" w:lineRule="auto"/>
        <w:jc w:val="left"/>
      </w:pPr>
      <w:r>
        <w:rPr>
          <w:rFonts w:ascii="Cambria" w:hAnsi="Cambria"/>
          <w:color w:val="000000"/>
          <w:sz w:val="20"/>
        </w:rPr>
        <w:t>34. Miyoshi et al. Somatic mutations of the APC gene in colorectal tumors: mutation cluster region in the APC gene. Hum. Mol. Genet. 1992 Jul;1(4):229-33. PMID: 1338904</w:t>
      </w:r>
    </w:p>
    <w:p>
      <w:pPr>
        <w:spacing w:before="150" w:after="80" w:line="276" w:lineRule="auto"/>
        <w:jc w:val="left"/>
      </w:pPr>
      <w:r>
        <w:rPr>
          <w:rFonts w:ascii="Cambria" w:hAnsi="Cambria"/>
          <w:color w:val="000000"/>
          <w:sz w:val="20"/>
        </w:rPr>
        <w:t>35. Cancer Genome Atlas Research Network. Comprehensive molecular characterization of gastric adenocarcinoma. Nature. 2014 Sep 11;513(7517):202-9. doi: 10.1038/nature13480. Epub 2014 Jul 23. PMID: 25079317</w:t>
      </w:r>
    </w:p>
    <w:p>
      <w:pPr>
        <w:spacing w:before="150" w:after="80" w:line="276" w:lineRule="auto"/>
        <w:jc w:val="left"/>
      </w:pPr>
      <w:r>
        <w:rPr>
          <w:rFonts w:ascii="Cambria" w:hAnsi="Cambria"/>
          <w:color w:val="000000"/>
          <w:sz w:val="20"/>
        </w:rPr>
        <w:t>36. Rowan et al. APC mutations in sporadic colorectal tumors: A mutational &amp;quot;hotspot&amp;quot; and interdependence of the &amp;quot;two hits&amp;quot;. Proc. Natl. Acad. Sci. U.S.A. 2000 Mar 28;97(7):3352-7. PMID: 10737795</w:t>
      </w:r>
    </w:p>
    <w:p>
      <w:pPr>
        <w:spacing w:before="150" w:after="80" w:line="276" w:lineRule="auto"/>
        <w:jc w:val="left"/>
      </w:pPr>
      <w:r>
        <w:rPr>
          <w:rFonts w:ascii="Cambria" w:hAnsi="Cambria"/>
          <w:color w:val="000000"/>
          <w:sz w:val="20"/>
        </w:rPr>
        <w:t>37. Laurent-Puig et al. APC gene: database of germline and somatic mutations in human tumors and cell lines. Nucleic Acids Res. 1998 Jan 1;26(1):269-70. PMID: 9399850</w:t>
      </w:r>
    </w:p>
    <w:p>
      <w:pPr>
        <w:spacing w:before="276"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5" name="Picture 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6" name="Picture 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34"/>
          <w:footerReference w:type="default" r:id="rId35"/>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37" name="Picture 3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20"/>
        </w:rPr>
        <w:t>SN Gene SolidSeq Assay</w:t>
      </w:r>
    </w:p>
    <w:p>
      <w:pPr>
        <w:spacing w:before="0" w:after="80" w:line="276" w:lineRule="auto"/>
        <w:jc w:val="right"/>
      </w:pPr>
      <w:r>
        <w:rPr>
          <w:rFonts w:ascii="Calibri" w:hAnsi="Calibri"/>
          <w:color w:val="333333"/>
          <w:sz w:val="20"/>
        </w:rPr>
        <w:t>SN Genelab 2nd Floor,President Plaza-A, Ring Road, Nanpura, Surat - 395001</w:t>
      </w:r>
    </w:p>
    <w:p>
      <w:pPr>
        <w:spacing w:before="0" w:after="80" w:line="276" w:lineRule="auto"/>
        <w:jc w:val="right"/>
      </w:pPr>
      <w:r>
        <w:rPr>
          <w:rFonts w:ascii="Calibri" w:hAnsi="Calibri"/>
          <w:color w:val="333333"/>
          <w:sz w:val="18"/>
        </w:rPr>
        <w:t>contact@sngenelab.com</w:t>
      </w:r>
    </w:p>
    <w:p>
      <w:pPr>
        <w:spacing w:before="0" w:after="80" w:line="276" w:lineRule="auto"/>
        <w:jc w:val="right"/>
      </w:pPr>
      <w:r>
        <w:rPr>
          <w:rFonts w:ascii="Calibri" w:hAnsi="Calibri"/>
          <w:color w:val="333333"/>
          <w:sz w:val="18"/>
        </w:rPr>
        <w:t>www.sngenelab.com</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Sample Cancer Type</w:t>
            </w:r>
          </w:p>
        </w:tc>
        <w:tc>
          <w:tcPr>
            <w:tcW w:type="dxa" w:w="3168"/>
            <w:tcMar>
              <w:top w:w="20" w:type="dxa"/>
              <w:bottom w:w="20" w:type="dxa"/>
              <w:start w:w="40" w:type="dxa"/>
              <w:end w:w="40" w:type="dxa"/>
            </w:tcMar>
          </w:tcPr>
          <w:p>
            <w:r>
              <w:rPr>
                <w:rFonts w:ascii="Times New Roman" w:hAnsi="Times New Roman"/>
                <w:color w:val="000000"/>
                <w:sz w:val="20"/>
              </w:rPr>
              <w:t>Esophageal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6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163"/>
            <w:shd w:val="clear" w:color="auto" w:fill="545758"/>
            <w:tcMar>
              <w:top w:w="60" w:type="dxa"/>
              <w:bottom w:w="60" w:type="dxa"/>
              <w:start w:w="80" w:type="dxa"/>
              <w:end w:w="80" w:type="dxa"/>
            </w:tcMar>
          </w:tcPr>
          <w:p>
            <w:pPr>
              <w:jc w:val="center"/>
            </w:pPr>
            <w:r>
              <w:rPr>
                <w:rFonts w:ascii="Times New Roman" w:hAnsi="Times New Roman"/>
                <w:b/>
                <w:color w:val="000000"/>
                <w:sz w:val="19"/>
              </w:rPr>
              <w:t>Column 1</w:t>
            </w:r>
          </w:p>
        </w:tc>
        <w:tc>
          <w:tcPr>
            <w:tcW w:type="dxa" w:w="8302"/>
            <w:shd w:val="clear" w:color="auto" w:fill="f1f5f9"/>
            <w:tcMar>
              <w:top w:w="60" w:type="dxa"/>
              <w:bottom w:w="60" w:type="dxa"/>
              <w:start w:w="80" w:type="dxa"/>
              <w:end w:w="80" w:type="dxa"/>
            </w:tcMar>
          </w:tcPr>
          <w:p>
            <w:pPr>
              <w:jc w:val="center"/>
            </w:pPr>
            <w:r>
              <w:rPr>
                <w:rFonts w:ascii="Calibri" w:hAnsi="Calibri"/>
                <w:b/>
                <w:color w:val="333333"/>
                <w:sz w:val="24"/>
              </w:rPr>
              <w:t>Table of Contents Page</w:t>
              <w:br/>
              <w:t>Relevant Therapy Summary 2</w:t>
              <w:br/>
              <w:t>Clinical Trials Summary 3</w:t>
              <w:br/>
              <w:t>Biomarker Descriptions 4</w:t>
            </w:r>
          </w:p>
        </w:tc>
      </w:tr>
    </w:tbl>
    <w:p>
      <w:pPr>
        <w:spacing w:before="0" w:after="12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52"/>
            <w:shd w:val="clear" w:color="auto" w:fill="1d8ae7"/>
            <w:tcMar>
              <w:top w:w="60" w:type="dxa"/>
              <w:bottom w:w="60" w:type="dxa"/>
              <w:start w:w="80" w:type="dxa"/>
              <w:end w:w="80" w:type="dxa"/>
            </w:tcMar>
          </w:tcPr>
          <w:p>
            <w:pPr>
              <w:jc w:val="center"/>
            </w:pPr>
            <w:r>
              <w:rPr>
                <w:rFonts w:ascii="Times New Roman" w:hAnsi="Times New Roman"/>
                <w:b/>
                <w:color w:val="000000"/>
                <w:sz w:val="19"/>
              </w:rPr>
              <w:t>Column 1</w:t>
            </w:r>
          </w:p>
        </w:tc>
        <w:tc>
          <w:tcPr>
            <w:tcW w:type="dxa" w:w="8114"/>
            <w:shd w:val="clear" w:color="auto" w:fill="f1f2f1"/>
            <w:tcMar>
              <w:top w:w="60" w:type="dxa"/>
              <w:bottom w:w="60" w:type="dxa"/>
              <w:start w:w="80" w:type="dxa"/>
              <w:end w:w="80" w:type="dxa"/>
            </w:tcMar>
          </w:tcPr>
          <w:p>
            <w:pPr>
              <w:jc w:val="center"/>
            </w:pPr>
            <w:r>
              <w:rPr>
                <w:rFonts w:ascii="Calibri" w:hAnsi="Calibri"/>
                <w:b w:val="0"/>
                <w:color w:val="333333"/>
                <w:sz w:val="24"/>
              </w:rPr>
              <w:t>Report Highlights</w:t>
              <w:br/>
              <w:t>1 Relevant Biomarkers</w:t>
              <w:br/>
              <w:t>0 Therapies Available</w:t>
              <w:br/>
              <w:t>5 Clinical Trials</w:t>
            </w:r>
          </w:p>
        </w:tc>
      </w:tr>
    </w:tbl>
    <w:p>
      <w:pPr>
        <w:spacing w:before="0" w:after="120" w:line="20" w:lineRule="exact"/>
      </w:pPr>
      <w:r>
        <w:rPr>
          <w:sz w:val="2"/>
        </w:rPr>
      </w:r>
    </w:p>
    <w:p>
      <w:pPr>
        <w:keepNext/>
        <w:spacing w:before="344" w:after="80"/>
        <w:jc w:val="left"/>
      </w:pPr>
      <w:r>
        <w:rPr>
          <w:rFonts w:ascii="Calibri" w:hAnsi="Calibri"/>
          <w:b/>
          <w:i w:val="0"/>
          <w:color w:val="262262"/>
          <w:sz w:val="26"/>
        </w:rPr>
        <w:t>Relevant Biomarkers</w:t>
      </w:r>
    </w:p>
    <w:p>
      <w:pPr>
        <w:keepNext/>
        <w:spacing w:before="303" w:after="60"/>
        <w:jc w:val="left"/>
      </w:pPr>
      <w:r>
        <w:rPr>
          <w:rFonts w:ascii="Calibri" w:hAnsi="Calibri"/>
          <w:b/>
          <w:i w:val="0"/>
          <w:color w:val="333333"/>
          <w:sz w:val="16"/>
        </w:rPr>
        <w:t>Relevant Therapies (In other cancer type) Clinical Trials</w:t>
      </w:r>
    </w:p>
    <w:p>
      <w:pPr>
        <w:keepNext/>
        <w:spacing w:before="0" w:after="60"/>
        <w:jc w:val="left"/>
      </w:pPr>
      <w:r>
        <w:rPr>
          <w:rFonts w:ascii="Calibri" w:hAnsi="Calibri"/>
          <w:b/>
          <w:i w:val="0"/>
          <w:color w:val="333333"/>
          <w:sz w:val="16"/>
        </w:rPr>
        <w:t>Relevant Therapies (In this cancer type)</w:t>
      </w:r>
    </w:p>
    <w:p>
      <w:pPr>
        <w:keepNext/>
        <w:spacing w:before="0" w:after="60"/>
        <w:jc w:val="left"/>
      </w:pPr>
      <w:r>
        <w:rPr>
          <w:rFonts w:ascii="Calibri" w:hAnsi="Calibri"/>
          <w:b/>
          <w:i w:val="0"/>
          <w:color w:val="333333"/>
          <w:sz w:val="16"/>
        </w:rPr>
        <w:t>Tier Genomic Alteration</w:t>
      </w:r>
    </w:p>
    <w:p>
      <w:pPr>
        <w:keepNext/>
        <w:spacing w:before="173" w:after="60"/>
        <w:jc w:val="left"/>
      </w:pPr>
      <w:r>
        <w:rPr>
          <w:rFonts w:ascii="Calibri" w:hAnsi="Calibri"/>
          <w:b/>
          <w:i/>
          <w:color w:val="333333"/>
          <w:sz w:val="20"/>
        </w:rPr>
        <w:t>IIC MYC amplification None* None* 5</w:t>
      </w:r>
    </w:p>
    <w:p>
      <w:pPr>
        <w:spacing w:before="66" w:after="80" w:line="276" w:lineRule="auto"/>
        <w:jc w:val="left"/>
      </w:pPr>
      <w:r>
        <w:rPr>
          <w:rFonts w:ascii="Calibri" w:hAnsi="Calibri"/>
          <w:color w:val="333333"/>
          <w:sz w:val="14"/>
        </w:rPr>
        <w:t>* 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pacing w:before="360" w:after="80" w:line="276" w:lineRule="auto"/>
        <w:jc w:val="right"/>
      </w:pPr>
      <w:r>
        <w:rPr>
          <w:rFonts w:ascii="Calibri" w:hAnsi="Calibri"/>
          <w:color w:val="333333"/>
          <w:sz w:val="20"/>
        </w:rPr>
        <w:t>For queries please call on 9586177755</w:t>
      </w:r>
    </w:p>
    <w:p>
      <w:pPr>
        <w:spacing w:before="257" w:after="80" w:line="276" w:lineRule="auto"/>
        <w:jc w:val="left"/>
      </w:pPr>
      <w:r>
        <w:rPr>
          <w:rFonts w:ascii="Calibri" w:hAnsi="Calibri"/>
          <w:color w:val="555759"/>
          <w:sz w:val="14"/>
        </w:rPr>
        <w:t>Disclaimer:  The data presented here are from a curated knowledge base of publicly available information, but may not be exhaustive. The data version is 2025.06(006). The content of this report has not been evaluated or approved by the FDA, EMA or other regulatory agencies.</w:t>
      </w:r>
    </w:p>
    <w:p>
      <w:pPr>
        <w:sectPr>
          <w:headerReference w:type="default" r:id="rId36"/>
          <w:footerReference w:type="default" r:id="rId37"/>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38" name="Picture 3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w:t>
      </w:r>
    </w:p>
    <w:p>
      <w:pPr>
        <w:keepNext/>
        <w:spacing w:before="48" w:after="80"/>
        <w:jc w:val="left"/>
      </w:pPr>
      <w:r>
        <w:rPr>
          <w:rFonts w:ascii="Calibri" w:hAnsi="Calibri"/>
          <w:b/>
          <w:i/>
          <w:color w:val="333333"/>
          <w:sz w:val="24"/>
        </w:rPr>
        <w:t> In this cancer type  In other cancer type  In this cancer type and other cancer types  No evidence</w:t>
      </w:r>
    </w:p>
    <w:p>
      <w:pPr>
        <w:keepNext/>
        <w:spacing w:before="99" w:after="80"/>
        <w:jc w:val="left"/>
      </w:pPr>
      <w:r>
        <w:rPr>
          <w:rFonts w:ascii="Calibri" w:hAnsi="Calibri"/>
          <w:b/>
          <w:i w:val="0"/>
          <w:color w:val="FFFFFF"/>
          <w:sz w:val="24"/>
        </w:rPr>
        <w:t>MYC amplification</w:t>
      </w:r>
    </w:p>
    <w:p>
      <w:pPr>
        <w:keepNext/>
        <w:spacing w:before="360" w:after="60"/>
        <w:jc w:val="left"/>
      </w:pPr>
      <w:r>
        <w:rPr>
          <w:rFonts w:ascii="Calibri" w:hAnsi="Calibri"/>
          <w:b/>
          <w:i w:val="0"/>
          <w:color w:val="333333"/>
          <w:sz w:val="16"/>
        </w:rPr>
        <w:t>Relevant Therapy FDA NCCN EMA ESMO Clinical Trials*</w:t>
      </w:r>
    </w:p>
    <w:p>
      <w:pPr>
        <w:keepNext/>
        <w:spacing w:before="151" w:after="80"/>
        <w:jc w:val="left"/>
      </w:pPr>
      <w:r>
        <w:rPr>
          <w:rFonts w:ascii="Calibri" w:hAnsi="Calibri"/>
          <w:b/>
          <w:i/>
          <w:color w:val="BBBBBB"/>
          <w:sz w:val="24"/>
        </w:rPr>
        <w:t>entinostat, nivolumab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1845"/>
            <w:shd w:val="clear" w:color="auto" w:fill="f2f3f2"/>
            <w:tcMar>
              <w:top w:w="60" w:type="dxa"/>
              <w:bottom w:w="60" w:type="dxa"/>
              <w:start w:w="80" w:type="dxa"/>
              <w:end w:w="80" w:type="dxa"/>
            </w:tcMar>
          </w:tcPr>
          <w:p>
            <w:pPr>
              <w:jc w:val="center"/>
            </w:pPr>
            <w:r>
              <w:rPr>
                <w:rFonts w:ascii="Calibri" w:hAnsi="Calibri"/>
                <w:b w:val="0"/>
                <w:color w:val="333333"/>
                <w:sz w:val="18"/>
              </w:rPr>
              <w:t>ST-316</w:t>
            </w:r>
          </w:p>
        </w:tc>
        <w:tc>
          <w:tcPr>
            <w:tcW w:type="dxa" w:w="116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480"/>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480"/>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480"/>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6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845"/>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81" w:after="80"/>
        <w:jc w:val="left"/>
      </w:pPr>
      <w:r>
        <w:rPr>
          <w:rFonts w:ascii="Calibri" w:hAnsi="Calibri"/>
          <w:b/>
          <w:i/>
          <w:color w:val="BBBBBB"/>
          <w:sz w:val="24"/>
        </w:rPr>
        <w:t>tegatrabetan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782"/>
            <w:shd w:val="clear" w:color="auto" w:fill="f2f3f2"/>
            <w:tcMar>
              <w:top w:w="60" w:type="dxa"/>
              <w:bottom w:w="60" w:type="dxa"/>
              <w:start w:w="80" w:type="dxa"/>
              <w:end w:w="80" w:type="dxa"/>
            </w:tcMar>
          </w:tcPr>
          <w:p>
            <w:pPr>
              <w:jc w:val="center"/>
            </w:pPr>
            <w:r>
              <w:rPr>
                <w:rFonts w:ascii="Calibri" w:hAnsi="Calibri"/>
                <w:b w:val="0"/>
                <w:color w:val="333333"/>
                <w:sz w:val="18"/>
              </w:rPr>
              <w:t>nedisertib, tuvusertib</w:t>
            </w:r>
          </w:p>
        </w:tc>
        <w:tc>
          <w:tcPr>
            <w:tcW w:type="dxa" w:w="1114"/>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64"/>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64"/>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64"/>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14"/>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64"/>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81" w:after="80"/>
        <w:jc w:val="left"/>
      </w:pPr>
      <w:r>
        <w:rPr>
          <w:rFonts w:ascii="Calibri" w:hAnsi="Calibri"/>
          <w:b/>
          <w:i/>
          <w:color w:val="BBBBBB"/>
          <w:sz w:val="24"/>
        </w:rPr>
        <w:t>talazoparib, palbociclib      (I)</w:t>
      </w:r>
    </w:p>
    <w:p>
      <w:pPr>
        <w:spacing w:before="314" w:after="80" w:line="276" w:lineRule="auto"/>
        <w:jc w:val="left"/>
      </w:pPr>
      <w:r>
        <w:rPr>
          <w:rFonts w:ascii="Calibri" w:hAnsi="Calibri"/>
          <w:color w:val="333333"/>
          <w:sz w:val="18"/>
        </w:rPr>
        <w:t>* Most advanced phase (IV, III, II/III, II, I/II, I) is shown and multiple clinical trials may be available.</w:t>
      </w:r>
    </w:p>
    <w:p>
      <w:pPr>
        <w:spacing w:before="360" w:after="80" w:line="276" w:lineRule="auto"/>
        <w:jc w:val="right"/>
      </w:pPr>
      <w:r>
        <w:rPr>
          <w:rFonts w:ascii="Calibri" w:hAnsi="Calibri"/>
          <w:color w:val="333333"/>
          <w:sz w:val="20"/>
        </w:rPr>
        <w:t>For queries please call on 9586177755</w:t>
      </w:r>
    </w:p>
    <w:p>
      <w:pPr>
        <w:spacing w:before="25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9"/>
          <w:footerReference w:type="default" r:id="rId40"/>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39" name="Picture 3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w:t>
      </w:r>
    </w:p>
    <w:p>
      <w:pPr>
        <w:keepNext/>
        <w:spacing w:before="327" w:after="80"/>
        <w:jc w:val="left"/>
      </w:pPr>
      <w:r>
        <w:rPr>
          <w:rFonts w:ascii="Calibri" w:hAnsi="Calibri"/>
          <w:b/>
          <w:i w:val="0"/>
          <w:color w:val="FFFFFF"/>
          <w:sz w:val="24"/>
        </w:rPr>
        <w:t>MYC amplification</w:t>
      </w:r>
    </w:p>
    <w:p>
      <w:pPr>
        <w:keepNext/>
        <w:spacing w:before="360" w:after="60"/>
        <w:jc w:val="left"/>
      </w:pPr>
      <w:r>
        <w:rPr>
          <w:rFonts w:ascii="Calibri" w:hAnsi="Calibri"/>
          <w:b/>
          <w:i w:val="0"/>
          <w:color w:val="333333"/>
          <w:sz w:val="16"/>
        </w:rPr>
        <w:t>NCT ID Title Phase</w:t>
      </w:r>
    </w:p>
    <w:p>
      <w:pPr>
        <w:spacing w:before="173" w:after="80" w:line="276" w:lineRule="auto"/>
        <w:jc w:val="left"/>
      </w:pPr>
      <w:r>
        <w:rPr>
          <w:rFonts w:ascii="Calibri" w:hAnsi="Calibri"/>
          <w:color w:val="333333"/>
          <w:sz w:val="18"/>
        </w:rPr>
        <w:t>NCT03838042 INFORM2 Exploratory Multinational Phase I/II Combination Study of Nivolumab and Entinostat in Children and Adolescents With Refractory High-risk Malignancies (INFORM2-NivEnt)</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NCT05687136 A Molecularly Driven Phase Ib Dose Escalation and Dose Expansion Study of the DNA-PK Inhibitor Peposertib (M3814) in Combination With the ATR Inhibitor M1774</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NCT04693468 Modular Phase IB Hypothesis-Testing, Biomarker-Driven, Talazoparib Combination Trial (TalaCom) I</w:t>
      </w:r>
    </w:p>
    <w:p>
      <w:pPr>
        <w:spacing w:before="196" w:after="80" w:line="276" w:lineRule="auto"/>
        <w:jc w:val="left"/>
      </w:pPr>
      <w:r>
        <w:rPr>
          <w:rFonts w:ascii="Calibri" w:hAnsi="Calibri"/>
          <w:color w:val="333333"/>
          <w:sz w:val="18"/>
        </w:rPr>
        <w:t>NCT05848739 A Phase I-II Dose-escalation and Expansion Study of ST316 in Subjects With Selected Advanced Unresectable and Metastatic Solid Tumors</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NCT04851119 A Phase I/II Study of Tegavivint (NSC#826393) in Children, Adolescents, and Young Adults With Recurrent or Refractory Solid Tumors, Including Lymphomas and Desmoid Tumors</w:t>
      </w:r>
    </w:p>
    <w:p>
      <w:pPr>
        <w:spacing w:before="0" w:after="80" w:line="276" w:lineRule="auto"/>
        <w:jc w:val="left"/>
      </w:pPr>
      <w:r>
        <w:rPr>
          <w:rFonts w:ascii="Calibri" w:hAnsi="Calibri"/>
          <w:color w:val="333333"/>
          <w:sz w:val="18"/>
        </w:rPr>
        <w:t>I/II</w:t>
      </w:r>
    </w:p>
    <w:p>
      <w:pPr>
        <w:spacing w:before="360" w:after="80" w:line="276" w:lineRule="auto"/>
        <w:jc w:val="right"/>
      </w:pPr>
      <w:r>
        <w:rPr>
          <w:rFonts w:ascii="Calibri" w:hAnsi="Calibri"/>
          <w:color w:val="333333"/>
          <w:sz w:val="20"/>
        </w:rPr>
        <w:t>For queries please call on 9586177755</w:t>
      </w:r>
    </w:p>
    <w:p>
      <w:pPr>
        <w:spacing w:before="25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41"/>
          <w:footerReference w:type="default" r:id="rId42"/>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40" name="Picture 4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Biomarker Descriptions</w:t>
      </w:r>
    </w:p>
    <w:p>
      <w:pPr>
        <w:keepNext/>
        <w:spacing w:before="48" w:after="60"/>
        <w:jc w:val="left"/>
      </w:pPr>
      <w:r>
        <w:rPr>
          <w:rFonts w:ascii="Calibri" w:hAnsi="Calibri"/>
          <w:b/>
          <w:i w:val="0"/>
          <w:color w:val="333333"/>
          <w:sz w:val="18"/>
        </w:rPr>
        <w:t>MYC amplification</w:t>
      </w:r>
    </w:p>
    <w:p>
      <w:pPr>
        <w:keepNext/>
        <w:spacing w:before="236" w:after="60"/>
        <w:jc w:val="left"/>
      </w:pPr>
      <w:r>
        <w:rPr>
          <w:rFonts w:ascii="Calibri" w:hAnsi="Calibri"/>
          <w:b/>
          <w:i/>
          <w:color w:val="333333"/>
          <w:sz w:val="18"/>
        </w:rPr>
        <w:t>MYC proto-oncogene, bHLH transcription factor</w:t>
      </w:r>
    </w:p>
    <w:p>
      <w:pPr>
        <w:spacing w:before="0" w:after="23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Background</w:t>
            </w:r>
          </w:p>
        </w:tc>
        <w:tc>
          <w:tcPr>
            <w:tcW w:type="dxa" w:w="3168"/>
            <w:tcMar>
              <w:top w:w="20" w:type="dxa"/>
              <w:bottom w:w="20" w:type="dxa"/>
              <w:start w:w="40" w:type="dxa"/>
              <w:end w:w="40" w:type="dxa"/>
            </w:tcMar>
          </w:tcPr>
          <w:p>
            <w:r>
              <w:rPr>
                <w:rFonts w:ascii="Times New Roman" w:hAnsi="Times New Roman"/>
                <w:color w:val="000000"/>
                <w:sz w:val="20"/>
              </w:rPr>
              <w:t>The MYC gene encodes the MYC proto-oncogene, bHLH transcription factor (c-MYC), a basic helix-loop-helix transcription</w:t>
            </w:r>
          </w:p>
        </w:tc>
        <w:tc>
          <w:tcPr>
            <w:tcW w:type="dxa" w:w="1440"/>
            <w:tcMar>
              <w:top w:w="20" w:type="dxa"/>
              <w:bottom w:w="20" w:type="dxa"/>
              <w:start w:w="40" w:type="dxa"/>
              <w:end w:w="40" w:type="dxa"/>
            </w:tcMar>
          </w:tcPr>
          <w:p>
            <w:r>
              <w:rPr>
                <w:rFonts w:ascii="Times New Roman" w:hAnsi="Times New Roman"/>
                <w:b/>
                <w:color w:val="000000"/>
                <w:sz w:val="20"/>
              </w:rPr>
              <w:t>Alterations and prevalence</w:t>
            </w:r>
          </w:p>
        </w:tc>
        <w:tc>
          <w:tcPr>
            <w:tcW w:type="dxa" w:w="3168"/>
            <w:tcMar>
              <w:top w:w="20" w:type="dxa"/>
              <w:bottom w:w="20" w:type="dxa"/>
              <w:start w:w="40" w:type="dxa"/>
              <w:end w:w="40" w:type="dxa"/>
            </w:tcMar>
          </w:tcPr>
          <w:p>
            <w:r>
              <w:rPr>
                <w:rFonts w:ascii="Times New Roman" w:hAnsi="Times New Roman"/>
                <w:color w:val="000000"/>
                <w:sz w:val="20"/>
              </w:rPr>
              <w:t>Recurrent somatic alterations are observed in both solid and hematological cancers. Recurrent somatic</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Potential relevance</w:t>
            </w:r>
          </w:p>
        </w:tc>
        <w:tc>
          <w:tcPr>
            <w:tcW w:type="dxa" w:w="3168"/>
            <w:tcMar>
              <w:top w:w="20" w:type="dxa"/>
              <w:bottom w:w="20" w:type="dxa"/>
              <w:start w:w="40" w:type="dxa"/>
              <w:end w:w="40" w:type="dxa"/>
            </w:tcMar>
          </w:tcPr>
          <w:p>
            <w:r>
              <w:rPr>
                <w:rFonts w:ascii="Times New Roman" w:hAnsi="Times New Roman"/>
                <w:color w:val="000000"/>
                <w:sz w:val="20"/>
              </w:rPr>
              <w:t>B-cell lymphoma with MYC translocations that co-occur with BCL2 or BCL6 are referred to as double hit lymphoma,</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5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43"/>
          <w:footerReference w:type="default" r:id="rId44"/>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41" name="Picture 4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References</w:t>
      </w:r>
    </w:p>
    <w:p>
      <w:pPr>
        <w:spacing w:before="48" w:after="80" w:line="276" w:lineRule="auto"/>
        <w:jc w:val="left"/>
      </w:pPr>
      <w:r>
        <w:rPr>
          <w:rFonts w:ascii="Calibri" w:hAnsi="Calibri"/>
          <w:color w:val="333333"/>
          <w:sz w:val="18"/>
        </w:rPr>
        <w:t>1. Chen et al. Targeting oncogenic Myc as a strategy for cancer treatment. Signal Transduct Target Ther. 2018 Feb 23;3:5. doi: 10.1038/s41392-018-0008-7. eCollection 2018. PMID: 29527331</w:t>
      </w:r>
    </w:p>
    <w:p>
      <w:pPr>
        <w:spacing w:before="116" w:after="80" w:line="276" w:lineRule="auto"/>
        <w:jc w:val="left"/>
      </w:pPr>
      <w:r>
        <w:rPr>
          <w:rFonts w:ascii="Calibri" w:hAnsi="Calibri"/>
          <w:color w:val="333333"/>
          <w:sz w:val="18"/>
        </w:rPr>
        <w:t>2. Dang. MYC on the path to cancer. Cell. 2012 Mar 30;149(1):22-35. PMID: 22464321</w:t>
      </w:r>
    </w:p>
    <w:p>
      <w:pPr>
        <w:spacing w:before="116" w:after="80" w:line="276" w:lineRule="auto"/>
        <w:jc w:val="left"/>
      </w:pPr>
      <w:r>
        <w:rPr>
          <w:rFonts w:ascii="Calibri" w:hAnsi="Calibri"/>
          <w:color w:val="333333"/>
          <w:sz w:val="18"/>
        </w:rPr>
        <w:t>3. Dominguez-Sola et al. Non-transcriptional control of DNA replication by c-Myc. Nature. 2007 Jul 26;448(7152):445-51. PMID: 17597761</w:t>
      </w:r>
    </w:p>
    <w:p>
      <w:pPr>
        <w:spacing w:before="116" w:after="80" w:line="276" w:lineRule="auto"/>
        <w:jc w:val="left"/>
      </w:pPr>
      <w:r>
        <w:rPr>
          <w:rFonts w:ascii="Calibri" w:hAnsi="Calibri"/>
          <w:color w:val="333333"/>
          <w:sz w:val="18"/>
        </w:rPr>
        <w:t>4. Wahlström et al. Impact of MYC in regulation of tumor cell metabolism. Biochim. Biophys. Acta. 2015 May;1849(5):563-9. PMID: 25038584</w:t>
      </w:r>
    </w:p>
    <w:p>
      <w:pPr>
        <w:spacing w:before="116" w:after="80" w:line="276" w:lineRule="auto"/>
        <w:jc w:val="left"/>
      </w:pPr>
      <w:r>
        <w:rPr>
          <w:rFonts w:ascii="Calibri" w:hAnsi="Calibri"/>
          <w:color w:val="333333"/>
          <w:sz w:val="18"/>
        </w:rPr>
        <w:t>5. Dang et al. The c-Myc target gene network. Semin. Cancer Biol. 2006 Aug;16(4):253-64. PMID: 16904903</w:t>
      </w:r>
    </w:p>
    <w:p>
      <w:pPr>
        <w:spacing w:before="116" w:after="80" w:line="276" w:lineRule="auto"/>
        <w:jc w:val="left"/>
      </w:pPr>
      <w:r>
        <w:rPr>
          <w:rFonts w:ascii="Calibri" w:hAnsi="Calibri"/>
          <w:color w:val="333333"/>
          <w:sz w:val="18"/>
        </w:rPr>
        <w:t>6. Blackwood et al. Myc and Max function as a nucleoprotein complex. Curr. Opin. Genet. Dev. 1992 Apr;2(2):227-35. PMID: 1638116</w:t>
      </w:r>
    </w:p>
    <w:p>
      <w:pPr>
        <w:spacing w:before="116" w:after="80" w:line="276" w:lineRule="auto"/>
        <w:jc w:val="left"/>
      </w:pPr>
      <w:r>
        <w:rPr>
          <w:rFonts w:ascii="Calibri" w:hAnsi="Calibri"/>
          <w:color w:val="333333"/>
          <w:sz w:val="18"/>
        </w:rPr>
        <w:t>7. Chakraborty et al. A common functional consequence of tumor-derived mutations within c-MYC. Oncogene. 2015 Apr 30;34(18):2406-9. PMID: 24998853</w:t>
      </w:r>
    </w:p>
    <w:p>
      <w:pPr>
        <w:spacing w:before="116" w:after="80" w:line="276" w:lineRule="auto"/>
        <w:jc w:val="left"/>
      </w:pPr>
      <w:r>
        <w:rPr>
          <w:rFonts w:ascii="Calibri" w:hAnsi="Calibri"/>
          <w:color w:val="333333"/>
          <w:sz w:val="18"/>
        </w:rPr>
        <w:t>8. Xu-Monette et al. Clinical and Biologic Significance of MYC Genetic Mutations in De Novo Diffuse Large B-cell Lymphoma. Clin. Cancer Res. 2016 Jul 15;22(14):3593-605. PMID: 26927665</w:t>
      </w:r>
    </w:p>
    <w:p>
      <w:pPr>
        <w:spacing w:before="116" w:after="80" w:line="276" w:lineRule="auto"/>
        <w:jc w:val="left"/>
      </w:pPr>
      <w:r>
        <w:rPr>
          <w:rFonts w:ascii="Calibri" w:hAnsi="Calibri"/>
          <w:color w:val="333333"/>
          <w:sz w:val="18"/>
        </w:rPr>
        <w:t>9. Weinstein et al. The Cancer Genome Atlas Pan-Cancer analysis project. Nat. Genet. 2013 Oct;45(10):1113-20. PMID: 24071849</w:t>
      </w:r>
    </w:p>
    <w:p>
      <w:pPr>
        <w:spacing w:before="116" w:after="80" w:line="276" w:lineRule="auto"/>
        <w:jc w:val="left"/>
      </w:pPr>
      <w:r>
        <w:rPr>
          <w:rFonts w:ascii="Calibri" w:hAnsi="Calibri"/>
          <w:color w:val="333333"/>
          <w:sz w:val="18"/>
        </w:rPr>
        <w:t>10. Cerami et al. The cBio cancer genomics portal: an open platform for exploring multidimensional cancer genomics data. Cancer Discov. 2012 May;2(5):401-4. PMID: 22588877</w:t>
      </w:r>
    </w:p>
    <w:p>
      <w:pPr>
        <w:spacing w:before="116" w:after="80" w:line="276" w:lineRule="auto"/>
        <w:jc w:val="left"/>
      </w:pPr>
      <w:r>
        <w:rPr>
          <w:rFonts w:ascii="Calibri" w:hAnsi="Calibri"/>
          <w:color w:val="333333"/>
          <w:sz w:val="18"/>
        </w:rPr>
        <w:t>11. Taub et al. Translocation of the c-myc gene into the immunoglobulin heavy chain locus in human Burkitt lymphoma and murine plasmacytoma cells. Proc Natl Acad Sci U S A. 1982 Dec;79(24):7837-41. PMID: 6818551</w:t>
      </w:r>
    </w:p>
    <w:p>
      <w:pPr>
        <w:spacing w:before="116" w:after="80" w:line="276" w:lineRule="auto"/>
        <w:jc w:val="left"/>
      </w:pPr>
      <w:r>
        <w:rPr>
          <w:rFonts w:ascii="Calibri" w:hAnsi="Calibri"/>
          <w:color w:val="333333"/>
          <w:sz w:val="18"/>
        </w:rPr>
        <w:t>12. Ott et al. Understanding MYC-driven aggressive B-cell lymphomas: pathogenesis and classification. Hematology Am Soc Hematol Educ Program. 2013;2013:575-83. PMID: 24319234</w:t>
      </w:r>
    </w:p>
    <w:p>
      <w:pPr>
        <w:spacing w:before="116" w:after="80" w:line="276" w:lineRule="auto"/>
        <w:jc w:val="left"/>
      </w:pPr>
      <w:r>
        <w:rPr>
          <w:rFonts w:ascii="Calibri" w:hAnsi="Calibri"/>
          <w:color w:val="333333"/>
          <w:sz w:val="18"/>
        </w:rPr>
        <w:t>13. NCCN Guidelines® - NCCN-B-Cell Lymphomas [Version 2.2025]</w:t>
      </w:r>
    </w:p>
    <w:p>
      <w:pPr>
        <w:spacing w:before="116" w:after="80" w:line="276" w:lineRule="auto"/>
        <w:jc w:val="left"/>
      </w:pPr>
      <w:r>
        <w:rPr>
          <w:rFonts w:ascii="Calibri" w:hAnsi="Calibri"/>
          <w:color w:val="333333"/>
          <w:sz w:val="18"/>
        </w:rPr>
        <w:t>14. Beham-Schmid. Aggressive lymphoma 2016: revision of the WHO classification. Memo. 2017;10(4):248-254. PMID: 29250206</w:t>
      </w:r>
    </w:p>
    <w:p>
      <w:pPr>
        <w:spacing w:before="116" w:after="80" w:line="276" w:lineRule="auto"/>
        <w:jc w:val="left"/>
      </w:pPr>
      <w:r>
        <w:rPr>
          <w:rFonts w:ascii="Calibri" w:hAnsi="Calibri"/>
          <w:color w:val="333333"/>
          <w:sz w:val="18"/>
        </w:rPr>
        <w:t>15. NCCN Guidelines® - NCCN-Pediatric Aggressive Mature B-cell Lymphomas [Version 2.2025]</w:t>
      </w:r>
    </w:p>
    <w:p>
      <w:pPr>
        <w:spacing w:before="116" w:after="80" w:line="276" w:lineRule="auto"/>
        <w:jc w:val="left"/>
      </w:pPr>
      <w:r>
        <w:rPr>
          <w:rFonts w:ascii="Calibri" w:hAnsi="Calibri"/>
          <w:color w:val="333333"/>
          <w:sz w:val="18"/>
        </w:rPr>
        <w:t>16. Schmitz et al. Oncogenic mechanisms in Burkitt lymphoma. Cold Spring Harb Perspect Med. 2014 Feb 1;4(2). PMID: 24492847</w:t>
      </w:r>
    </w:p>
    <w:p>
      <w:pPr>
        <w:spacing w:before="116" w:after="80" w:line="276" w:lineRule="auto"/>
        <w:jc w:val="left"/>
      </w:pPr>
      <w:r>
        <w:rPr>
          <w:rFonts w:ascii="Calibri" w:hAnsi="Calibri"/>
          <w:color w:val="333333"/>
          <w:sz w:val="18"/>
        </w:rPr>
        <w:t>17. NCCN Guidelines® - NCCN-Multiple Myeloma [Version 2.2025]</w:t>
      </w:r>
    </w:p>
    <w:p>
      <w:pPr>
        <w:spacing w:before="116" w:after="80" w:line="276" w:lineRule="auto"/>
        <w:jc w:val="left"/>
      </w:pPr>
      <w:r>
        <w:rPr>
          <w:rFonts w:ascii="Calibri" w:hAnsi="Calibri"/>
          <w:color w:val="333333"/>
          <w:sz w:val="18"/>
        </w:rPr>
        <w:t>18. NCCN Guidelines® - NCCN-Acute Lymphoblastic Leukemia [Version 3.2024]</w:t>
      </w:r>
    </w:p>
    <w:p>
      <w:pPr>
        <w:spacing w:before="116" w:after="80" w:line="276" w:lineRule="auto"/>
        <w:jc w:val="left"/>
      </w:pPr>
      <w:r>
        <w:rPr>
          <w:rFonts w:ascii="Calibri" w:hAnsi="Calibri"/>
          <w:color w:val="333333"/>
          <w:sz w:val="18"/>
        </w:rPr>
        <w:t>19. Posternak et al. Strategically targeting MYC in cancer. F1000Res. 2016;5. PMID: 27081479</w:t>
      </w:r>
    </w:p>
    <w:p>
      <w:pPr>
        <w:spacing w:before="116" w:after="80" w:line="276" w:lineRule="auto"/>
        <w:jc w:val="left"/>
      </w:pPr>
      <w:r>
        <w:rPr>
          <w:rFonts w:ascii="Calibri" w:hAnsi="Calibri"/>
          <w:color w:val="333333"/>
          <w:sz w:val="18"/>
        </w:rPr>
        <w:t>20. Carabet et al. Therapeutic Inhibition of Myc in Cancer. Structural Bases and Computer-Aided Drug Discovery Approaches. Int J Mol Sci. 2018 Dec 29;20(1). PMID: 30597997</w:t>
      </w:r>
    </w:p>
    <w:p>
      <w:pPr>
        <w:spacing w:before="116" w:after="80" w:line="276" w:lineRule="auto"/>
        <w:jc w:val="left"/>
      </w:pPr>
      <w:r>
        <w:rPr>
          <w:rFonts w:ascii="Calibri" w:hAnsi="Calibri"/>
          <w:color w:val="333333"/>
          <w:sz w:val="18"/>
        </w:rPr>
        <w:t>21. Shahbazi et al. The Bromodomain Inhibitor JQ1 and the Histone Deacetylase Inhibitor Panobinostat Synergistically Reduce N-Myc Expression and Induce Anticancer Effects. Clin. Cancer Res. 2016 May 15;22(10):2534-44. PMID: 26733615</w:t>
      </w:r>
    </w:p>
    <w:p>
      <w:pPr>
        <w:spacing w:before="360" w:after="80" w:line="276" w:lineRule="auto"/>
        <w:jc w:val="right"/>
      </w:pPr>
      <w:r>
        <w:rPr>
          <w:rFonts w:ascii="Calibri" w:hAnsi="Calibri"/>
          <w:color w:val="333333"/>
          <w:sz w:val="20"/>
        </w:rPr>
        <w:t>For queries please call on 9586177755</w:t>
      </w:r>
    </w:p>
    <w:p>
      <w:pPr>
        <w:spacing w:before="25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sectPr w:rsidR="00FC693F" w:rsidRPr="0006063C" w:rsidSect="00034616">
      <w:headerReference w:type="default" r:id="rId45"/>
      <w:footerReference w:type="default" r:id="rId46"/>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4.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header" Target="header19.xml"/><Relationship Id="rId49" Type="http://schemas.openxmlformats.org/officeDocument/2006/relationships/footer" Target="footer18.xml"/><Relationship Id="rId50"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