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Case ID</w:t>
            </w:r>
          </w:p>
        </w:tc>
        <w:tc>
          <w:tcPr>
            <w:tcW w:type="dxa" w:w="3168"/>
            <w:tcMar>
              <w:top w:w="20" w:type="dxa"/>
              <w:bottom w:w="20" w:type="dxa"/>
              <w:start w:w="40" w:type="dxa"/>
              <w:end w:w="40" w:type="dxa"/>
            </w:tcMar>
          </w:tcPr>
          <w:p>
            <w:r>
              <w:rPr>
                <w:rFonts w:ascii="Times New Roman" w:hAnsi="Times New Roman"/>
                <w:color w:val="000000"/>
                <w:sz w:val="20"/>
              </w:rPr>
              <w:t>2600133939</w:t>
            </w:r>
          </w:p>
        </w:tc>
        <w:tc>
          <w:tcPr>
            <w:tcW w:type="dxa" w:w="1440"/>
            <w:tcMar>
              <w:top w:w="20" w:type="dxa"/>
              <w:bottom w:w="20" w:type="dxa"/>
              <w:start w:w="40" w:type="dxa"/>
              <w:end w:w="40" w:type="dxa"/>
            </w:tcMar>
          </w:tcPr>
          <w:p>
            <w:r>
              <w:rPr>
                <w:rFonts w:ascii="Times New Roman" w:hAnsi="Times New Roman"/>
                <w:b/>
                <w:color w:val="1F497D"/>
                <w:sz w:val="20"/>
              </w:rPr>
              <w:t>Sample Type</w:t>
            </w:r>
          </w:p>
        </w:tc>
        <w:tc>
          <w:tcPr>
            <w:tcW w:type="dxa" w:w="3168"/>
            <w:tcMar>
              <w:top w:w="20" w:type="dxa"/>
              <w:bottom w:w="20" w:type="dxa"/>
              <w:start w:w="40" w:type="dxa"/>
              <w:end w:w="40" w:type="dxa"/>
            </w:tcMar>
          </w:tcPr>
          <w:p>
            <w:r>
              <w:rPr>
                <w:rFonts w:ascii="Times New Roman" w:hAnsi="Times New Roman"/>
                <w:color w:val="000000"/>
                <w:sz w:val="20"/>
              </w:rPr>
              <w:t>BLOOD IN CCF DNA TUBE</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Name</w:t>
            </w:r>
          </w:p>
        </w:tc>
        <w:tc>
          <w:tcPr>
            <w:tcW w:type="dxa" w:w="3168"/>
            <w:tcMar>
              <w:top w:w="20" w:type="dxa"/>
              <w:bottom w:w="20" w:type="dxa"/>
              <w:start w:w="40" w:type="dxa"/>
              <w:end w:w="40" w:type="dxa"/>
            </w:tcMar>
          </w:tcPr>
          <w:p>
            <w:r>
              <w:rPr>
                <w:rFonts w:ascii="Times New Roman" w:hAnsi="Times New Roman"/>
                <w:color w:val="000000"/>
                <w:sz w:val="20"/>
              </w:rPr>
              <w:t>MRS. SAROJ DEVI (OQG2604250052)</w:t>
            </w:r>
          </w:p>
        </w:tc>
        <w:tc>
          <w:tcPr>
            <w:tcW w:type="dxa" w:w="1440"/>
            <w:tcMar>
              <w:top w:w="20" w:type="dxa"/>
              <w:bottom w:w="20" w:type="dxa"/>
              <w:start w:w="40" w:type="dxa"/>
              <w:end w:w="40" w:type="dxa"/>
            </w:tcMar>
          </w:tcPr>
          <w:p>
            <w:r>
              <w:rPr>
                <w:rFonts w:ascii="Times New Roman" w:hAnsi="Times New Roman"/>
                <w:b/>
                <w:color w:val="1F497D"/>
                <w:sz w:val="20"/>
              </w:rPr>
              <w:t>Date &amp; Time Collected</w:t>
            </w:r>
          </w:p>
        </w:tc>
        <w:tc>
          <w:tcPr>
            <w:tcW w:type="dxa" w:w="3168"/>
            <w:tcMar>
              <w:top w:w="20" w:type="dxa"/>
              <w:bottom w:w="20" w:type="dxa"/>
              <w:start w:w="40" w:type="dxa"/>
              <w:end w:w="40" w:type="dxa"/>
            </w:tcMar>
          </w:tcPr>
          <w:p>
            <w:r>
              <w:rPr>
                <w:rFonts w:ascii="Times New Roman" w:hAnsi="Times New Roman"/>
                <w:color w:val="000000"/>
                <w:sz w:val="20"/>
              </w:rPr>
              <w:t>25-Apr-2026 07:57 AM</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Sex/Age</w:t>
            </w:r>
          </w:p>
        </w:tc>
        <w:tc>
          <w:tcPr>
            <w:tcW w:type="dxa" w:w="3168"/>
            <w:tcMar>
              <w:top w:w="20" w:type="dxa"/>
              <w:bottom w:w="20" w:type="dxa"/>
              <w:start w:w="40" w:type="dxa"/>
              <w:end w:w="40" w:type="dxa"/>
            </w:tcMar>
          </w:tcPr>
          <w:p>
            <w:r>
              <w:rPr>
                <w:rFonts w:ascii="Times New Roman" w:hAnsi="Times New Roman"/>
                <w:color w:val="000000"/>
                <w:sz w:val="20"/>
              </w:rPr>
              <w:t>Female/64 Years</w:t>
            </w:r>
          </w:p>
        </w:tc>
        <w:tc>
          <w:tcPr>
            <w:tcW w:type="dxa" w:w="1440"/>
            <w:tcMar>
              <w:top w:w="20" w:type="dxa"/>
              <w:bottom w:w="20" w:type="dxa"/>
              <w:start w:w="40" w:type="dxa"/>
              <w:end w:w="40" w:type="dxa"/>
            </w:tcMar>
          </w:tcPr>
          <w:p>
            <w:r>
              <w:rPr>
                <w:rFonts w:ascii="Times New Roman" w:hAnsi="Times New Roman"/>
                <w:b/>
                <w:color w:val="1F497D"/>
                <w:sz w:val="20"/>
              </w:rPr>
              <w:t>Date &amp; Time Received</w:t>
            </w:r>
          </w:p>
        </w:tc>
        <w:tc>
          <w:tcPr>
            <w:tcW w:type="dxa" w:w="3168"/>
            <w:tcMar>
              <w:top w:w="20" w:type="dxa"/>
              <w:bottom w:w="20" w:type="dxa"/>
              <w:start w:w="40" w:type="dxa"/>
              <w:end w:w="40" w:type="dxa"/>
            </w:tcMar>
          </w:tcPr>
          <w:p>
            <w:r>
              <w:rPr>
                <w:rFonts w:ascii="Times New Roman" w:hAnsi="Times New Roman"/>
                <w:color w:val="000000"/>
                <w:sz w:val="20"/>
              </w:rPr>
              <w:t>27-Apr-2026 12:14 PM</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Date &amp; Time Reported</w:t>
            </w:r>
          </w:p>
        </w:tc>
        <w:tc>
          <w:tcPr>
            <w:tcW w:type="dxa" w:w="3168"/>
            <w:tcMar>
              <w:top w:w="20" w:type="dxa"/>
              <w:bottom w:w="20" w:type="dxa"/>
              <w:start w:w="40" w:type="dxa"/>
              <w:end w:w="40" w:type="dxa"/>
            </w:tcMar>
          </w:tcPr>
          <w:p>
            <w:r>
              <w:rPr>
                <w:rFonts w:ascii="Times New Roman" w:hAnsi="Times New Roman"/>
                <w:color w:val="000000"/>
                <w:sz w:val="20"/>
              </w:rPr>
              <w:t>11-May-2026 06:24 PM</w:t>
            </w:r>
          </w:p>
        </w:tc>
        <w:tc>
          <w:tcPr>
            <w:tcW w:type="dxa" w:w="1440"/>
            <w:tcMar>
              <w:top w:w="20" w:type="dxa"/>
              <w:bottom w:w="20" w:type="dxa"/>
              <w:start w:w="40" w:type="dxa"/>
              <w:end w:w="40" w:type="dxa"/>
            </w:tcMar>
          </w:tcPr>
          <w:p>
            <w:r>
              <w:rPr>
                <w:rFonts w:ascii="Times New Roman" w:hAnsi="Times New Roman"/>
                <w:b/>
                <w:color w:val="1F497D"/>
                <w:sz w:val="20"/>
              </w:rPr>
              <w:t>Report Version</w:t>
            </w:r>
          </w:p>
        </w:tc>
        <w:tc>
          <w:tcPr>
            <w:tcW w:type="dxa" w:w="3168"/>
            <w:tcMar>
              <w:top w:w="20" w:type="dxa"/>
              <w:bottom w:w="20" w:type="dxa"/>
              <w:start w:w="40" w:type="dxa"/>
              <w:end w:w="40" w:type="dxa"/>
            </w:tcMar>
          </w:tcPr>
          <w:p>
            <w:r>
              <w:rPr>
                <w:rFonts w:ascii="Times New Roman" w:hAnsi="Times New Roman"/>
                <w:color w:val="000000"/>
                <w:sz w:val="20"/>
              </w:rPr>
              <w:t>1</w:t>
            </w:r>
          </w:p>
        </w:tc>
      </w:tr>
    </w:tbl>
    <w:p>
      <w:pPr>
        <w:spacing w:before="0" w:after="80" w:line="20" w:lineRule="exact"/>
      </w:pPr>
      <w:r>
        <w:rPr>
          <w:sz w:val="2"/>
        </w:rPr>
      </w:r>
    </w:p>
    <w:p>
      <w:pPr>
        <w:keepNext/>
        <w:spacing w:before="78" w:after="80"/>
        <w:jc w:val="left"/>
      </w:pPr>
      <w:r>
        <w:rPr>
          <w:rFonts w:ascii="Cambria" w:hAnsi="Cambria"/>
          <w:b/>
          <w:i w:val="0"/>
          <w:color w:val="000000"/>
          <w:sz w:val="32"/>
          <w:highlight w:val="yellow"/>
        </w:rPr>
        <w:t>TEST NAME</w:t>
      </w:r>
    </w:p>
    <w:p>
      <w:pPr>
        <w:spacing w:before="266" w:after="80" w:line="276" w:lineRule="auto"/>
        <w:jc w:val="left"/>
      </w:pPr>
      <w:r>
        <w:rPr>
          <w:rFonts w:ascii="Cambria" w:hAnsi="Cambria"/>
          <w:color w:val="000000"/>
          <w:sz w:val="24"/>
        </w:rPr>
        <w:t>Clinical Indication: Carcinoma Breast</w:t>
      </w:r>
    </w:p>
    <w:p>
      <w:pPr>
        <w:keepNext/>
        <w:shd w:val="clear" w:color="auto" w:fill="C00000"/>
        <w:spacing w:before="160" w:after="160"/>
        <w:jc w:val="center"/>
      </w:pPr>
      <w:r>
        <w:rPr>
          <w:rFonts w:ascii="Cambria" w:hAnsi="Cambria"/>
          <w:b/>
          <w:color w:val="FFFFFF"/>
          <w:sz w:val="26"/>
        </w:rPr>
        <w:t>Positive</w:t>
        <w:br/>
      </w:r>
      <w:r>
        <w:rPr>
          <w:rFonts w:ascii="Cambria" w:hAnsi="Cambria"/>
          <w:b w:val="0"/>
          <w:color w:val="FFFFFF"/>
          <w:sz w:val="19"/>
        </w:rPr>
        <w:t>(Clinically significant variant detected)</w:t>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83"/>
            <w:shd w:val="clear" w:color="auto" w:fill="008080"/>
            <w:tcMar>
              <w:top w:w="60" w:type="dxa"/>
              <w:bottom w:w="60" w:type="dxa"/>
              <w:start w:w="80" w:type="dxa"/>
              <w:end w:w="80" w:type="dxa"/>
            </w:tcMar>
          </w:tcPr>
          <w:p>
            <w:pPr>
              <w:jc w:val="center"/>
            </w:pPr>
            <w:r>
              <w:rPr>
                <w:rFonts w:ascii="Cambria" w:hAnsi="Cambria"/>
                <w:b/>
                <w:color w:val="FFFFFF"/>
                <w:sz w:val="20"/>
              </w:rPr>
              <w:t>Gene &amp; Transcript</w:t>
            </w:r>
          </w:p>
        </w:tc>
        <w:tc>
          <w:tcPr>
            <w:tcW w:type="dxa" w:w="1763"/>
            <w:shd w:val="clear" w:color="auto" w:fill="008080"/>
            <w:tcMar>
              <w:top w:w="60" w:type="dxa"/>
              <w:bottom w:w="60" w:type="dxa"/>
              <w:start w:w="80" w:type="dxa"/>
              <w:end w:w="80" w:type="dxa"/>
            </w:tcMar>
          </w:tcPr>
          <w:p>
            <w:pPr>
              <w:jc w:val="center"/>
            </w:pPr>
            <w:r>
              <w:rPr>
                <w:rFonts w:ascii="Cambria" w:hAnsi="Cambria"/>
                <w:b/>
                <w:color w:val="FFFFFF"/>
                <w:sz w:val="20"/>
              </w:rPr>
              <w:t>Variant</w:t>
            </w:r>
          </w:p>
        </w:tc>
        <w:tc>
          <w:tcPr>
            <w:tcW w:type="dxa" w:w="1237"/>
            <w:shd w:val="clear" w:color="auto" w:fill="008080"/>
            <w:tcMar>
              <w:top w:w="60" w:type="dxa"/>
              <w:bottom w:w="60" w:type="dxa"/>
              <w:start w:w="80" w:type="dxa"/>
              <w:end w:w="80" w:type="dxa"/>
            </w:tcMar>
          </w:tcPr>
          <w:p>
            <w:pPr>
              <w:jc w:val="center"/>
            </w:pPr>
            <w:r>
              <w:rPr>
                <w:rFonts w:ascii="Cambria" w:hAnsi="Cambria"/>
                <w:b/>
                <w:color w:val="FFFFFF"/>
                <w:sz w:val="20"/>
              </w:rPr>
              <w:t>Exon</w:t>
            </w:r>
          </w:p>
        </w:tc>
        <w:tc>
          <w:tcPr>
            <w:tcW w:type="dxa" w:w="1510"/>
            <w:shd w:val="clear" w:color="auto" w:fill="008080"/>
            <w:tcMar>
              <w:top w:w="60" w:type="dxa"/>
              <w:bottom w:w="60" w:type="dxa"/>
              <w:start w:w="80" w:type="dxa"/>
              <w:end w:w="80" w:type="dxa"/>
            </w:tcMar>
          </w:tcPr>
          <w:p>
            <w:pPr>
              <w:jc w:val="center"/>
            </w:pPr>
            <w:r>
              <w:rPr>
                <w:rFonts w:ascii="Cambria" w:hAnsi="Cambria"/>
                <w:b/>
                <w:color w:val="FFFFFF"/>
                <w:sz w:val="20"/>
              </w:rPr>
              <w:t>Coverage / VAF</w:t>
            </w:r>
          </w:p>
        </w:tc>
        <w:tc>
          <w:tcPr>
            <w:tcW w:type="dxa" w:w="1510"/>
            <w:shd w:val="clear" w:color="auto" w:fill="008080"/>
            <w:tcMar>
              <w:top w:w="60" w:type="dxa"/>
              <w:bottom w:w="60" w:type="dxa"/>
              <w:start w:w="80" w:type="dxa"/>
              <w:end w:w="80" w:type="dxa"/>
            </w:tcMar>
          </w:tcPr>
          <w:p>
            <w:pPr>
              <w:jc w:val="center"/>
            </w:pPr>
            <w:r>
              <w:rPr>
                <w:rFonts w:ascii="Cambria" w:hAnsi="Cambria"/>
                <w:b/>
                <w:color w:val="FFFFFF"/>
                <w:sz w:val="20"/>
              </w:rPr>
              <w:t>Classification</w:t>
            </w:r>
          </w:p>
        </w:tc>
        <w:tc>
          <w:tcPr>
            <w:tcW w:type="dxa" w:w="2763"/>
            <w:shd w:val="clear" w:color="auto" w:fill="008080"/>
            <w:tcMar>
              <w:top w:w="60" w:type="dxa"/>
              <w:bottom w:w="60" w:type="dxa"/>
              <w:start w:w="80" w:type="dxa"/>
              <w:end w:w="80" w:type="dxa"/>
            </w:tcMar>
          </w:tcPr>
          <w:p>
            <w:pPr>
              <w:jc w:val="center"/>
            </w:pPr>
            <w:r>
              <w:rPr>
                <w:rFonts w:ascii="Cambria" w:hAnsi="Cambria"/>
                <w:b/>
                <w:color w:val="FFFFFF"/>
                <w:sz w:val="20"/>
              </w:rPr>
              <w:t>Relevant Biomarker</w:t>
            </w:r>
          </w:p>
        </w:tc>
      </w:tr>
      <w:tr>
        <w:trPr>
          <w:cantSplit w:val="true"/>
        </w:trPr>
        <w:tc>
          <w:tcPr>
            <w:tcW w:type="dxa" w:w="1683"/>
            <w:shd w:val="clear" w:color="auto" w:fill="daedf3"/>
            <w:tcMar>
              <w:top w:w="60" w:type="dxa"/>
              <w:bottom w:w="60" w:type="dxa"/>
              <w:start w:w="80" w:type="dxa"/>
              <w:end w:w="80" w:type="dxa"/>
            </w:tcMar>
          </w:tcPr>
          <w:p>
            <w:pPr>
              <w:jc w:val="left"/>
            </w:pPr>
            <w:r>
              <w:rPr>
                <w:rFonts w:ascii="Cambria" w:hAnsi="Cambria"/>
                <w:b w:val="0"/>
                <w:i w:val="0"/>
                <w:color w:val="000000"/>
                <w:sz w:val="20"/>
              </w:rPr>
              <w:t>PIK3CA</w:t>
              <w:br/>
              <w:t>NM 006218.4</w:t>
              <w:br/>
              <w:t>_</w:t>
            </w:r>
          </w:p>
        </w:tc>
        <w:tc>
          <w:tcPr>
            <w:tcW w:type="dxa" w:w="1763"/>
            <w:shd w:val="clear" w:color="auto" w:fill="daedf3"/>
            <w:tcMar>
              <w:top w:w="60" w:type="dxa"/>
              <w:bottom w:w="60" w:type="dxa"/>
              <w:start w:w="80" w:type="dxa"/>
              <w:end w:w="80" w:type="dxa"/>
            </w:tcMar>
          </w:tcPr>
          <w:p>
            <w:pPr>
              <w:jc w:val="left"/>
            </w:pPr>
            <w:r>
              <w:rPr>
                <w:rFonts w:ascii="Cambria" w:hAnsi="Cambria"/>
                <w:b w:val="0"/>
                <w:i w:val="0"/>
                <w:color w:val="000000"/>
                <w:sz w:val="20"/>
              </w:rPr>
              <w:t>c.1258T&gt;C</w:t>
              <w:br/>
              <w:t>(p.Cys420Arg)</w:t>
            </w:r>
          </w:p>
        </w:tc>
        <w:tc>
          <w:tcPr>
            <w:tcW w:type="dxa" w:w="1237"/>
            <w:shd w:val="clear" w:color="auto" w:fill="daedf3"/>
            <w:tcMar>
              <w:top w:w="60" w:type="dxa"/>
              <w:bottom w:w="60" w:type="dxa"/>
              <w:start w:w="80" w:type="dxa"/>
              <w:end w:w="80" w:type="dxa"/>
            </w:tcMar>
          </w:tcPr>
          <w:p>
            <w:pPr>
              <w:jc w:val="left"/>
            </w:pPr>
            <w:r>
              <w:rPr>
                <w:rFonts w:ascii="Cambria" w:hAnsi="Cambria"/>
                <w:b w:val="0"/>
                <w:i w:val="0"/>
                <w:color w:val="000000"/>
                <w:sz w:val="20"/>
              </w:rPr>
              <w:t>Exon 8</w:t>
            </w:r>
          </w:p>
        </w:tc>
        <w:tc>
          <w:tcPr>
            <w:tcW w:type="dxa" w:w="1510"/>
            <w:shd w:val="clear" w:color="auto" w:fill="daedf3"/>
            <w:tcMar>
              <w:top w:w="60" w:type="dxa"/>
              <w:bottom w:w="60" w:type="dxa"/>
              <w:start w:w="80" w:type="dxa"/>
              <w:end w:w="80" w:type="dxa"/>
            </w:tcMar>
          </w:tcPr>
          <w:p>
            <w:pPr>
              <w:jc w:val="left"/>
            </w:pPr>
            <w:r>
              <w:rPr>
                <w:rFonts w:ascii="Cambria" w:hAnsi="Cambria"/>
                <w:b w:val="0"/>
                <w:i w:val="0"/>
                <w:color w:val="000000"/>
                <w:sz w:val="20"/>
              </w:rPr>
              <w:t>465x / 5.81%</w:t>
            </w:r>
          </w:p>
        </w:tc>
        <w:tc>
          <w:tcPr>
            <w:tcW w:type="dxa" w:w="1510"/>
            <w:shd w:val="clear" w:color="auto" w:fill="daedf3"/>
            <w:tcMar>
              <w:top w:w="60" w:type="dxa"/>
              <w:bottom w:w="60" w:type="dxa"/>
              <w:start w:w="80" w:type="dxa"/>
              <w:end w:w="80" w:type="dxa"/>
            </w:tcMar>
          </w:tcPr>
          <w:p>
            <w:pPr>
              <w:jc w:val="left"/>
            </w:pPr>
            <w:r>
              <w:rPr>
                <w:rFonts w:ascii="Cambria" w:hAnsi="Cambria"/>
                <w:b w:val="0"/>
                <w:i w:val="0"/>
                <w:color w:val="000000"/>
                <w:sz w:val="20"/>
              </w:rPr>
              <w:t>Tier IA</w:t>
            </w:r>
          </w:p>
        </w:tc>
        <w:tc>
          <w:tcPr>
            <w:tcW w:type="dxa" w:w="2763"/>
            <w:shd w:val="clear" w:color="auto" w:fill="daedf3"/>
            <w:tcMar>
              <w:top w:w="60" w:type="dxa"/>
              <w:bottom w:w="60" w:type="dxa"/>
              <w:start w:w="80" w:type="dxa"/>
              <w:end w:w="80" w:type="dxa"/>
            </w:tcMar>
          </w:tcPr>
          <w:p>
            <w:pPr>
              <w:jc w:val="right"/>
            </w:pPr>
            <w:r>
              <w:rPr>
                <w:rFonts w:ascii="Cambria" w:hAnsi="Cambria"/>
                <w:b w:val="0"/>
                <w:i w:val="0"/>
                <w:color w:val="FF0000"/>
                <w:sz w:val="20"/>
              </w:rPr>
              <w:t>Targeted therapies, guidelines</w:t>
              <w:br/>
              <w:t>&amp; global clinical trials info</w:t>
              <w:br/>
              <w:t>attached</w:t>
            </w:r>
          </w:p>
        </w:tc>
      </w:tr>
    </w:tbl>
    <w:p>
      <w:pPr>
        <w:spacing w:before="0" w:after="120" w:line="20" w:lineRule="exact"/>
      </w:pPr>
      <w:r>
        <w:rPr>
          <w:sz w:val="2"/>
        </w:rPr>
      </w:r>
    </w:p>
    <w:p>
      <w:pPr>
        <w:spacing w:before="360" w:after="80" w:line="276" w:lineRule="auto"/>
        <w:jc w:val="left"/>
      </w:pPr>
      <w:r>
        <w:rPr>
          <w:rFonts w:ascii="Cambria" w:hAnsi="Cambria"/>
          <w:color w:val="000000"/>
          <w:sz w:val="24"/>
        </w:rPr>
        <w:t>Test Description: The Breast and Ovarian Cancer Extended - Liquid Biopsy Assay is an NGS panel based on molecular tagging technical method that tested to detect low MAFs mutation from plasma samples.</w:t>
      </w:r>
    </w:p>
    <w:p>
      <w:pPr>
        <w:spacing w:before="0" w:after="285"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2301"/>
            <w:shd w:val="clear" w:color="auto" w:fill="008080"/>
            <w:tcMar>
              <w:top w:w="60" w:type="dxa"/>
              <w:bottom w:w="60" w:type="dxa"/>
              <w:start w:w="80" w:type="dxa"/>
              <w:end w:w="80" w:type="dxa"/>
            </w:tcMar>
          </w:tcPr>
          <w:p>
            <w:pPr>
              <w:jc w:val="center"/>
            </w:pPr>
            <w:r>
              <w:rPr>
                <w:rFonts w:ascii="Cambria" w:hAnsi="Cambria"/>
                <w:b/>
                <w:color w:val="FFFFFF"/>
                <w:sz w:val="24"/>
              </w:rPr>
              <w:t>Variant Classification as per AMP-ASCO-CAP Guidelines:</w:t>
            </w:r>
          </w:p>
        </w:tc>
        <w:tc>
          <w:tcPr>
            <w:tcW w:type="dxa" w:w="8165"/>
            <w:shd w:val="clear" w:color="auto" w:fill="1f497d"/>
            <w:tcMar>
              <w:top w:w="60" w:type="dxa"/>
              <w:bottom w:w="60" w:type="dxa"/>
              <w:start w:w="80" w:type="dxa"/>
              <w:end w:w="80" w:type="dxa"/>
            </w:tcMar>
          </w:tcPr>
          <w:p>
            <w:pPr>
              <w:jc w:val="center"/>
            </w:pPr>
            <w:r>
              <w:rPr>
                <w:rFonts w:ascii="Times New Roman" w:hAnsi="Times New Roman"/>
                <w:b/>
                <w:color w:val="FFFFFF"/>
                <w:sz w:val="19"/>
              </w:rPr>
              <w:t>Column 2</w:t>
            </w:r>
          </w:p>
        </w:tc>
      </w:tr>
      <w:tr>
        <w:trPr>
          <w:cantSplit w:val="true"/>
        </w:trPr>
        <w:tc>
          <w:tcPr>
            <w:tcW w:type="dxa" w:w="2301"/>
            <w:tcMar>
              <w:top w:w="60" w:type="dxa"/>
              <w:bottom w:w="60" w:type="dxa"/>
              <w:start w:w="80" w:type="dxa"/>
              <w:end w:w="80" w:type="dxa"/>
            </w:tcMar>
          </w:tcPr>
          <w:p>
            <w:pPr>
              <w:jc w:val="left"/>
            </w:pPr>
            <w:r>
              <w:rPr>
                <w:rFonts w:ascii="Cambria" w:hAnsi="Cambria"/>
                <w:b w:val="0"/>
                <w:i w:val="0"/>
                <w:color w:val="008080"/>
                <w:sz w:val="20"/>
              </w:rPr>
              <w:t>Variant</w:t>
            </w:r>
          </w:p>
        </w:tc>
        <w:tc>
          <w:tcPr>
            <w:tcW w:type="dxa" w:w="8165"/>
            <w:tcMar>
              <w:top w:w="60" w:type="dxa"/>
              <w:bottom w:w="60" w:type="dxa"/>
              <w:start w:w="80" w:type="dxa"/>
              <w:end w:w="80" w:type="dxa"/>
            </w:tcMar>
          </w:tcPr>
          <w:p>
            <w:pPr>
              <w:jc w:val="left"/>
            </w:pPr>
            <w:r>
              <w:rPr>
                <w:rFonts w:ascii="Cambria" w:hAnsi="Cambria"/>
                <w:b w:val="0"/>
                <w:i w:val="0"/>
                <w:color w:val="000000"/>
                <w:sz w:val="20"/>
              </w:rPr>
              <w:t>A change in a gene. This could be disease causing (pathogenic) or not disease causing (benign).</w:t>
            </w:r>
          </w:p>
        </w:tc>
      </w:tr>
      <w:tr>
        <w:trPr>
          <w:cantSplit w:val="true"/>
        </w:trPr>
        <w:tc>
          <w:tcPr>
            <w:tcW w:type="dxa" w:w="2301"/>
            <w:shd w:val="clear" w:color="auto" w:fill="f8fafc"/>
            <w:tcMar>
              <w:top w:w="60" w:type="dxa"/>
              <w:bottom w:w="60" w:type="dxa"/>
              <w:start w:w="80" w:type="dxa"/>
              <w:end w:w="80" w:type="dxa"/>
            </w:tcMar>
          </w:tcPr>
          <w:p>
            <w:pPr>
              <w:jc w:val="left"/>
            </w:pPr>
            <w:r>
              <w:rPr>
                <w:rFonts w:ascii="Cambria" w:hAnsi="Cambria"/>
                <w:b w:val="0"/>
                <w:i w:val="0"/>
                <w:color w:val="000000"/>
                <w:sz w:val="20"/>
              </w:rPr>
              <w:t>Tier I:</w:t>
              <w:br/>
              <w:t>Variants of</w:t>
              <w:br/>
              <w:t>Strong</w:t>
              <w:br/>
              <w:t>Clinical</w:t>
              <w:br/>
              <w:t>Significance</w:t>
            </w:r>
          </w:p>
        </w:tc>
        <w:tc>
          <w:tcPr>
            <w:tcW w:type="dxa" w:w="8165"/>
            <w:shd w:val="clear" w:color="auto" w:fill="f8fafc"/>
            <w:tcMar>
              <w:top w:w="60" w:type="dxa"/>
              <w:bottom w:w="60" w:type="dxa"/>
              <w:start w:w="80" w:type="dxa"/>
              <w:end w:w="80" w:type="dxa"/>
            </w:tcMar>
          </w:tcPr>
          <w:p>
            <w:pPr>
              <w:jc w:val="left"/>
            </w:pPr>
            <w:r>
              <w:rPr>
                <w:rFonts w:ascii="Cambria" w:hAnsi="Cambria"/>
                <w:b/>
                <w:i w:val="0"/>
                <w:color w:val="000000"/>
                <w:sz w:val="20"/>
              </w:rPr>
              <w:t>Level A, biomarkers that predict response or resistance to US FDA-approved therapies for a</w:t>
              <w:br/>
              <w:t>specific type of tumor or have been included in professional guidelines as therapeutic, diagnostic,</w:t>
              <w:br/>
              <w:t>and/or prognostic biomarkers for specific types of tumors;</w:t>
              <w:br/>
              <w:t>Level B, biomarkers that predict response or resistance to a therapy based on well-powered</w:t>
              <w:br/>
              <w:t>studies with consensus from experts in the field, or have diagnostic and/or prognostic significance</w:t>
              <w:br/>
              <w:t>of certain diseases based on well-powered studies with expert consensus.</w:t>
            </w:r>
          </w:p>
        </w:tc>
      </w:tr>
      <w:tr>
        <w:trPr>
          <w:cantSplit w:val="true"/>
        </w:trPr>
        <w:tc>
          <w:tcPr>
            <w:tcW w:type="dxa" w:w="2301"/>
            <w:tcMar>
              <w:top w:w="60" w:type="dxa"/>
              <w:bottom w:w="60" w:type="dxa"/>
              <w:start w:w="80" w:type="dxa"/>
              <w:end w:w="80" w:type="dxa"/>
            </w:tcMar>
          </w:tcPr>
          <w:p>
            <w:pPr>
              <w:jc w:val="left"/>
            </w:pPr>
            <w:r>
              <w:rPr>
                <w:rFonts w:ascii="Cambria" w:hAnsi="Cambria"/>
                <w:b w:val="0"/>
                <w:i w:val="0"/>
                <w:color w:val="000000"/>
                <w:sz w:val="20"/>
              </w:rPr>
              <w:t>Tier II:</w:t>
              <w:br/>
              <w:t>Variants of</w:t>
              <w:br/>
              <w:t>Potential</w:t>
              <w:br/>
              <w:t>Clinical</w:t>
              <w:br/>
              <w:t>Significance</w:t>
            </w:r>
          </w:p>
        </w:tc>
        <w:tc>
          <w:tcPr>
            <w:tcW w:type="dxa" w:w="8165"/>
            <w:tcMar>
              <w:top w:w="60" w:type="dxa"/>
              <w:bottom w:w="60" w:type="dxa"/>
              <w:start w:w="80" w:type="dxa"/>
              <w:end w:w="80" w:type="dxa"/>
            </w:tcMar>
          </w:tcPr>
          <w:p>
            <w:pPr>
              <w:jc w:val="left"/>
            </w:pPr>
            <w:r>
              <w:rPr>
                <w:rFonts w:ascii="Cambria" w:hAnsi="Cambria"/>
                <w:b/>
                <w:i w:val="0"/>
                <w:color w:val="000000"/>
                <w:sz w:val="20"/>
              </w:rPr>
              <w:t>Level C, biomarkers that predict response or resistance to therapies approved by FDA or</w:t>
              <w:br/>
              <w:t>professional societies for a different tumor type (ie, off-label use of a drug), serve as inclusion</w:t>
              <w:br/>
              <w:t>criteria for clinical trials, or have diagnostic and/or prognostic significance based on the results of</w:t>
              <w:br/>
              <w:t>multiple small studies;</w:t>
              <w:br/>
              <w:t>Level D, biomarkers that show plausible therapeutic significance based on preclinical studies or</w:t>
              <w:br/>
              <w:t>may assist disease diagnosis and/or prognosis themselves or along with other biomarkers based</w:t>
              <w:br/>
              <w:t>on small studies or multiple case reports with no consensus.</w:t>
            </w:r>
          </w:p>
        </w:tc>
      </w:tr>
    </w:tbl>
    <w:p>
      <w:pPr>
        <w:spacing w:before="0" w:after="120" w:line="20" w:lineRule="exact"/>
      </w:pPr>
      <w:r>
        <w:rPr>
          <w:sz w:val="2"/>
        </w:rPr>
      </w:r>
    </w:p>
    <w:p>
      <w:pPr>
        <w:spacing w:before="81" w:after="120"/>
        <w:jc w:val="center"/>
      </w:pPr>
      <w:r>
        <w:drawing>
          <wp:inline xmlns:a="http://schemas.openxmlformats.org/drawingml/2006/main" xmlns:pic="http://schemas.openxmlformats.org/drawingml/2006/picture">
            <wp:extent cx="1536700" cy="6731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9"/>
          <w:footerReference w:type="default" r:id="rId10"/>
          <w:headerReference w:type="first" r:id="rId43"/>
          <w:headerReference w:type="even" r:id="rId44"/>
          <w:footerReference w:type="first" r:id="rId45"/>
          <w:footerReference w:type="even" r:id="rId46"/>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3426"/>
            <w:shd w:val="clear" w:color="auto" w:fill="1f497d"/>
            <w:tcMar>
              <w:top w:w="60" w:type="dxa"/>
              <w:bottom w:w="60" w:type="dxa"/>
              <w:start w:w="80" w:type="dxa"/>
              <w:end w:w="80" w:type="dxa"/>
            </w:tcMar>
          </w:tcPr>
          <w:p>
            <w:pPr>
              <w:jc w:val="center"/>
            </w:pPr>
            <w:r>
              <w:rPr>
                <w:rFonts w:ascii="Cambria" w:hAnsi="Cambria"/>
                <w:b w:val="0"/>
                <w:color w:val="000000"/>
                <w:sz w:val="20"/>
              </w:rPr>
              <w:t>Variant Classification as per AMP-ASCO-CAP Guidelines:</w:t>
            </w:r>
          </w:p>
        </w:tc>
        <w:tc>
          <w:tcPr>
            <w:tcW w:type="dxa" w:w="7039"/>
            <w:shd w:val="clear" w:color="auto" w:fill="1f497d"/>
            <w:tcMar>
              <w:top w:w="60" w:type="dxa"/>
              <w:bottom w:w="60" w:type="dxa"/>
              <w:start w:w="80" w:type="dxa"/>
              <w:end w:w="80" w:type="dxa"/>
            </w:tcMar>
          </w:tcPr>
          <w:p>
            <w:pPr>
              <w:jc w:val="center"/>
            </w:pPr>
            <w:r>
              <w:rPr>
                <w:rFonts w:ascii="Cambria" w:hAnsi="Cambria"/>
                <w:b w:val="0"/>
                <w:color w:val="000000"/>
                <w:sz w:val="20"/>
              </w:rPr>
              <w:t>Column 2</w:t>
            </w:r>
          </w:p>
        </w:tc>
      </w:tr>
      <w:tr>
        <w:trPr>
          <w:cantSplit w:val="true"/>
        </w:trPr>
        <w:tc>
          <w:tcPr>
            <w:tcW w:type="dxa" w:w="3426"/>
            <w:tcMar>
              <w:top w:w="60" w:type="dxa"/>
              <w:bottom w:w="60" w:type="dxa"/>
              <w:start w:w="80" w:type="dxa"/>
              <w:end w:w="80" w:type="dxa"/>
            </w:tcMar>
          </w:tcPr>
          <w:p>
            <w:pPr>
              <w:jc w:val="left"/>
            </w:pPr>
            <w:r>
              <w:rPr>
                <w:rFonts w:ascii="Times New Roman" w:hAnsi="Times New Roman"/>
                <w:b w:val="0"/>
                <w:i w:val="0"/>
                <w:color w:val="000000"/>
                <w:sz w:val="19"/>
              </w:rPr>
              <w:t>Tier III:</w:t>
              <w:br/>
              <w:t>Variants of</w:t>
              <w:br/>
              <w:t>unknown</w:t>
              <w:br/>
              <w:t>clinical</w:t>
              <w:br/>
              <w:t>significance</w:t>
            </w:r>
          </w:p>
        </w:tc>
        <w:tc>
          <w:tcPr>
            <w:tcW w:type="dxa" w:w="7039"/>
            <w:tcMar>
              <w:top w:w="60" w:type="dxa"/>
              <w:bottom w:w="60" w:type="dxa"/>
              <w:start w:w="80" w:type="dxa"/>
              <w:end w:w="80" w:type="dxa"/>
            </w:tcMar>
          </w:tcPr>
          <w:p>
            <w:pPr>
              <w:jc w:val="left"/>
            </w:pPr>
            <w:r>
              <w:rPr>
                <w:rFonts w:ascii="Times New Roman" w:hAnsi="Times New Roman"/>
                <w:b w:val="0"/>
                <w:i w:val="0"/>
                <w:color w:val="000000"/>
                <w:sz w:val="19"/>
              </w:rPr>
              <w:t>Not observed at a significant allele frequency in the general or specific subpopulation or</w:t>
              <w:br/>
              <w:t>pancancer or tumor specific variant databases. No convincing published evidence of cancer</w:t>
              <w:br/>
              <w:t>Association</w:t>
            </w:r>
          </w:p>
        </w:tc>
      </w:tr>
    </w:tbl>
    <w:p>
      <w:pPr>
        <w:spacing w:before="0" w:after="120" w:line="20" w:lineRule="exact"/>
      </w:pPr>
      <w:r>
        <w:rPr>
          <w:sz w:val="2"/>
        </w:rPr>
      </w:r>
    </w:p>
    <w:p>
      <w:pPr>
        <w:spacing w:before="283" w:after="80" w:line="276" w:lineRule="auto"/>
        <w:jc w:val="left"/>
      </w:pPr>
      <w:r>
        <w:rPr>
          <w:rFonts w:ascii="Cambria" w:hAnsi="Cambria"/>
          <w:color w:val="000000"/>
          <w:sz w:val="24"/>
        </w:rPr>
        <w:t>Test Methodology:  The cell-free DNA (cell-free total nucleic acid; cfTNA) isolated from the plasma fraction of whole blood.  A single pool of multiplex PCR primers used to preparation of libraries from cell-free DNA (cfDNA) obtained from the plasma fraction of a single tube of whole blood. In process quality controls were determined for prepared library.  The libraries were sequenced at minimum mean depth: &gt; 20,000x on Illumina Novaseq 6000 next generation sequencing platform.  Highly automated workflow and streamlined bioinformatics analysis pipeline were used to provide a SNVs, Indels, CNVs and as part of the streamlined bioinformatics workflow, the mutational signature plot were generated.</w:t>
      </w:r>
    </w:p>
    <w:p>
      <w:pPr>
        <w:spacing w:before="0" w:after="28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Table</w:t>
            </w:r>
          </w:p>
        </w:tc>
        <w:tc>
          <w:tcPr>
            <w:tcW w:type="dxa" w:w="3168"/>
            <w:tcMar>
              <w:top w:w="20" w:type="dxa"/>
              <w:bottom w:w="20" w:type="dxa"/>
              <w:start w:w="40" w:type="dxa"/>
              <w:end w:w="40" w:type="dxa"/>
            </w:tcMar>
          </w:tcPr>
          <w:p>
            <w:r>
              <w:rPr>
                <w:rFonts w:ascii="Times New Roman" w:hAnsi="Times New Roman"/>
                <w:color w:val="000000"/>
                <w:sz w:val="20"/>
              </w:rPr>
              <w:t>The Breast and Ovarian Cancer Extended Panel Gene List.</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101" w:after="80" w:line="276" w:lineRule="auto"/>
        <w:jc w:val="left"/>
      </w:pPr>
      <w:r>
        <w:rPr>
          <w:rFonts w:ascii="Cambria" w:hAnsi="Cambria"/>
          <w:color w:val="000000"/>
          <w:sz w:val="20"/>
        </w:rPr>
        <w:t>Gene List (93 Genes) ACVR1B, CDKN2A, GEN1, NCOR1, SEPT9, AKT1, CHEK2, HERC1, NEK2, SMAD4, APC, CSMD1, HOXB13, NF1, SMARCA4, AR, CTNNB1, IRAK4, PALB2, STK11, ATM, DIRAS3, ITCH, PALLD, SYNE1, ATR, EGFR, KMT2C, PBRM1, TGFB1, AXIN2, EP300, KRAS, PCGF2, TP53, BAP1, EPCAM, MAP2K4, PIK3CA, TRAF5, BARD1, ERBB2, MAP3K1, PIK3R1, VHL, BLM, ERBB3, MDM2, PMS1, WEE1, BMPR1A, ERCC4, MED12, PMS2, XRCC2, BRCA1, ESR1, MEN1, PPM1L, XRCC3, BRCA2, EXOC2, MLH1, PTEN, ZBED4, BRIP1, EXT2, MRE11A, PTGFR, CASP8, FAM175A, MSH2, RAD50, CBFB, FANCC, MSH6, RAD51, CCND1, FBXO32, MUC16, RAD51C, CDH1, FGFR1, MUTYH, RAD51D, CDK4, FGFR2, MYC, RB1, CDK6, GATA3, NBN, RET</w:t>
      </w:r>
    </w:p>
    <w:p>
      <w:pPr>
        <w:spacing w:before="0" w:after="29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No Guarantee</w:t>
            </w:r>
          </w:p>
        </w:tc>
        <w:tc>
          <w:tcPr>
            <w:tcW w:type="dxa" w:w="3168"/>
            <w:tcMar>
              <w:top w:w="20" w:type="dxa"/>
              <w:bottom w:w="20" w:type="dxa"/>
              <w:start w:w="40" w:type="dxa"/>
              <w:end w:w="40" w:type="dxa"/>
            </w:tcMar>
          </w:tcPr>
          <w:p>
            <w:r>
              <w:rPr>
                <w:rFonts w:ascii="Times New Roman" w:hAnsi="Times New Roman"/>
                <w:color w:val="000000"/>
                <w:sz w:val="20"/>
              </w:rPr>
              <w:t>By providing drug and clinical trial information for the reported diagnosis, Laboratory. is not</w:t>
            </w:r>
          </w:p>
        </w:tc>
        <w:tc>
          <w:tcPr>
            <w:tcW w:type="dxa" w:w="1440"/>
            <w:tcMar>
              <w:top w:w="20" w:type="dxa"/>
              <w:bottom w:w="20" w:type="dxa"/>
              <w:start w:w="40" w:type="dxa"/>
              <w:end w:w="40" w:type="dxa"/>
            </w:tcMar>
          </w:tcPr>
          <w:p>
            <w:r>
              <w:rPr>
                <w:rFonts w:ascii="Times New Roman" w:hAnsi="Times New Roman"/>
                <w:b/>
                <w:color w:val="1F497D"/>
                <w:sz w:val="20"/>
              </w:rPr>
              <w:t>Drugs</w:t>
            </w:r>
          </w:p>
        </w:tc>
        <w:tc>
          <w:tcPr>
            <w:tcW w:type="dxa" w:w="3168"/>
            <w:tcMar>
              <w:top w:w="20" w:type="dxa"/>
              <w:bottom w:w="20" w:type="dxa"/>
              <w:start w:w="40" w:type="dxa"/>
              <w:end w:w="40" w:type="dxa"/>
            </w:tcMar>
          </w:tcPr>
          <w:p>
            <w:r>
              <w:rPr>
                <w:rFonts w:ascii="Times New Roman" w:hAnsi="Times New Roman"/>
                <w:color w:val="000000"/>
                <w:sz w:val="20"/>
              </w:rPr>
              <w:t>The drugs listed on the report are not ranked in any specific order as to predicted efficacy or appropriateness</w:t>
            </w:r>
          </w:p>
        </w:tc>
      </w:tr>
    </w:tbl>
    <w:p>
      <w:pPr>
        <w:spacing w:before="0" w:after="80" w:line="20" w:lineRule="exact"/>
      </w:pPr>
      <w:r>
        <w:rPr>
          <w:sz w:val="2"/>
        </w:rPr>
      </w:r>
    </w:p>
    <w:p>
      <w:pPr>
        <w:spacing w:before="206" w:after="120"/>
        <w:jc w:val="center"/>
      </w:pPr>
      <w:r>
        <w:drawing>
          <wp:inline xmlns:a="http://schemas.openxmlformats.org/drawingml/2006/main" xmlns:pic="http://schemas.openxmlformats.org/drawingml/2006/picture">
            <wp:extent cx="1536700" cy="673100"/>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4"/>
          <w:footerReference w:type="default" r:id="rId15"/>
          <w:pgSz w:w="11906" w:h="16838"/>
          <w:pgMar w:top="1728" w:right="720" w:bottom="800" w:left="720" w:header="720" w:footer="720" w:gutter="0"/>
          <w:cols w:space="720"/>
          <w:docGrid w:linePitch="360"/>
        </w:sectPr>
      </w:pPr>
    </w:p>
    <w:p>
      <w:pPr>
        <w:spacing w:before="360" w:after="80" w:line="276" w:lineRule="auto"/>
        <w:jc w:val="left"/>
      </w:pPr>
      <w:r>
        <w:rPr>
          <w:rFonts w:ascii="Cambria" w:hAnsi="Cambria"/>
          <w:color w:val="000000"/>
          <w:sz w:val="20"/>
        </w:rPr>
        <w:t>for this patient. Laboratory. makes no guarantee or promise as to the effectiveness or suitability (or lack thereof) of any drug listed on this report. For more detailed information, healthcare providers should refer to the package insert for each FDA-approved drug listed in this report, and go to clinicaltrials.gov for information regarding drugs in clinical trials.</w:t>
      </w:r>
    </w:p>
    <w:p>
      <w:pPr>
        <w:spacing w:before="280" w:after="80" w:line="276" w:lineRule="auto"/>
        <w:jc w:val="left"/>
      </w:pPr>
      <w:r>
        <w:rPr>
          <w:rFonts w:ascii="Cambria" w:hAnsi="Cambria"/>
          <w:color w:val="000000"/>
          <w:sz w:val="20"/>
        </w:rPr>
        <w:t>References : 1. Li, MM, et al. Standards and Guidelines for the Interpretation and Reporting of Sequence Variants in Cancer: A Joint Consensus Recommendation of the Association for Molecular Pathology, American Society of Clinical Oncology, and College of American Pathologists. Journal of Molecular Diagnostics. 19.1 (2017): 4-23</w:t>
      </w:r>
    </w:p>
    <w:p>
      <w:pPr>
        <w:spacing w:before="305" w:after="80" w:line="276" w:lineRule="auto"/>
        <w:jc w:val="left"/>
      </w:pPr>
      <w:r>
        <w:rPr>
          <w:rFonts w:ascii="Cambria" w:hAnsi="Cambria"/>
          <w:color w:val="000000"/>
          <w:sz w:val="20"/>
        </w:rPr>
        <w:t>2. N. Rizvi et al. Mutational landscape determines sensitivity to PD-1 blockade in non–small cell lung cancer. Science, 2015.</w:t>
      </w:r>
    </w:p>
    <w:p>
      <w:pPr>
        <w:spacing w:before="305" w:after="80" w:line="276" w:lineRule="auto"/>
        <w:jc w:val="left"/>
      </w:pPr>
      <w:r>
        <w:rPr>
          <w:rFonts w:ascii="Cambria" w:hAnsi="Cambria"/>
          <w:color w:val="000000"/>
          <w:sz w:val="20"/>
        </w:rPr>
        <w:t>3. E. M. Van Allen et al. Genomic correlates of response to CTLA-4 blockade in metastatic melanoma. Science, 2015.</w:t>
      </w:r>
    </w:p>
    <w:p>
      <w:pPr>
        <w:spacing w:before="305" w:after="80" w:line="276" w:lineRule="auto"/>
        <w:jc w:val="left"/>
      </w:pPr>
      <w:r>
        <w:rPr>
          <w:rFonts w:ascii="Cambria" w:hAnsi="Cambria"/>
          <w:color w:val="000000"/>
          <w:sz w:val="20"/>
        </w:rPr>
        <w:t>4. Meyer, LR, et al. The UCSC Genome Browser database: extensions and updates 2013. Nucleic Acids Research, (2013). 41 (Databaseissue): D64-9.</w:t>
      </w:r>
    </w:p>
    <w:p>
      <w:pPr>
        <w:spacing w:before="305" w:after="80" w:line="276" w:lineRule="auto"/>
        <w:jc w:val="left"/>
      </w:pPr>
      <w:r>
        <w:rPr>
          <w:rFonts w:ascii="Cambria" w:hAnsi="Cambria"/>
          <w:color w:val="000000"/>
          <w:sz w:val="20"/>
        </w:rPr>
        <w:t>5. Wilm A. et al. LoFreq: A sequence-quality aware, ultra-sensitive variant caller for uncovering cell-population heterogeneity from high-throughput sequencing datasets. Nucleic Acids Res., 2012. 40(22): 11189-11201.</w:t>
      </w:r>
    </w:p>
    <w:p>
      <w:pPr>
        <w:spacing w:before="305" w:after="80" w:line="276" w:lineRule="auto"/>
        <w:jc w:val="left"/>
      </w:pPr>
      <w:r>
        <w:rPr>
          <w:rFonts w:ascii="Cambria" w:hAnsi="Cambria"/>
          <w:color w:val="000000"/>
          <w:sz w:val="20"/>
        </w:rPr>
        <w:t>6. Li H. et al. The Sequence Alignment/Map format and SAM tools. Bioinformatics, 2009. 25(16): 2078-9.</w:t>
      </w:r>
    </w:p>
    <w:p>
      <w:pPr>
        <w:spacing w:before="305" w:after="80" w:line="276" w:lineRule="auto"/>
        <w:jc w:val="left"/>
      </w:pPr>
      <w:r>
        <w:rPr>
          <w:rFonts w:ascii="Cambria" w:hAnsi="Cambria"/>
          <w:color w:val="000000"/>
          <w:sz w:val="20"/>
        </w:rPr>
        <w:t>7. McLaren W. et al. The Ensembl Variant Effect Predictor. Genome Biology, 2016. 17(1): 122.</w:t>
      </w:r>
    </w:p>
    <w:p>
      <w:pPr>
        <w:spacing w:before="305" w:after="80" w:line="276" w:lineRule="auto"/>
        <w:jc w:val="left"/>
      </w:pPr>
      <w:r>
        <w:rPr>
          <w:rFonts w:ascii="Cambria" w:hAnsi="Cambria"/>
          <w:color w:val="000000"/>
          <w:sz w:val="20"/>
        </w:rPr>
        <w:t>8. Daniel R.Z. et al. Ensembl 2018, Nucleic Acids Res., 2018. 46(D1): D754-D761.</w:t>
      </w:r>
    </w:p>
    <w:p>
      <w:pPr>
        <w:spacing w:before="305" w:after="80" w:line="276" w:lineRule="auto"/>
        <w:jc w:val="left"/>
      </w:pPr>
      <w:r>
        <w:rPr>
          <w:rFonts w:ascii="Cambria" w:hAnsi="Cambria"/>
          <w:color w:val="000000"/>
          <w:sz w:val="20"/>
        </w:rPr>
        <w:t>9. The 1000 Genomes Project Consortium. A Global Reference for Human Genetic Variation. Nature. 526.7571 (2015): 68-74.</w:t>
      </w:r>
    </w:p>
    <w:p>
      <w:pPr>
        <w:spacing w:before="305" w:after="80" w:line="276" w:lineRule="auto"/>
        <w:jc w:val="left"/>
      </w:pPr>
      <w:r>
        <w:rPr>
          <w:rFonts w:ascii="Cambria" w:hAnsi="Cambria"/>
          <w:color w:val="000000"/>
          <w:sz w:val="20"/>
        </w:rPr>
        <w:t>10. Lek, M, et al. Analysis of Protein-Coding Genetic Variation in 60,706 Humans. Nature. 536.7616 (2016): 285-91.</w:t>
      </w:r>
    </w:p>
    <w:p>
      <w:pPr>
        <w:spacing w:before="305" w:after="80" w:line="276" w:lineRule="auto"/>
        <w:jc w:val="left"/>
      </w:pPr>
      <w:r>
        <w:rPr>
          <w:rFonts w:ascii="Cambria" w:hAnsi="Cambria"/>
          <w:color w:val="000000"/>
          <w:sz w:val="20"/>
        </w:rPr>
        <w:t>11. Schwarz JM, Cooper DN, Schuelke M and Seelow D. Mutationtaster2: mutation prediction for the deep-sequencing age. Nature Methods.2014; 11: 361-62.</w:t>
      </w:r>
    </w:p>
    <w:p>
      <w:pPr>
        <w:spacing w:before="305" w:after="80" w:line="276" w:lineRule="auto"/>
        <w:jc w:val="left"/>
      </w:pPr>
      <w:r>
        <w:rPr>
          <w:rFonts w:ascii="Cambria" w:hAnsi="Cambria"/>
          <w:color w:val="000000"/>
          <w:sz w:val="20"/>
        </w:rPr>
        <w:t>12. R. Chaudharyet al. A scalable solution for tumor mutational burden from formalin-fixed, paraffin-embedded samples using the Oncomine Tumor Mutation Load Assay. Translational lung cancer research, 2018.</w:t>
      </w:r>
    </w:p>
    <w:p>
      <w:pPr>
        <w:spacing w:before="360" w:after="120"/>
        <w:jc w:val="center"/>
      </w:pPr>
      <w:r>
        <w:drawing>
          <wp:inline xmlns:a="http://schemas.openxmlformats.org/drawingml/2006/main" xmlns:pic="http://schemas.openxmlformats.org/drawingml/2006/picture">
            <wp:extent cx="1536700" cy="673100"/>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8" name="Picture 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9" name="Picture 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6"/>
          <w:footerReference w:type="default" r:id="rId17"/>
          <w:pgSz w:w="11906" w:h="16838"/>
          <w:pgMar w:top="1728" w:right="720" w:bottom="800" w:left="720" w:header="720" w:footer="720" w:gutter="0"/>
          <w:cols w:space="720"/>
          <w:docGrid w:linePitch="360"/>
        </w:sectPr>
      </w:pPr>
    </w:p>
    <w:p>
      <w:pPr>
        <w:spacing w:before="360" w:after="80" w:line="276" w:lineRule="auto"/>
        <w:jc w:val="left"/>
      </w:pPr>
      <w:r>
        <w:rPr>
          <w:rFonts w:ascii="Cambria" w:hAnsi="Cambria"/>
          <w:color w:val="000000"/>
          <w:sz w:val="20"/>
        </w:rPr>
        <w:t>13. Li, H, and R, Durbin. Fast and accurate long-read alignment with Burrows-Wheeler transform. Bioinformatics. 26.5: (2010): 589-95.</w:t>
      </w:r>
    </w:p>
    <w:p>
      <w:pPr>
        <w:spacing w:before="360" w:after="80" w:line="276" w:lineRule="auto"/>
        <w:jc w:val="center"/>
      </w:pPr>
      <w:r>
        <w:rPr>
          <w:rFonts w:ascii="Calibri" w:hAnsi="Calibri"/>
          <w:color w:val="000000"/>
          <w:sz w:val="20"/>
        </w:rPr>
        <w:t>------------------ End Of Report ------------------</w:t>
      </w:r>
    </w:p>
    <w:p>
      <w:pPr>
        <w:spacing w:before="360" w:after="120"/>
        <w:jc w:val="center"/>
      </w:pPr>
      <w:r>
        <w:drawing>
          <wp:inline xmlns:a="http://schemas.openxmlformats.org/drawingml/2006/main" xmlns:pic="http://schemas.openxmlformats.org/drawingml/2006/picture">
            <wp:extent cx="1536700" cy="673100"/>
            <wp:docPr id="10" name="Picture 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1" name="Picture 1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2" name="Picture 1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8"/>
          <w:footerReference w:type="default" r:id="rId19"/>
          <w:pgSz w:w="11906" w:h="16838"/>
          <w:pgMar w:top="1728"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13" name="Pict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spacing w:before="360" w:after="80" w:line="276" w:lineRule="auto"/>
        <w:jc w:val="left"/>
      </w:pPr>
      <w:r>
        <w:rPr>
          <w:rFonts w:ascii="Calibri" w:hAnsi="Calibri"/>
          <w:color w:val="333333"/>
          <w:sz w:val="20"/>
        </w:rPr>
        <w:t>SN Gene LiquidSeq Assay</w:t>
      </w:r>
    </w:p>
    <w:p>
      <w:pPr>
        <w:spacing w:before="0" w:after="80" w:line="276" w:lineRule="auto"/>
        <w:jc w:val="right"/>
      </w:pPr>
      <w:r>
        <w:rPr>
          <w:rFonts w:ascii="Calibri" w:hAnsi="Calibri"/>
          <w:color w:val="333333"/>
          <w:sz w:val="20"/>
        </w:rPr>
        <w:t>SN Genelab 2nd Floor,President Plaza-A, Ring Road, Nanpura, Surat - 395001</w:t>
      </w:r>
    </w:p>
    <w:p>
      <w:pPr>
        <w:spacing w:before="0" w:after="80" w:line="276" w:lineRule="auto"/>
        <w:jc w:val="right"/>
      </w:pPr>
      <w:r>
        <w:rPr>
          <w:rFonts w:ascii="Calibri" w:hAnsi="Calibri"/>
          <w:color w:val="333333"/>
          <w:sz w:val="18"/>
        </w:rPr>
        <w:t>contact@sngenelab.com</w:t>
      </w:r>
    </w:p>
    <w:p>
      <w:pPr>
        <w:spacing w:before="0" w:after="80" w:line="276" w:lineRule="auto"/>
        <w:jc w:val="right"/>
      </w:pPr>
      <w:r>
        <w:rPr>
          <w:rFonts w:ascii="Calibri" w:hAnsi="Calibri"/>
          <w:color w:val="333333"/>
          <w:sz w:val="18"/>
        </w:rPr>
        <w:t>www.sngenelab.com</w:t>
      </w:r>
    </w:p>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Sample Cancer Type</w:t>
            </w:r>
          </w:p>
        </w:tc>
        <w:tc>
          <w:tcPr>
            <w:tcW w:type="dxa" w:w="3168"/>
            <w:tcMar>
              <w:top w:w="20" w:type="dxa"/>
              <w:bottom w:w="20" w:type="dxa"/>
              <w:start w:w="40" w:type="dxa"/>
              <w:end w:w="40" w:type="dxa"/>
            </w:tcMar>
          </w:tcPr>
          <w:p>
            <w:r>
              <w:rPr>
                <w:rFonts w:ascii="Times New Roman" w:hAnsi="Times New Roman"/>
                <w:color w:val="000000"/>
                <w:sz w:val="20"/>
              </w:rPr>
              <w:t>Breast Cancer</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0" w:after="15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1988"/>
            <w:shd w:val="clear" w:color="auto" w:fill="545758"/>
            <w:tcMar>
              <w:top w:w="60" w:type="dxa"/>
              <w:bottom w:w="60" w:type="dxa"/>
              <w:start w:w="80" w:type="dxa"/>
              <w:end w:w="80" w:type="dxa"/>
            </w:tcMar>
          </w:tcPr>
          <w:p>
            <w:pPr>
              <w:jc w:val="center"/>
            </w:pPr>
            <w:r>
              <w:rPr>
                <w:rFonts w:ascii="Times New Roman" w:hAnsi="Times New Roman"/>
                <w:b/>
                <w:color w:val="000000"/>
                <w:sz w:val="19"/>
              </w:rPr>
              <w:t>Column 1</w:t>
            </w:r>
          </w:p>
        </w:tc>
        <w:tc>
          <w:tcPr>
            <w:tcW w:type="dxa" w:w="8478"/>
            <w:shd w:val="clear" w:color="auto" w:fill="f1f5f9"/>
            <w:tcMar>
              <w:top w:w="60" w:type="dxa"/>
              <w:bottom w:w="60" w:type="dxa"/>
              <w:start w:w="80" w:type="dxa"/>
              <w:end w:w="80" w:type="dxa"/>
            </w:tcMar>
          </w:tcPr>
          <w:p>
            <w:pPr>
              <w:jc w:val="center"/>
            </w:pPr>
            <w:r>
              <w:rPr>
                <w:rFonts w:ascii="Calibri" w:hAnsi="Calibri"/>
                <w:b/>
                <w:color w:val="333333"/>
                <w:sz w:val="24"/>
              </w:rPr>
              <w:t>Table of Contents Page</w:t>
              <w:br/>
              <w:t>Relevant Therapy Summary 2</w:t>
              <w:br/>
              <w:t>Relevant Therapy Details 3</w:t>
              <w:br/>
              <w:t>Clinical Trials Summary 8</w:t>
              <w:br/>
              <w:t>Biomarker Descriptions 10</w:t>
            </w:r>
          </w:p>
        </w:tc>
      </w:tr>
    </w:tbl>
    <w:p>
      <w:pPr>
        <w:spacing w:before="0" w:after="12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2341"/>
            <w:shd w:val="clear" w:color="auto" w:fill="1d8ae7"/>
            <w:tcMar>
              <w:top w:w="60" w:type="dxa"/>
              <w:bottom w:w="60" w:type="dxa"/>
              <w:start w:w="80" w:type="dxa"/>
              <w:end w:w="80" w:type="dxa"/>
            </w:tcMar>
          </w:tcPr>
          <w:p>
            <w:pPr>
              <w:jc w:val="center"/>
            </w:pPr>
            <w:r>
              <w:rPr>
                <w:rFonts w:ascii="Times New Roman" w:hAnsi="Times New Roman"/>
                <w:b/>
                <w:color w:val="000000"/>
                <w:sz w:val="19"/>
              </w:rPr>
              <w:t>Column 1</w:t>
            </w:r>
          </w:p>
        </w:tc>
        <w:tc>
          <w:tcPr>
            <w:tcW w:type="dxa" w:w="8124"/>
            <w:shd w:val="clear" w:color="auto" w:fill="f1f2f1"/>
            <w:tcMar>
              <w:top w:w="60" w:type="dxa"/>
              <w:bottom w:w="60" w:type="dxa"/>
              <w:start w:w="80" w:type="dxa"/>
              <w:end w:w="80" w:type="dxa"/>
            </w:tcMar>
          </w:tcPr>
          <w:p>
            <w:pPr>
              <w:jc w:val="center"/>
            </w:pPr>
            <w:r>
              <w:rPr>
                <w:rFonts w:ascii="Calibri" w:hAnsi="Calibri"/>
                <w:b w:val="0"/>
                <w:color w:val="333333"/>
                <w:sz w:val="24"/>
              </w:rPr>
              <w:t>Report Highlights</w:t>
              <w:br/>
              <w:t>1 Relevant Biomarkers</w:t>
              <w:br/>
              <w:t>3 Therapies Available</w:t>
              <w:br/>
              <w:t>29 Clinical Trials</w:t>
            </w:r>
          </w:p>
        </w:tc>
      </w:tr>
    </w:tbl>
    <w:p>
      <w:pPr>
        <w:spacing w:before="0" w:after="120" w:line="20" w:lineRule="exact"/>
      </w:pPr>
      <w:r>
        <w:rPr>
          <w:sz w:val="2"/>
        </w:rPr>
      </w:r>
    </w:p>
    <w:p>
      <w:pPr>
        <w:keepNext/>
        <w:spacing w:before="276" w:after="80"/>
        <w:jc w:val="left"/>
      </w:pPr>
      <w:r>
        <w:rPr>
          <w:rFonts w:ascii="Calibri" w:hAnsi="Calibri"/>
          <w:b/>
          <w:i w:val="0"/>
          <w:color w:val="262262"/>
          <w:sz w:val="26"/>
        </w:rPr>
        <w:t>Relevant Biomarkers</w:t>
      </w:r>
    </w:p>
    <w:p>
      <w:pPr>
        <w:keepNext/>
        <w:spacing w:before="244" w:after="60"/>
        <w:jc w:val="left"/>
      </w:pPr>
      <w:r>
        <w:rPr>
          <w:rFonts w:ascii="Calibri" w:hAnsi="Calibri"/>
          <w:b/>
          <w:i w:val="0"/>
          <w:color w:val="333333"/>
          <w:sz w:val="16"/>
        </w:rPr>
        <w:t>Relevant Therapies (In other cancer type) Clinical Trials</w:t>
      </w:r>
    </w:p>
    <w:p>
      <w:pPr>
        <w:keepNext/>
        <w:spacing w:before="0" w:after="60"/>
        <w:jc w:val="left"/>
      </w:pPr>
      <w:r>
        <w:rPr>
          <w:rFonts w:ascii="Calibri" w:hAnsi="Calibri"/>
          <w:b/>
          <w:i w:val="0"/>
          <w:color w:val="333333"/>
          <w:sz w:val="16"/>
        </w:rPr>
        <w:t>Relevant Therapies (In this cancer type)</w:t>
      </w:r>
    </w:p>
    <w:p>
      <w:pPr>
        <w:keepNext/>
        <w:spacing w:before="0" w:after="60"/>
        <w:jc w:val="left"/>
      </w:pPr>
      <w:r>
        <w:rPr>
          <w:rFonts w:ascii="Calibri" w:hAnsi="Calibri"/>
          <w:b/>
          <w:i w:val="0"/>
          <w:color w:val="333333"/>
          <w:sz w:val="16"/>
        </w:rPr>
        <w:t>Tier Genomic Alteration</w:t>
      </w:r>
    </w:p>
    <w:p>
      <w:pPr>
        <w:spacing w:before="112" w:after="80" w:line="276" w:lineRule="auto"/>
        <w:jc w:val="left"/>
      </w:pPr>
      <w:r>
        <w:rPr>
          <w:rFonts w:ascii="Calibri" w:hAnsi="Calibri"/>
          <w:color w:val="333333"/>
          <w:sz w:val="20"/>
        </w:rPr>
        <w:t>IA PIK3CA p.(C420R) c.1258T&gt;C inavolisib + palbociclib + hormone therapy  1 alpelisib + hormone therapy  1, 2 capivasertib + hormone therapy  1, 2</w:t>
      </w:r>
    </w:p>
    <w:p>
      <w:pPr>
        <w:spacing w:before="0" w:after="80" w:line="276" w:lineRule="auto"/>
        <w:jc w:val="right"/>
      </w:pPr>
      <w:r>
        <w:rPr>
          <w:rFonts w:ascii="Calibri" w:hAnsi="Calibri"/>
          <w:color w:val="333333"/>
          <w:sz w:val="18"/>
        </w:rPr>
        <w:t>None* 29</w:t>
      </w:r>
    </w:p>
    <w:p>
      <w:pPr>
        <w:spacing w:before="360" w:after="80" w:line="276" w:lineRule="auto"/>
        <w:jc w:val="left"/>
      </w:pPr>
      <w:r>
        <w:rPr>
          <w:rFonts w:ascii="Calibri" w:hAnsi="Calibri"/>
          <w:color w:val="333333"/>
          <w:sz w:val="14"/>
        </w:rPr>
        <w:t>* Public data sources included in relevant therapies: FDA 1 , NCCN,  EMA 2 , ESMO Tier Reference:   Li et al.   Standards and Guidelines for the Interpretation and Reporting of Sequence Variants in Cancer: A Joint Consensus Recommendation of the Association for Molecular Pathology, American Society of Clinical Oncology, and College of American Pathologists.   J Mol Diagn. 2017 Jan;19(1):4-23.</w:t>
      </w:r>
    </w:p>
    <w:p>
      <w:pPr>
        <w:spacing w:before="360" w:after="80" w:line="276" w:lineRule="auto"/>
        <w:jc w:val="right"/>
      </w:pPr>
      <w:r>
        <w:rPr>
          <w:rFonts w:ascii="Calibri" w:hAnsi="Calibri"/>
          <w:color w:val="333333"/>
          <w:sz w:val="20"/>
        </w:rPr>
        <w:t>For queries please call on 9586177755</w:t>
      </w:r>
    </w:p>
    <w:p>
      <w:pPr>
        <w:spacing w:before="207" w:after="80" w:line="276" w:lineRule="auto"/>
        <w:jc w:val="left"/>
      </w:pPr>
      <w:r>
        <w:rPr>
          <w:rFonts w:ascii="Calibri" w:hAnsi="Calibri"/>
          <w:color w:val="555759"/>
          <w:sz w:val="14"/>
        </w:rPr>
        <w:t>Disclaimer:  The data presented here are from a curated knowledge base of publicly available information, but may not be exhaustive. The data version is 2025.06(006). The content of this report has not been evaluated or approved by the FDA, EMA or other regulatory agencies.</w:t>
      </w:r>
    </w:p>
    <w:p>
      <w:pPr>
        <w:sectPr>
          <w:headerReference w:type="default" r:id="rId20"/>
          <w:footerReference w:type="default" r:id="rId21"/>
          <w:pgSz w:w="11906" w:h="16838"/>
          <w:pgMar w:top="1728"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val="0"/>
          <w:color w:val="262262"/>
          <w:sz w:val="26"/>
        </w:rPr>
        <w:t>Relevant Therapy Summary</w:t>
      </w:r>
    </w:p>
    <w:p>
      <w:pPr>
        <w:keepNext/>
        <w:spacing w:before="0" w:after="80"/>
        <w:jc w:val="left"/>
      </w:pPr>
      <w:r>
        <w:rPr>
          <w:rFonts w:ascii="Calibri" w:hAnsi="Calibri"/>
          <w:b/>
          <w:i/>
          <w:color w:val="333333"/>
          <w:sz w:val="24"/>
        </w:rPr>
        <w:t> In this cancer type  In other cancer type  In this cancer type and other cancer types  No evidence</w:t>
      </w:r>
    </w:p>
    <w:p>
      <w:pPr>
        <w:keepNext/>
        <w:spacing w:before="0" w:after="80"/>
        <w:jc w:val="left"/>
      </w:pPr>
      <w:r>
        <w:rPr>
          <w:rFonts w:ascii="Calibri" w:hAnsi="Calibri"/>
          <w:b/>
          <w:i w:val="0"/>
          <w:color w:val="FFFFFF"/>
          <w:sz w:val="24"/>
        </w:rPr>
        <w:t>PIK3CA p.(C420R) c.1258T&gt;C</w:t>
      </w:r>
    </w:p>
    <w:p>
      <w:pPr>
        <w:keepNext/>
        <w:spacing w:before="354" w:after="60"/>
        <w:jc w:val="left"/>
      </w:pPr>
      <w:r>
        <w:rPr>
          <w:rFonts w:ascii="Calibri" w:hAnsi="Calibri"/>
          <w:b/>
          <w:i w:val="0"/>
          <w:color w:val="333333"/>
          <w:sz w:val="16"/>
        </w:rPr>
        <w:t>Relevant Therapy FDA NCCN EMA ESMO Clinical Trials*</w:t>
      </w:r>
    </w:p>
    <w:p>
      <w:pPr>
        <w:keepNext/>
        <w:spacing w:before="116" w:after="80"/>
        <w:jc w:val="left"/>
      </w:pPr>
      <w:r>
        <w:rPr>
          <w:rFonts w:ascii="Calibri" w:hAnsi="Calibri"/>
          <w:b/>
          <w:i w:val="0"/>
          <w:color w:val="555759"/>
          <w:sz w:val="24"/>
        </w:rPr>
        <w:t>alpelisib + fulvestrant     </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2714"/>
            <w:shd w:val="clear" w:color="auto" w:fill="f2f3f2"/>
            <w:tcMar>
              <w:top w:w="60" w:type="dxa"/>
              <w:bottom w:w="60" w:type="dxa"/>
              <w:start w:w="80" w:type="dxa"/>
              <w:end w:w="80" w:type="dxa"/>
            </w:tcMar>
          </w:tcPr>
          <w:p>
            <w:pPr>
              <w:jc w:val="center"/>
            </w:pPr>
            <w:r>
              <w:rPr>
                <w:rFonts w:ascii="Calibri" w:hAnsi="Calibri"/>
                <w:b w:val="0"/>
                <w:color w:val="333333"/>
                <w:sz w:val="18"/>
              </w:rPr>
              <w:t>capivasertib + fulvestrant</w:t>
            </w:r>
          </w:p>
        </w:tc>
        <w:tc>
          <w:tcPr>
            <w:tcW w:type="dxa" w:w="1083"/>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298"/>
            <w:shd w:val="clear" w:color="auto" w:fill="f2f3f2"/>
            <w:tcMar>
              <w:top w:w="60" w:type="dxa"/>
              <w:bottom w:w="60" w:type="dxa"/>
              <w:start w:w="80" w:type="dxa"/>
              <w:end w:w="80" w:type="dxa"/>
            </w:tcMar>
          </w:tcPr>
          <w:p>
            <w:pPr>
              <w:jc w:val="center"/>
            </w:pPr>
            <w:r>
              <w:rPr>
                <w:rFonts w:ascii="Calibri" w:hAnsi="Calibri"/>
                <w:b w:val="0"/>
                <w:color w:val="555759"/>
                <w:sz w:val="24"/>
              </w:rPr>
              <w:t>_2</w:t>
            </w:r>
          </w:p>
        </w:tc>
        <w:tc>
          <w:tcPr>
            <w:tcW w:type="dxa" w:w="1298"/>
            <w:shd w:val="clear" w:color="auto" w:fill="f2f3f2"/>
            <w:tcMar>
              <w:top w:w="60" w:type="dxa"/>
              <w:bottom w:w="60" w:type="dxa"/>
              <w:start w:w="80" w:type="dxa"/>
              <w:end w:w="80" w:type="dxa"/>
            </w:tcMar>
          </w:tcPr>
          <w:p>
            <w:pPr>
              <w:jc w:val="center"/>
            </w:pPr>
            <w:r>
              <w:rPr>
                <w:rFonts w:ascii="Calibri" w:hAnsi="Calibri"/>
                <w:b w:val="0"/>
                <w:color w:val="555759"/>
                <w:sz w:val="24"/>
              </w:rPr>
              <w:t>_3</w:t>
            </w:r>
          </w:p>
        </w:tc>
        <w:tc>
          <w:tcPr>
            <w:tcW w:type="dxa" w:w="1083"/>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298"/>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693"/>
            <w:shd w:val="clear" w:color="auto" w:fill="f2f3f2"/>
            <w:tcMar>
              <w:top w:w="60" w:type="dxa"/>
              <w:bottom w:w="60" w:type="dxa"/>
              <w:start w:w="80" w:type="dxa"/>
              <w:end w:w="80" w:type="dxa"/>
            </w:tcMar>
          </w:tcPr>
          <w:p>
            <w:pPr>
              <w:jc w:val="center"/>
            </w:pPr>
            <w:r>
              <w:rPr>
                <w:rFonts w:ascii="Times New Roman" w:hAnsi="Times New Roman"/>
                <w:b/>
                <w:color w:val="000000"/>
                <w:sz w:val="19"/>
              </w:rPr>
              <w:t>Column 7</w:t>
            </w:r>
          </w:p>
        </w:tc>
      </w:tr>
    </w:tbl>
    <w:p>
      <w:pPr>
        <w:spacing w:before="0" w:after="120" w:line="20" w:lineRule="exact"/>
      </w:pPr>
      <w:r>
        <w:rPr>
          <w:sz w:val="2"/>
        </w:rPr>
      </w:r>
    </w:p>
    <w:p>
      <w:pPr>
        <w:keepNext/>
        <w:spacing w:before="56" w:after="80"/>
        <w:jc w:val="left"/>
      </w:pPr>
      <w:r>
        <w:rPr>
          <w:rFonts w:ascii="Calibri" w:hAnsi="Calibri"/>
          <w:b/>
          <w:i w:val="0"/>
          <w:color w:val="BBBBBB"/>
          <w:sz w:val="24"/>
        </w:rPr>
        <w:t>inavolisib + palbociclib + fulvestrant     </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2857"/>
            <w:shd w:val="clear" w:color="auto" w:fill="f2f3f2"/>
            <w:tcMar>
              <w:top w:w="60" w:type="dxa"/>
              <w:bottom w:w="60" w:type="dxa"/>
              <w:start w:w="80" w:type="dxa"/>
              <w:end w:w="80" w:type="dxa"/>
            </w:tcMar>
          </w:tcPr>
          <w:p>
            <w:pPr>
              <w:jc w:val="center"/>
            </w:pPr>
            <w:r>
              <w:rPr>
                <w:rFonts w:ascii="Calibri" w:hAnsi="Calibri"/>
                <w:b w:val="0"/>
                <w:color w:val="333333"/>
                <w:sz w:val="18"/>
              </w:rPr>
              <w:t>alpelisib, hormone therapy</w:t>
            </w:r>
          </w:p>
        </w:tc>
        <w:tc>
          <w:tcPr>
            <w:tcW w:type="dxa" w:w="1097"/>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329"/>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329"/>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329"/>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097"/>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426"/>
            <w:shd w:val="clear" w:color="auto" w:fill="f2f3f2"/>
            <w:tcMar>
              <w:top w:w="60" w:type="dxa"/>
              <w:bottom w:w="60" w:type="dxa"/>
              <w:start w:w="80" w:type="dxa"/>
              <w:end w:w="80" w:type="dxa"/>
            </w:tcMar>
          </w:tcPr>
          <w:p>
            <w:pPr>
              <w:jc w:val="center"/>
            </w:pPr>
            <w:r>
              <w:rPr>
                <w:rFonts w:ascii="Calibri" w:hAnsi="Calibri"/>
                <w:b w:val="0"/>
                <w:color w:val="333333"/>
                <w:sz w:val="18"/>
              </w:rPr>
              <w:t>(IV)</w:t>
            </w:r>
          </w:p>
        </w:tc>
      </w:tr>
    </w:tbl>
    <w:p>
      <w:pPr>
        <w:spacing w:before="0" w:after="120" w:line="20" w:lineRule="exact"/>
      </w:pPr>
      <w:r>
        <w:rPr>
          <w:sz w:val="2"/>
        </w:rPr>
      </w:r>
    </w:p>
    <w:p>
      <w:pPr>
        <w:keepNext/>
        <w:spacing w:before="56" w:after="80"/>
        <w:jc w:val="left"/>
      </w:pPr>
      <w:r>
        <w:rPr>
          <w:rFonts w:ascii="Calibri" w:hAnsi="Calibri"/>
          <w:b/>
          <w:i/>
          <w:color w:val="BBBBBB"/>
          <w:sz w:val="24"/>
        </w:rPr>
        <w:t>gedatolisib, palbociclib, hormone therapy, alpelisib      (III)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3131"/>
            <w:shd w:val="clear" w:color="auto" w:fill="f2f3f2"/>
            <w:tcMar>
              <w:top w:w="60" w:type="dxa"/>
              <w:bottom w:w="60" w:type="dxa"/>
              <w:start w:w="80" w:type="dxa"/>
              <w:end w:w="80" w:type="dxa"/>
            </w:tcMar>
          </w:tcPr>
          <w:p>
            <w:pPr>
              <w:jc w:val="center"/>
            </w:pPr>
            <w:r>
              <w:rPr>
                <w:rFonts w:ascii="Calibri" w:hAnsi="Calibri"/>
                <w:b w:val="0"/>
                <w:color w:val="333333"/>
                <w:sz w:val="18"/>
              </w:rPr>
              <w:t>inavolisib, hormone therapy, palbociclib</w:t>
            </w:r>
          </w:p>
        </w:tc>
        <w:tc>
          <w:tcPr>
            <w:tcW w:type="dxa" w:w="1066"/>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261"/>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261"/>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261"/>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066"/>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418"/>
            <w:shd w:val="clear" w:color="auto" w:fill="f2f3f2"/>
            <w:tcMar>
              <w:top w:w="60" w:type="dxa"/>
              <w:bottom w:w="60" w:type="dxa"/>
              <w:start w:w="80" w:type="dxa"/>
              <w:end w:w="80" w:type="dxa"/>
            </w:tcMar>
          </w:tcPr>
          <w:p>
            <w:pPr>
              <w:jc w:val="center"/>
            </w:pPr>
            <w:r>
              <w:rPr>
                <w:rFonts w:ascii="Calibri" w:hAnsi="Calibri"/>
                <w:b w:val="0"/>
                <w:color w:val="333333"/>
                <w:sz w:val="18"/>
              </w:rPr>
              <w:t>(III)</w:t>
            </w:r>
          </w:p>
        </w:tc>
      </w:tr>
    </w:tbl>
    <w:p>
      <w:pPr>
        <w:spacing w:before="0" w:after="120" w:line="20" w:lineRule="exact"/>
      </w:pPr>
      <w:r>
        <w:rPr>
          <w:sz w:val="2"/>
        </w:rPr>
      </w:r>
    </w:p>
    <w:p>
      <w:pPr>
        <w:keepNext/>
        <w:spacing w:before="56" w:after="80"/>
        <w:jc w:val="left"/>
      </w:pPr>
      <w:r>
        <w:rPr>
          <w:rFonts w:ascii="Calibri" w:hAnsi="Calibri"/>
          <w:b/>
          <w:i/>
          <w:color w:val="BBBBBB"/>
          <w:sz w:val="24"/>
        </w:rPr>
        <w:t>alpelisib + hormone therapy      (II)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3190"/>
            <w:shd w:val="clear" w:color="auto" w:fill="f2f3f2"/>
            <w:tcMar>
              <w:top w:w="60" w:type="dxa"/>
              <w:bottom w:w="60" w:type="dxa"/>
              <w:start w:w="80" w:type="dxa"/>
              <w:end w:w="80" w:type="dxa"/>
            </w:tcMar>
          </w:tcPr>
          <w:p>
            <w:pPr>
              <w:jc w:val="center"/>
            </w:pPr>
            <w:r>
              <w:rPr>
                <w:rFonts w:ascii="Calibri" w:hAnsi="Calibri"/>
                <w:b w:val="0"/>
                <w:color w:val="333333"/>
                <w:sz w:val="18"/>
              </w:rPr>
              <w:t>alpelisib, hormone therapy, dapagliflozin</w:t>
            </w:r>
          </w:p>
        </w:tc>
        <w:tc>
          <w:tcPr>
            <w:tcW w:type="dxa" w:w="1067"/>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265"/>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265"/>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265"/>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067"/>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347"/>
            <w:shd w:val="clear" w:color="auto" w:fill="f2f3f2"/>
            <w:tcMar>
              <w:top w:w="60" w:type="dxa"/>
              <w:bottom w:w="60" w:type="dxa"/>
              <w:start w:w="80" w:type="dxa"/>
              <w:end w:w="80" w:type="dxa"/>
            </w:tcMar>
          </w:tcPr>
          <w:p>
            <w:pPr>
              <w:jc w:val="center"/>
            </w:pPr>
            <w:r>
              <w:rPr>
                <w:rFonts w:ascii="Calibri" w:hAnsi="Calibri"/>
                <w:b w:val="0"/>
                <w:color w:val="333333"/>
                <w:sz w:val="18"/>
              </w:rPr>
              <w:t>(II)</w:t>
            </w:r>
          </w:p>
        </w:tc>
      </w:tr>
    </w:tbl>
    <w:p>
      <w:pPr>
        <w:spacing w:before="0" w:after="120" w:line="20" w:lineRule="exact"/>
      </w:pPr>
      <w:r>
        <w:rPr>
          <w:sz w:val="2"/>
        </w:rPr>
      </w:r>
    </w:p>
    <w:p>
      <w:pPr>
        <w:keepNext/>
        <w:spacing w:before="56" w:after="80"/>
        <w:jc w:val="left"/>
      </w:pPr>
      <w:r>
        <w:rPr>
          <w:rFonts w:ascii="Calibri" w:hAnsi="Calibri"/>
          <w:b/>
          <w:i/>
          <w:color w:val="BBBBBB"/>
          <w:sz w:val="24"/>
        </w:rPr>
        <w:t>everolimus      (II)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2828"/>
            <w:shd w:val="clear" w:color="auto" w:fill="f2f3f2"/>
            <w:tcMar>
              <w:top w:w="60" w:type="dxa"/>
              <w:bottom w:w="60" w:type="dxa"/>
              <w:start w:w="80" w:type="dxa"/>
              <w:end w:w="80" w:type="dxa"/>
            </w:tcMar>
          </w:tcPr>
          <w:p>
            <w:pPr>
              <w:jc w:val="center"/>
            </w:pPr>
            <w:r>
              <w:rPr>
                <w:rFonts w:ascii="Calibri" w:hAnsi="Calibri"/>
                <w:b w:val="0"/>
                <w:color w:val="333333"/>
                <w:sz w:val="18"/>
              </w:rPr>
              <w:t>everolimus + chemotherapy</w:t>
            </w:r>
          </w:p>
        </w:tc>
        <w:tc>
          <w:tcPr>
            <w:tcW w:type="dxa" w:w="1100"/>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335"/>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335"/>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335"/>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100"/>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433"/>
            <w:shd w:val="clear" w:color="auto" w:fill="f2f3f2"/>
            <w:tcMar>
              <w:top w:w="60" w:type="dxa"/>
              <w:bottom w:w="60" w:type="dxa"/>
              <w:start w:w="80" w:type="dxa"/>
              <w:end w:w="80" w:type="dxa"/>
            </w:tcMar>
          </w:tcPr>
          <w:p>
            <w:pPr>
              <w:jc w:val="center"/>
            </w:pPr>
            <w:r>
              <w:rPr>
                <w:rFonts w:ascii="Calibri" w:hAnsi="Calibri"/>
                <w:b w:val="0"/>
                <w:color w:val="333333"/>
                <w:sz w:val="18"/>
              </w:rPr>
              <w:t>(II)</w:t>
            </w:r>
          </w:p>
        </w:tc>
      </w:tr>
    </w:tbl>
    <w:p>
      <w:pPr>
        <w:spacing w:before="0" w:after="120" w:line="20" w:lineRule="exact"/>
      </w:pPr>
      <w:r>
        <w:rPr>
          <w:sz w:val="2"/>
        </w:rPr>
      </w:r>
    </w:p>
    <w:p>
      <w:pPr>
        <w:keepNext/>
        <w:spacing w:before="56" w:after="80"/>
        <w:jc w:val="left"/>
      </w:pPr>
      <w:r>
        <w:rPr>
          <w:rFonts w:ascii="Calibri" w:hAnsi="Calibri"/>
          <w:b/>
          <w:i/>
          <w:color w:val="BBBBBB"/>
          <w:sz w:val="24"/>
        </w:rPr>
        <w:t>everolimus, hormone therapy      (II)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2198"/>
            <w:shd w:val="clear" w:color="auto" w:fill="f2f3f2"/>
            <w:tcMar>
              <w:top w:w="60" w:type="dxa"/>
              <w:bottom w:w="60" w:type="dxa"/>
              <w:start w:w="80" w:type="dxa"/>
              <w:end w:w="80" w:type="dxa"/>
            </w:tcMar>
          </w:tcPr>
          <w:p>
            <w:pPr>
              <w:jc w:val="center"/>
            </w:pPr>
            <w:r>
              <w:rPr>
                <w:rFonts w:ascii="Calibri" w:hAnsi="Calibri"/>
                <w:b w:val="0"/>
                <w:color w:val="333333"/>
                <w:sz w:val="18"/>
              </w:rPr>
              <w:t>inavolisib</w:t>
            </w:r>
          </w:p>
        </w:tc>
        <w:tc>
          <w:tcPr>
            <w:tcW w:type="dxa" w:w="1157"/>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457"/>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457"/>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457"/>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157"/>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582"/>
            <w:shd w:val="clear" w:color="auto" w:fill="f2f3f2"/>
            <w:tcMar>
              <w:top w:w="60" w:type="dxa"/>
              <w:bottom w:w="60" w:type="dxa"/>
              <w:start w:w="80" w:type="dxa"/>
              <w:end w:w="80" w:type="dxa"/>
            </w:tcMar>
          </w:tcPr>
          <w:p>
            <w:pPr>
              <w:jc w:val="center"/>
            </w:pPr>
            <w:r>
              <w:rPr>
                <w:rFonts w:ascii="Calibri" w:hAnsi="Calibri"/>
                <w:b w:val="0"/>
                <w:color w:val="333333"/>
                <w:sz w:val="18"/>
              </w:rPr>
              <w:t>(II)</w:t>
            </w:r>
          </w:p>
        </w:tc>
      </w:tr>
    </w:tbl>
    <w:p>
      <w:pPr>
        <w:spacing w:before="0" w:after="120" w:line="20" w:lineRule="exact"/>
      </w:pPr>
      <w:r>
        <w:rPr>
          <w:sz w:val="2"/>
        </w:rPr>
      </w:r>
    </w:p>
    <w:p>
      <w:pPr>
        <w:keepNext/>
        <w:spacing w:before="56" w:after="80"/>
        <w:jc w:val="left"/>
      </w:pPr>
      <w:r>
        <w:rPr>
          <w:rFonts w:ascii="Calibri" w:hAnsi="Calibri"/>
          <w:b/>
          <w:i/>
          <w:color w:val="BBBBBB"/>
          <w:sz w:val="24"/>
        </w:rPr>
        <w:t>MEN-1611, chemotherapy      (II)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3032"/>
            <w:shd w:val="clear" w:color="auto" w:fill="f2f3f2"/>
            <w:tcMar>
              <w:top w:w="60" w:type="dxa"/>
              <w:bottom w:w="60" w:type="dxa"/>
              <w:start w:w="80" w:type="dxa"/>
              <w:end w:w="80" w:type="dxa"/>
            </w:tcMar>
          </w:tcPr>
          <w:p>
            <w:pPr>
              <w:jc w:val="center"/>
            </w:pPr>
            <w:r>
              <w:rPr>
                <w:rFonts w:ascii="Calibri" w:hAnsi="Calibri"/>
                <w:b w:val="0"/>
                <w:color w:val="333333"/>
                <w:sz w:val="18"/>
              </w:rPr>
              <w:t>PIK3CA inhibitor, hormone therapy</w:t>
            </w:r>
          </w:p>
        </w:tc>
        <w:tc>
          <w:tcPr>
            <w:tcW w:type="dxa" w:w="1082"/>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295"/>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295"/>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295"/>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082"/>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384"/>
            <w:shd w:val="clear" w:color="auto" w:fill="f2f3f2"/>
            <w:tcMar>
              <w:top w:w="60" w:type="dxa"/>
              <w:bottom w:w="60" w:type="dxa"/>
              <w:start w:w="80" w:type="dxa"/>
              <w:end w:w="80" w:type="dxa"/>
            </w:tcMar>
          </w:tcPr>
          <w:p>
            <w:pPr>
              <w:jc w:val="center"/>
            </w:pPr>
            <w:r>
              <w:rPr>
                <w:rFonts w:ascii="Calibri" w:hAnsi="Calibri"/>
                <w:b w:val="0"/>
                <w:color w:val="333333"/>
                <w:sz w:val="18"/>
              </w:rPr>
              <w:t>(II)</w:t>
            </w:r>
          </w:p>
        </w:tc>
      </w:tr>
    </w:tbl>
    <w:p>
      <w:pPr>
        <w:spacing w:before="0" w:after="120" w:line="20" w:lineRule="exact"/>
      </w:pPr>
      <w:r>
        <w:rPr>
          <w:sz w:val="2"/>
        </w:rPr>
      </w:r>
    </w:p>
    <w:p>
      <w:pPr>
        <w:keepNext/>
        <w:spacing w:before="56" w:after="80"/>
        <w:jc w:val="left"/>
      </w:pPr>
      <w:r>
        <w:rPr>
          <w:rFonts w:ascii="Calibri" w:hAnsi="Calibri"/>
          <w:b/>
          <w:i/>
          <w:color w:val="BBBBBB"/>
          <w:sz w:val="24"/>
        </w:rPr>
        <w:t>alpelisib + elacestrant      (I/II)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3075"/>
            <w:shd w:val="clear" w:color="auto" w:fill="f2f3f2"/>
            <w:tcMar>
              <w:top w:w="60" w:type="dxa"/>
              <w:bottom w:w="60" w:type="dxa"/>
              <w:start w:w="80" w:type="dxa"/>
              <w:end w:w="80" w:type="dxa"/>
            </w:tcMar>
          </w:tcPr>
          <w:p>
            <w:pPr>
              <w:jc w:val="center"/>
            </w:pPr>
            <w:r>
              <w:rPr>
                <w:rFonts w:ascii="Calibri" w:hAnsi="Calibri"/>
                <w:b w:val="0"/>
                <w:color w:val="333333"/>
                <w:sz w:val="18"/>
              </w:rPr>
              <w:t>evexomostat, alpelisib, hormone therapy</w:t>
            </w:r>
          </w:p>
        </w:tc>
        <w:tc>
          <w:tcPr>
            <w:tcW w:type="dxa" w:w="1065"/>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259"/>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259"/>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259"/>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065"/>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485"/>
            <w:shd w:val="clear" w:color="auto" w:fill="f2f3f2"/>
            <w:tcMar>
              <w:top w:w="60" w:type="dxa"/>
              <w:bottom w:w="60" w:type="dxa"/>
              <w:start w:w="80" w:type="dxa"/>
              <w:end w:w="80" w:type="dxa"/>
            </w:tcMar>
          </w:tcPr>
          <w:p>
            <w:pPr>
              <w:jc w:val="center"/>
            </w:pPr>
            <w:r>
              <w:rPr>
                <w:rFonts w:ascii="Calibri" w:hAnsi="Calibri"/>
                <w:b w:val="0"/>
                <w:color w:val="333333"/>
                <w:sz w:val="18"/>
              </w:rPr>
              <w:t>(I/II)</w:t>
            </w:r>
          </w:p>
        </w:tc>
      </w:tr>
    </w:tbl>
    <w:p>
      <w:pPr>
        <w:spacing w:before="0" w:after="120" w:line="20" w:lineRule="exact"/>
      </w:pPr>
      <w:r>
        <w:rPr>
          <w:sz w:val="2"/>
        </w:rPr>
      </w:r>
    </w:p>
    <w:p>
      <w:pPr>
        <w:keepNext/>
        <w:spacing w:before="56" w:after="80"/>
        <w:jc w:val="left"/>
      </w:pPr>
      <w:r>
        <w:rPr>
          <w:rFonts w:ascii="Calibri" w:hAnsi="Calibri"/>
          <w:b/>
          <w:i/>
          <w:color w:val="BBBBBB"/>
          <w:sz w:val="24"/>
        </w:rPr>
        <w:t>HTL-0039732, atezolizumab      (I/II)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3017"/>
            <w:shd w:val="clear" w:color="auto" w:fill="f2f3f2"/>
            <w:tcMar>
              <w:top w:w="60" w:type="dxa"/>
              <w:bottom w:w="60" w:type="dxa"/>
              <w:start w:w="80" w:type="dxa"/>
              <w:end w:w="80" w:type="dxa"/>
            </w:tcMar>
          </w:tcPr>
          <w:p>
            <w:pPr>
              <w:jc w:val="center"/>
            </w:pPr>
            <w:r>
              <w:rPr>
                <w:rFonts w:ascii="Calibri" w:hAnsi="Calibri"/>
                <w:b w:val="0"/>
                <w:color w:val="333333"/>
                <w:sz w:val="18"/>
              </w:rPr>
              <w:t>JS-105, hormone therapy, dalpiciclib</w:t>
            </w:r>
          </w:p>
        </w:tc>
        <w:tc>
          <w:tcPr>
            <w:tcW w:type="dxa" w:w="1070"/>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269"/>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269"/>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269"/>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070"/>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502"/>
            <w:shd w:val="clear" w:color="auto" w:fill="f2f3f2"/>
            <w:tcMar>
              <w:top w:w="60" w:type="dxa"/>
              <w:bottom w:w="60" w:type="dxa"/>
              <w:start w:w="80" w:type="dxa"/>
              <w:end w:w="80" w:type="dxa"/>
            </w:tcMar>
          </w:tcPr>
          <w:p>
            <w:pPr>
              <w:jc w:val="center"/>
            </w:pPr>
            <w:r>
              <w:rPr>
                <w:rFonts w:ascii="Calibri" w:hAnsi="Calibri"/>
                <w:b w:val="0"/>
                <w:color w:val="333333"/>
                <w:sz w:val="18"/>
              </w:rPr>
              <w:t>(I/II)</w:t>
            </w:r>
          </w:p>
        </w:tc>
      </w:tr>
    </w:tbl>
    <w:p>
      <w:pPr>
        <w:spacing w:before="0" w:after="120" w:line="20" w:lineRule="exact"/>
      </w:pPr>
      <w:r>
        <w:rPr>
          <w:sz w:val="2"/>
        </w:rPr>
      </w:r>
    </w:p>
    <w:p>
      <w:pPr>
        <w:keepNext/>
        <w:spacing w:before="56" w:after="80"/>
        <w:jc w:val="left"/>
      </w:pPr>
      <w:r>
        <w:rPr>
          <w:rFonts w:ascii="Calibri" w:hAnsi="Calibri"/>
          <w:b/>
          <w:i/>
          <w:color w:val="BBBBBB"/>
          <w:sz w:val="24"/>
        </w:rPr>
        <w:t>afuresertib, hormone therapy      (I)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3181"/>
            <w:shd w:val="clear" w:color="auto" w:fill="f2f3f2"/>
            <w:tcMar>
              <w:top w:w="60" w:type="dxa"/>
              <w:bottom w:w="60" w:type="dxa"/>
              <w:start w:w="80" w:type="dxa"/>
              <w:end w:w="80" w:type="dxa"/>
            </w:tcMar>
          </w:tcPr>
          <w:p>
            <w:pPr>
              <w:jc w:val="center"/>
            </w:pPr>
            <w:r>
              <w:rPr>
                <w:rFonts w:ascii="Calibri" w:hAnsi="Calibri"/>
                <w:b w:val="0"/>
                <w:color w:val="333333"/>
                <w:sz w:val="18"/>
              </w:rPr>
              <w:t>HH-CYH33, hormone therapy, palbociclib</w:t>
            </w:r>
          </w:p>
        </w:tc>
        <w:tc>
          <w:tcPr>
            <w:tcW w:type="dxa" w:w="1076"/>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283"/>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283"/>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283"/>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076"/>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283"/>
            <w:shd w:val="clear" w:color="auto" w:fill="f2f3f2"/>
            <w:tcMar>
              <w:top w:w="60" w:type="dxa"/>
              <w:bottom w:w="60" w:type="dxa"/>
              <w:start w:w="80" w:type="dxa"/>
              <w:end w:w="80" w:type="dxa"/>
            </w:tcMar>
          </w:tcPr>
          <w:p>
            <w:pPr>
              <w:jc w:val="center"/>
            </w:pPr>
            <w:r>
              <w:rPr>
                <w:rFonts w:ascii="Calibri" w:hAnsi="Calibri"/>
                <w:b w:val="0"/>
                <w:color w:val="333333"/>
                <w:sz w:val="18"/>
              </w:rPr>
              <w:t>(I)</w:t>
            </w:r>
          </w:p>
        </w:tc>
      </w:tr>
    </w:tbl>
    <w:p>
      <w:pPr>
        <w:spacing w:before="0" w:after="120" w:line="20" w:lineRule="exact"/>
      </w:pPr>
      <w:r>
        <w:rPr>
          <w:sz w:val="2"/>
        </w:rPr>
      </w:r>
    </w:p>
    <w:p>
      <w:pPr>
        <w:keepNext/>
        <w:spacing w:before="56" w:after="80"/>
        <w:jc w:val="left"/>
      </w:pPr>
      <w:r>
        <w:rPr>
          <w:rFonts w:ascii="Calibri" w:hAnsi="Calibri"/>
          <w:b/>
          <w:i/>
          <w:color w:val="BBBBBB"/>
          <w:sz w:val="24"/>
        </w:rPr>
        <w:t>HS-10352, hormone therapy      (I)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2845"/>
            <w:shd w:val="clear" w:color="auto" w:fill="f2f3f2"/>
            <w:tcMar>
              <w:top w:w="60" w:type="dxa"/>
              <w:bottom w:w="60" w:type="dxa"/>
              <w:start w:w="80" w:type="dxa"/>
              <w:end w:w="80" w:type="dxa"/>
            </w:tcMar>
          </w:tcPr>
          <w:p>
            <w:pPr>
              <w:jc w:val="center"/>
            </w:pPr>
            <w:r>
              <w:rPr>
                <w:rFonts w:ascii="Calibri" w:hAnsi="Calibri"/>
                <w:b w:val="0"/>
                <w:color w:val="333333"/>
                <w:sz w:val="18"/>
              </w:rPr>
              <w:t>inavolisib, atezolizumab</w:t>
            </w:r>
          </w:p>
        </w:tc>
        <w:tc>
          <w:tcPr>
            <w:tcW w:type="dxa" w:w="1108"/>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351"/>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351"/>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351"/>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108"/>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351"/>
            <w:shd w:val="clear" w:color="auto" w:fill="f2f3f2"/>
            <w:tcMar>
              <w:top w:w="60" w:type="dxa"/>
              <w:bottom w:w="60" w:type="dxa"/>
              <w:start w:w="80" w:type="dxa"/>
              <w:end w:w="80" w:type="dxa"/>
            </w:tcMar>
          </w:tcPr>
          <w:p>
            <w:pPr>
              <w:jc w:val="center"/>
            </w:pPr>
            <w:r>
              <w:rPr>
                <w:rFonts w:ascii="Calibri" w:hAnsi="Calibri"/>
                <w:b w:val="0"/>
                <w:color w:val="333333"/>
                <w:sz w:val="18"/>
              </w:rPr>
              <w:t>(I)</w:t>
            </w:r>
          </w:p>
        </w:tc>
      </w:tr>
    </w:tbl>
    <w:p>
      <w:pPr>
        <w:spacing w:before="0" w:after="120" w:line="20" w:lineRule="exact"/>
      </w:pPr>
      <w:r>
        <w:rPr>
          <w:sz w:val="2"/>
        </w:rPr>
      </w:r>
    </w:p>
    <w:p>
      <w:pPr>
        <w:keepNext/>
        <w:spacing w:before="56" w:after="80"/>
        <w:jc w:val="left"/>
      </w:pPr>
      <w:r>
        <w:rPr>
          <w:rFonts w:ascii="Calibri" w:hAnsi="Calibri"/>
          <w:b/>
          <w:i/>
          <w:color w:val="BBBBBB"/>
          <w:sz w:val="24"/>
        </w:rPr>
        <w:t>inavolisib, chemotherapy, trastuzumab, pertuzumab      (I)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2814"/>
            <w:shd w:val="clear" w:color="auto" w:fill="f2f3f2"/>
            <w:tcMar>
              <w:top w:w="60" w:type="dxa"/>
              <w:bottom w:w="60" w:type="dxa"/>
              <w:start w:w="80" w:type="dxa"/>
              <w:end w:w="80" w:type="dxa"/>
            </w:tcMar>
          </w:tcPr>
          <w:p>
            <w:pPr>
              <w:jc w:val="center"/>
            </w:pPr>
            <w:r>
              <w:rPr>
                <w:rFonts w:ascii="Calibri" w:hAnsi="Calibri"/>
                <w:b w:val="0"/>
                <w:color w:val="333333"/>
                <w:sz w:val="18"/>
              </w:rPr>
              <w:t>IPN-60090, capivasertib</w:t>
            </w:r>
          </w:p>
        </w:tc>
        <w:tc>
          <w:tcPr>
            <w:tcW w:type="dxa" w:w="1111"/>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358"/>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358"/>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358"/>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111"/>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358"/>
            <w:shd w:val="clear" w:color="auto" w:fill="f2f3f2"/>
            <w:tcMar>
              <w:top w:w="60" w:type="dxa"/>
              <w:bottom w:w="60" w:type="dxa"/>
              <w:start w:w="80" w:type="dxa"/>
              <w:end w:w="80" w:type="dxa"/>
            </w:tcMar>
          </w:tcPr>
          <w:p>
            <w:pPr>
              <w:jc w:val="center"/>
            </w:pPr>
            <w:r>
              <w:rPr>
                <w:rFonts w:ascii="Calibri" w:hAnsi="Calibri"/>
                <w:b w:val="0"/>
                <w:color w:val="333333"/>
                <w:sz w:val="18"/>
              </w:rPr>
              <w:t>(I)</w:t>
            </w:r>
          </w:p>
        </w:tc>
      </w:tr>
    </w:tbl>
    <w:p>
      <w:pPr>
        <w:spacing w:before="0" w:after="120" w:line="20" w:lineRule="exact"/>
      </w:pPr>
      <w:r>
        <w:rPr>
          <w:sz w:val="2"/>
        </w:rPr>
      </w:r>
    </w:p>
    <w:p>
      <w:pPr>
        <w:keepNext/>
        <w:spacing w:before="56" w:after="80"/>
        <w:jc w:val="left"/>
      </w:pPr>
      <w:r>
        <w:rPr>
          <w:rFonts w:ascii="Calibri" w:hAnsi="Calibri"/>
          <w:b/>
          <w:i/>
          <w:color w:val="BBBBBB"/>
          <w:sz w:val="24"/>
        </w:rPr>
        <w:t>JS-105      (I)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2845"/>
            <w:shd w:val="clear" w:color="auto" w:fill="f2f3f2"/>
            <w:tcMar>
              <w:top w:w="60" w:type="dxa"/>
              <w:bottom w:w="60" w:type="dxa"/>
              <w:start w:w="80" w:type="dxa"/>
              <w:end w:w="80" w:type="dxa"/>
            </w:tcMar>
          </w:tcPr>
          <w:p>
            <w:pPr>
              <w:jc w:val="center"/>
            </w:pPr>
            <w:r>
              <w:rPr>
                <w:rFonts w:ascii="Calibri" w:hAnsi="Calibri"/>
                <w:b w:val="0"/>
                <w:color w:val="333333"/>
                <w:sz w:val="18"/>
              </w:rPr>
              <w:t>palbociclib, gedatolisib</w:t>
            </w:r>
          </w:p>
        </w:tc>
        <w:tc>
          <w:tcPr>
            <w:tcW w:type="dxa" w:w="1108"/>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351"/>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351"/>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351"/>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108"/>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351"/>
            <w:shd w:val="clear" w:color="auto" w:fill="f2f3f2"/>
            <w:tcMar>
              <w:top w:w="60" w:type="dxa"/>
              <w:bottom w:w="60" w:type="dxa"/>
              <w:start w:w="80" w:type="dxa"/>
              <w:end w:w="80" w:type="dxa"/>
            </w:tcMar>
          </w:tcPr>
          <w:p>
            <w:pPr>
              <w:jc w:val="center"/>
            </w:pPr>
            <w:r>
              <w:rPr>
                <w:rFonts w:ascii="Calibri" w:hAnsi="Calibri"/>
                <w:b w:val="0"/>
                <w:color w:val="333333"/>
                <w:sz w:val="18"/>
              </w:rPr>
              <w:t>(I)</w:t>
            </w:r>
          </w:p>
        </w:tc>
      </w:tr>
    </w:tbl>
    <w:p>
      <w:pPr>
        <w:spacing w:before="0" w:after="120" w:line="20" w:lineRule="exact"/>
      </w:pPr>
      <w:r>
        <w:rPr>
          <w:sz w:val="2"/>
        </w:rPr>
      </w:r>
    </w:p>
    <w:p>
      <w:pPr>
        <w:keepNext/>
        <w:spacing w:before="56" w:after="80"/>
        <w:jc w:val="left"/>
      </w:pPr>
      <w:r>
        <w:rPr>
          <w:rFonts w:ascii="Calibri" w:hAnsi="Calibri"/>
          <w:b/>
          <w:i/>
          <w:color w:val="BBBBBB"/>
          <w:sz w:val="24"/>
        </w:rPr>
        <w:t>RLY-2608, hormone therapy, palbociclib, ribociclib, PF-07220060      (I)</w:t>
      </w:r>
    </w:p>
    <w:p>
      <w:pPr>
        <w:spacing w:before="0" w:after="108"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2875"/>
            <w:shd w:val="clear" w:color="auto" w:fill="f2f3f2"/>
            <w:tcMar>
              <w:top w:w="60" w:type="dxa"/>
              <w:bottom w:w="60" w:type="dxa"/>
              <w:start w:w="80" w:type="dxa"/>
              <w:end w:w="80" w:type="dxa"/>
            </w:tcMar>
          </w:tcPr>
          <w:p>
            <w:pPr>
              <w:jc w:val="center"/>
            </w:pPr>
            <w:r>
              <w:rPr>
                <w:rFonts w:ascii="Calibri" w:hAnsi="Calibri"/>
                <w:b w:val="0"/>
                <w:color w:val="333333"/>
                <w:sz w:val="18"/>
              </w:rPr>
              <w:t>SNV-4818, hormone therapy</w:t>
            </w:r>
          </w:p>
        </w:tc>
        <w:tc>
          <w:tcPr>
            <w:tcW w:type="dxa" w:w="1105"/>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345"/>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345"/>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345"/>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105"/>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345"/>
            <w:shd w:val="clear" w:color="auto" w:fill="f2f3f2"/>
            <w:tcMar>
              <w:top w:w="60" w:type="dxa"/>
              <w:bottom w:w="60" w:type="dxa"/>
              <w:start w:w="80" w:type="dxa"/>
              <w:end w:w="80" w:type="dxa"/>
            </w:tcMar>
          </w:tcPr>
          <w:p>
            <w:pPr>
              <w:jc w:val="center"/>
            </w:pPr>
            <w:r>
              <w:rPr>
                <w:rFonts w:ascii="Calibri" w:hAnsi="Calibri"/>
                <w:b w:val="0"/>
                <w:color w:val="333333"/>
                <w:sz w:val="18"/>
              </w:rPr>
              <w:t>(I)</w:t>
            </w:r>
          </w:p>
        </w:tc>
      </w:tr>
    </w:tbl>
    <w:p>
      <w:pPr>
        <w:spacing w:before="0" w:after="120" w:line="20" w:lineRule="exact"/>
      </w:pPr>
      <w:r>
        <w:rPr>
          <w:sz w:val="2"/>
        </w:rPr>
      </w:r>
    </w:p>
    <w:p>
      <w:pPr>
        <w:spacing w:before="192" w:after="80" w:line="276" w:lineRule="auto"/>
        <w:jc w:val="left"/>
      </w:pPr>
      <w:r>
        <w:rPr>
          <w:rFonts w:ascii="Calibri" w:hAnsi="Calibri"/>
          <w:color w:val="333333"/>
          <w:sz w:val="18"/>
        </w:rPr>
        <w:t>* Most advanced phase (IV, III, II/III, II, I/II, I) is shown and multiple clinical trials may be available.</w:t>
      </w:r>
    </w:p>
    <w:p>
      <w:pPr>
        <w:spacing w:before="360" w:after="80" w:line="276" w:lineRule="auto"/>
        <w:jc w:val="right"/>
      </w:pPr>
      <w:r>
        <w:rPr>
          <w:rFonts w:ascii="Calibri" w:hAnsi="Calibri"/>
          <w:color w:val="333333"/>
          <w:sz w:val="20"/>
        </w:rPr>
        <w:t>For queries please call on 9586177755</w:t>
      </w:r>
    </w:p>
    <w:p>
      <w:pPr>
        <w:spacing w:before="207" w:after="80" w:line="276" w:lineRule="auto"/>
        <w:jc w:val="left"/>
      </w:pPr>
      <w:r>
        <w:rPr>
          <w:rFonts w:ascii="Calibri" w:hAnsi="Calibri"/>
          <w:color w:val="333333"/>
          <w:sz w:val="14"/>
        </w:rPr>
        <w:t>Disclaimer:  The data presented here are from a curated knowledge base of publicly available information, but may not be exhaustive. The data version is 2025.06(006).</w:t>
      </w:r>
    </w:p>
    <w:p>
      <w:pPr>
        <w:sectPr>
          <w:headerReference w:type="default" r:id="rId23"/>
          <w:footerReference w:type="default" r:id="rId24"/>
          <w:pgSz w:w="11906" w:h="16838"/>
          <w:pgMar w:top="1728"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15" name="Picture 1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val="0"/>
          <w:color w:val="262262"/>
          <w:sz w:val="26"/>
        </w:rPr>
        <w:t>Relevant Therapy Summary (continued)</w:t>
      </w:r>
    </w:p>
    <w:p>
      <w:pPr>
        <w:keepNext/>
        <w:spacing w:before="0" w:after="80"/>
        <w:jc w:val="left"/>
      </w:pPr>
      <w:r>
        <w:rPr>
          <w:rFonts w:ascii="Calibri" w:hAnsi="Calibri"/>
          <w:b/>
          <w:i/>
          <w:color w:val="333333"/>
          <w:sz w:val="24"/>
        </w:rPr>
        <w:t> In this cancer type  In other cancer type  In this cancer type and other cancer types  No evidence</w:t>
      </w:r>
    </w:p>
    <w:p>
      <w:pPr>
        <w:keepNext/>
        <w:spacing w:before="0" w:after="80"/>
        <w:jc w:val="left"/>
      </w:pPr>
      <w:r>
        <w:rPr>
          <w:rFonts w:ascii="Calibri" w:hAnsi="Calibri"/>
          <w:b/>
          <w:i w:val="0"/>
          <w:color w:val="FFFFFF"/>
          <w:sz w:val="24"/>
        </w:rPr>
        <w:t>PIK3CA p.(C420R) c.1258T&gt;C (continued)</w:t>
      </w:r>
    </w:p>
    <w:p>
      <w:pPr>
        <w:keepNext/>
        <w:spacing w:before="354" w:after="60"/>
        <w:jc w:val="left"/>
      </w:pPr>
      <w:r>
        <w:rPr>
          <w:rFonts w:ascii="Calibri" w:hAnsi="Calibri"/>
          <w:b/>
          <w:i w:val="0"/>
          <w:color w:val="333333"/>
          <w:sz w:val="16"/>
        </w:rPr>
        <w:t>Relevant Therapy FDA NCCN EMA ESMO Clinical Trials*</w:t>
      </w:r>
    </w:p>
    <w:p>
      <w:pPr>
        <w:keepNext/>
        <w:spacing w:before="116" w:after="80"/>
        <w:jc w:val="left"/>
      </w:pPr>
      <w:r>
        <w:rPr>
          <w:rFonts w:ascii="Calibri" w:hAnsi="Calibri"/>
          <w:b/>
          <w:i/>
          <w:color w:val="BBBBBB"/>
          <w:sz w:val="24"/>
        </w:rPr>
        <w:t>TOS-358      (I)</w:t>
      </w:r>
    </w:p>
    <w:p>
      <w:pPr>
        <w:spacing w:before="267" w:after="80" w:line="276" w:lineRule="auto"/>
        <w:jc w:val="left"/>
      </w:pPr>
      <w:r>
        <w:rPr>
          <w:rFonts w:ascii="Calibri" w:hAnsi="Calibri"/>
          <w:color w:val="333333"/>
          <w:sz w:val="18"/>
        </w:rPr>
        <w:t>* Most advanced phase (IV, III, II/III, II, I/II, I) is shown and multiple clinical trials may be available.</w:t>
      </w:r>
    </w:p>
    <w:p>
      <w:pPr>
        <w:keepNext/>
        <w:spacing w:before="261" w:after="80"/>
        <w:jc w:val="left"/>
      </w:pPr>
      <w:r>
        <w:rPr>
          <w:rFonts w:ascii="Calibri" w:hAnsi="Calibri"/>
          <w:b/>
          <w:i w:val="0"/>
          <w:color w:val="262262"/>
          <w:sz w:val="26"/>
        </w:rPr>
        <w:t>Relevant Therapy Details</w:t>
      </w:r>
    </w:p>
    <w:p>
      <w:pPr>
        <w:keepNext/>
        <w:spacing w:before="176" w:after="80"/>
        <w:jc w:val="left"/>
      </w:pPr>
      <w:r>
        <w:rPr>
          <w:rFonts w:ascii="Calibri" w:hAnsi="Calibri"/>
          <w:b/>
          <w:i/>
          <w:color w:val="555759"/>
          <w:sz w:val="24"/>
        </w:rPr>
        <w:t>Current FDA Information  In this cancer type  In other cancer type  In this cancer type and other cancer types</w:t>
      </w:r>
    </w:p>
    <w:p>
      <w:pPr>
        <w:spacing w:before="185" w:after="80" w:line="276" w:lineRule="auto"/>
        <w:jc w:val="left"/>
      </w:pPr>
      <w:r>
        <w:rPr>
          <w:rFonts w:ascii="Calibri" w:hAnsi="Calibri"/>
          <w:color w:val="333333"/>
          <w:sz w:val="18"/>
        </w:rPr>
        <w:t>FDA information is current as of 2025-05-14. For the most up-to-date information, search www.fda.gov.</w:t>
      </w:r>
    </w:p>
    <w:p>
      <w:pPr>
        <w:keepNext/>
        <w:spacing w:before="225" w:after="80"/>
        <w:jc w:val="left"/>
      </w:pPr>
      <w:r>
        <w:rPr>
          <w:rFonts w:ascii="Calibri" w:hAnsi="Calibri"/>
          <w:b/>
          <w:i w:val="0"/>
          <w:color w:val="FFFFFF"/>
          <w:sz w:val="24"/>
        </w:rPr>
        <w:t>PIK3CA p.(C420R) c.1258T&gt;C</w:t>
      </w:r>
    </w:p>
    <w:p>
      <w:pPr>
        <w:keepNext/>
        <w:spacing w:before="350" w:after="80"/>
        <w:jc w:val="left"/>
      </w:pPr>
      <w:r>
        <w:rPr>
          <w:rFonts w:ascii="Calibri" w:hAnsi="Calibri"/>
          <w:b/>
          <w:i w:val="0"/>
          <w:color w:val="555759"/>
          <w:sz w:val="24"/>
        </w:rPr>
        <w:t> alpelisib + fulvestrant</w:t>
      </w:r>
    </w:p>
    <w:p>
      <w:pPr>
        <w:spacing w:before="0" w:after="12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Cancer type</w:t>
            </w:r>
          </w:p>
        </w:tc>
        <w:tc>
          <w:tcPr>
            <w:tcW w:type="dxa" w:w="3168"/>
            <w:tcMar>
              <w:top w:w="20" w:type="dxa"/>
              <w:bottom w:w="20" w:type="dxa"/>
              <w:start w:w="40" w:type="dxa"/>
              <w:end w:w="40" w:type="dxa"/>
            </w:tcMar>
          </w:tcPr>
          <w:p>
            <w:r>
              <w:rPr>
                <w:rFonts w:ascii="Times New Roman" w:hAnsi="Times New Roman"/>
                <w:color w:val="000000"/>
                <w:sz w:val="20"/>
              </w:rPr>
              <w:t>Breast Cancer</w:t>
            </w:r>
          </w:p>
        </w:tc>
        <w:tc>
          <w:tcPr>
            <w:tcW w:type="dxa" w:w="1440"/>
            <w:tcMar>
              <w:top w:w="20" w:type="dxa"/>
              <w:bottom w:w="20" w:type="dxa"/>
              <w:start w:w="40" w:type="dxa"/>
              <w:end w:w="40" w:type="dxa"/>
            </w:tcMar>
          </w:tcPr>
          <w:p>
            <w:r>
              <w:rPr>
                <w:rFonts w:ascii="Times New Roman" w:hAnsi="Times New Roman"/>
                <w:b/>
                <w:color w:val="000000"/>
                <w:sz w:val="20"/>
              </w:rPr>
              <w:t>Label as of</w:t>
            </w:r>
          </w:p>
        </w:tc>
        <w:tc>
          <w:tcPr>
            <w:tcW w:type="dxa" w:w="3168"/>
            <w:tcMar>
              <w:top w:w="20" w:type="dxa"/>
              <w:bottom w:w="20" w:type="dxa"/>
              <w:start w:w="40" w:type="dxa"/>
              <w:end w:w="40" w:type="dxa"/>
            </w:tcMar>
          </w:tcPr>
          <w:p>
            <w:r>
              <w:rPr>
                <w:rFonts w:ascii="Times New Roman" w:hAnsi="Times New Roman"/>
                <w:color w:val="000000"/>
                <w:sz w:val="20"/>
              </w:rPr>
              <w:t>2024-01-18</w:t>
            </w:r>
          </w:p>
        </w:tc>
      </w:tr>
      <w:tr>
        <w:trPr>
          <w:cantSplit w:val="true"/>
        </w:trPr>
        <w:tc>
          <w:tcPr>
            <w:tcW w:type="dxa" w:w="1440"/>
            <w:tcMar>
              <w:top w:w="20" w:type="dxa"/>
              <w:bottom w:w="20" w:type="dxa"/>
              <w:start w:w="40" w:type="dxa"/>
              <w:end w:w="40" w:type="dxa"/>
            </w:tcMar>
          </w:tcPr>
          <w:p>
            <w:r>
              <w:rPr>
                <w:rFonts w:ascii="Times New Roman" w:hAnsi="Times New Roman"/>
                <w:b/>
                <w:color w:val="000000"/>
                <w:sz w:val="20"/>
              </w:rPr>
              <w:t>Variant class</w:t>
            </w:r>
          </w:p>
        </w:tc>
        <w:tc>
          <w:tcPr>
            <w:tcW w:type="dxa" w:w="3168"/>
            <w:tcMar>
              <w:top w:w="20" w:type="dxa"/>
              <w:bottom w:w="20" w:type="dxa"/>
              <w:start w:w="40" w:type="dxa"/>
              <w:end w:w="40" w:type="dxa"/>
            </w:tcMar>
          </w:tcPr>
          <w:p>
            <w:r>
              <w:rPr>
                <w:rFonts w:ascii="Times New Roman" w:hAnsi="Times New Roman"/>
                <w:color w:val="000000"/>
                <w:sz w:val="20"/>
              </w:rPr>
              <w:t>PIK3CA C420R mutation</w:t>
            </w:r>
          </w:p>
        </w:tc>
        <w:tc>
          <w:tcPr>
            <w:tcW w:type="dxa" w:w="1440"/>
            <w:tcMar>
              <w:top w:w="20" w:type="dxa"/>
              <w:bottom w:w="20" w:type="dxa"/>
              <w:start w:w="40" w:type="dxa"/>
              <w:end w:w="40" w:type="dxa"/>
            </w:tcMar>
          </w:tcPr>
          <w:p>
            <w:r>
              <w:rPr>
                <w:rFonts w:ascii="Times New Roman" w:hAnsi="Times New Roman"/>
                <w:b/>
                <w:color w:val="000000"/>
                <w:sz w:val="20"/>
              </w:rPr>
              <w:t>Other criteria</w:t>
            </w:r>
          </w:p>
        </w:tc>
        <w:tc>
          <w:tcPr>
            <w:tcW w:type="dxa" w:w="3168"/>
            <w:tcMar>
              <w:top w:w="20" w:type="dxa"/>
              <w:bottom w:w="20" w:type="dxa"/>
              <w:start w:w="40" w:type="dxa"/>
              <w:end w:w="40" w:type="dxa"/>
            </w:tcMar>
          </w:tcPr>
          <w:p>
            <w:r>
              <w:rPr>
                <w:rFonts w:ascii="Times New Roman" w:hAnsi="Times New Roman"/>
                <w:color w:val="000000"/>
                <w:sz w:val="20"/>
              </w:rPr>
              <w:t>ERBB2 negative, Hormone receptor positive</w:t>
            </w:r>
          </w:p>
        </w:tc>
      </w:tr>
    </w:tbl>
    <w:p>
      <w:pPr>
        <w:spacing w:before="0" w:after="80" w:line="20" w:lineRule="exact"/>
      </w:pPr>
      <w:r>
        <w:rPr>
          <w:sz w:val="2"/>
        </w:rPr>
      </w:r>
    </w:p>
    <w:p>
      <w:pPr>
        <w:spacing w:before="177" w:after="80" w:line="276" w:lineRule="auto"/>
        <w:jc w:val="left"/>
      </w:pPr>
      <w:r>
        <w:rPr>
          <w:rFonts w:ascii="Calibri" w:hAnsi="Calibri"/>
          <w:color w:val="333333"/>
          <w:sz w:val="18"/>
        </w:rPr>
        <w:t>Indications and usage: PIQRAY® is a kinase inhibitor indicated in combination with fulvestrant for the treatment of adults with hormone receptor (HR)- positive, human epidermal growth factor receptor 2 (HER2)-negative, PIK3CA-mutated, advanced or metastatic breast cancer as detected by an FDA-approved test following progression on or after an endocrine-based regimen.</w:t>
      </w:r>
    </w:p>
    <w:p>
      <w:pPr>
        <w:spacing w:before="157" w:after="80" w:line="276" w:lineRule="auto"/>
        <w:jc w:val="left"/>
      </w:pPr>
      <w:r>
        <w:rPr>
          <w:rFonts w:ascii="Calibri" w:hAnsi="Calibri"/>
          <w:color w:val="333333"/>
          <w:sz w:val="18"/>
        </w:rPr>
        <w:t>Reference:</w:t>
      </w:r>
    </w:p>
    <w:p>
      <w:pPr>
        <w:spacing w:before="77" w:after="80" w:line="276" w:lineRule="auto"/>
        <w:jc w:val="left"/>
      </w:pPr>
      <w:r>
        <w:rPr>
          <w:rFonts w:ascii="Calibri" w:hAnsi="Calibri"/>
          <w:color w:val="333333"/>
          <w:sz w:val="18"/>
        </w:rPr>
        <w:t>https://www.accessdata.fda.gov/drugsatfda_docs/label/2024/212526s009lbl.pdf</w:t>
      </w:r>
    </w:p>
    <w:p>
      <w:pPr>
        <w:keepNext/>
        <w:spacing w:before="129" w:after="80"/>
        <w:jc w:val="left"/>
      </w:pPr>
      <w:r>
        <w:rPr>
          <w:rFonts w:ascii="Calibri" w:hAnsi="Calibri"/>
          <w:b/>
          <w:i w:val="0"/>
          <w:color w:val="555759"/>
          <w:sz w:val="24"/>
        </w:rPr>
        <w:t> capivasertib + fulvestrant</w:t>
      </w:r>
    </w:p>
    <w:p>
      <w:pPr>
        <w:spacing w:before="0" w:after="12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Cancer type</w:t>
            </w:r>
          </w:p>
        </w:tc>
        <w:tc>
          <w:tcPr>
            <w:tcW w:type="dxa" w:w="3168"/>
            <w:tcMar>
              <w:top w:w="20" w:type="dxa"/>
              <w:bottom w:w="20" w:type="dxa"/>
              <w:start w:w="40" w:type="dxa"/>
              <w:end w:w="40" w:type="dxa"/>
            </w:tcMar>
          </w:tcPr>
          <w:p>
            <w:r>
              <w:rPr>
                <w:rFonts w:ascii="Times New Roman" w:hAnsi="Times New Roman"/>
                <w:color w:val="000000"/>
                <w:sz w:val="20"/>
              </w:rPr>
              <w:t>Breast Cancer</w:t>
            </w:r>
          </w:p>
        </w:tc>
        <w:tc>
          <w:tcPr>
            <w:tcW w:type="dxa" w:w="1440"/>
            <w:tcMar>
              <w:top w:w="20" w:type="dxa"/>
              <w:bottom w:w="20" w:type="dxa"/>
              <w:start w:w="40" w:type="dxa"/>
              <w:end w:w="40" w:type="dxa"/>
            </w:tcMar>
          </w:tcPr>
          <w:p>
            <w:r>
              <w:rPr>
                <w:rFonts w:ascii="Times New Roman" w:hAnsi="Times New Roman"/>
                <w:b/>
                <w:color w:val="000000"/>
                <w:sz w:val="20"/>
              </w:rPr>
              <w:t>Label as of</w:t>
            </w:r>
          </w:p>
        </w:tc>
        <w:tc>
          <w:tcPr>
            <w:tcW w:type="dxa" w:w="3168"/>
            <w:tcMar>
              <w:top w:w="20" w:type="dxa"/>
              <w:bottom w:w="20" w:type="dxa"/>
              <w:start w:w="40" w:type="dxa"/>
              <w:end w:w="40" w:type="dxa"/>
            </w:tcMar>
          </w:tcPr>
          <w:p>
            <w:r>
              <w:rPr>
                <w:rFonts w:ascii="Times New Roman" w:hAnsi="Times New Roman"/>
                <w:color w:val="000000"/>
                <w:sz w:val="20"/>
              </w:rPr>
              <w:t>2025-02-13</w:t>
            </w:r>
          </w:p>
        </w:tc>
      </w:tr>
      <w:tr>
        <w:trPr>
          <w:cantSplit w:val="true"/>
        </w:trPr>
        <w:tc>
          <w:tcPr>
            <w:tcW w:type="dxa" w:w="1440"/>
            <w:tcMar>
              <w:top w:w="20" w:type="dxa"/>
              <w:bottom w:w="20" w:type="dxa"/>
              <w:start w:w="40" w:type="dxa"/>
              <w:end w:w="40" w:type="dxa"/>
            </w:tcMar>
          </w:tcPr>
          <w:p>
            <w:r>
              <w:rPr>
                <w:rFonts w:ascii="Times New Roman" w:hAnsi="Times New Roman"/>
                <w:b/>
                <w:color w:val="000000"/>
                <w:sz w:val="20"/>
              </w:rPr>
              <w:t>Variant class</w:t>
            </w:r>
          </w:p>
        </w:tc>
        <w:tc>
          <w:tcPr>
            <w:tcW w:type="dxa" w:w="3168"/>
            <w:tcMar>
              <w:top w:w="20" w:type="dxa"/>
              <w:bottom w:w="20" w:type="dxa"/>
              <w:start w:w="40" w:type="dxa"/>
              <w:end w:w="40" w:type="dxa"/>
            </w:tcMar>
          </w:tcPr>
          <w:p>
            <w:r>
              <w:rPr>
                <w:rFonts w:ascii="Times New Roman" w:hAnsi="Times New Roman"/>
                <w:color w:val="000000"/>
                <w:sz w:val="20"/>
              </w:rPr>
              <w:t>PIK3CA C420R mutation</w:t>
            </w:r>
          </w:p>
        </w:tc>
        <w:tc>
          <w:tcPr>
            <w:tcW w:type="dxa" w:w="1440"/>
            <w:tcMar>
              <w:top w:w="20" w:type="dxa"/>
              <w:bottom w:w="20" w:type="dxa"/>
              <w:start w:w="40" w:type="dxa"/>
              <w:end w:w="40" w:type="dxa"/>
            </w:tcMar>
          </w:tcPr>
          <w:p>
            <w:r>
              <w:rPr>
                <w:rFonts w:ascii="Times New Roman" w:hAnsi="Times New Roman"/>
                <w:b/>
                <w:color w:val="000000"/>
                <w:sz w:val="20"/>
              </w:rPr>
              <w:t>Other criteria</w:t>
            </w:r>
          </w:p>
        </w:tc>
        <w:tc>
          <w:tcPr>
            <w:tcW w:type="dxa" w:w="3168"/>
            <w:tcMar>
              <w:top w:w="20" w:type="dxa"/>
              <w:bottom w:w="20" w:type="dxa"/>
              <w:start w:w="40" w:type="dxa"/>
              <w:end w:w="40" w:type="dxa"/>
            </w:tcMar>
          </w:tcPr>
          <w:p>
            <w:r>
              <w:rPr>
                <w:rFonts w:ascii="Times New Roman" w:hAnsi="Times New Roman"/>
                <w:color w:val="000000"/>
                <w:sz w:val="20"/>
              </w:rPr>
              <w:t>ERBB2 negative, Hormone receptor positive</w:t>
            </w:r>
          </w:p>
        </w:tc>
      </w:tr>
    </w:tbl>
    <w:p>
      <w:pPr>
        <w:spacing w:before="0" w:after="80" w:line="20" w:lineRule="exact"/>
      </w:pPr>
      <w:r>
        <w:rPr>
          <w:sz w:val="2"/>
        </w:rPr>
      </w:r>
    </w:p>
    <w:p>
      <w:pPr>
        <w:spacing w:before="177" w:after="80" w:line="276" w:lineRule="auto"/>
        <w:jc w:val="left"/>
      </w:pPr>
      <w:r>
        <w:rPr>
          <w:rFonts w:ascii="Calibri" w:hAnsi="Calibri"/>
          <w:color w:val="333333"/>
          <w:sz w:val="18"/>
        </w:rPr>
        <w:t>Indications and usage: TRUQAP® is a kinase inhibitor indicated, in combination with fulvestrant for the treatment of adult patients with hormone receptor (HR)-positive, human epidermal growth factor receptor 2 (HER2)-negative, locally advanced or metastatic breast cancer with one or more PIK3CA/AKT1/PTEN-alterations as detected by an FDA-approved test following progression on at least one endocrine- based regimen in the metastatic setting or recurrence on or within 12 months of completing adjuvant therapy.</w:t>
      </w:r>
    </w:p>
    <w:p>
      <w:pPr>
        <w:spacing w:before="157" w:after="80" w:line="276" w:lineRule="auto"/>
        <w:jc w:val="left"/>
      </w:pPr>
      <w:r>
        <w:rPr>
          <w:rFonts w:ascii="Calibri" w:hAnsi="Calibri"/>
          <w:color w:val="333333"/>
          <w:sz w:val="18"/>
        </w:rPr>
        <w:t>Reference:</w:t>
      </w:r>
    </w:p>
    <w:p>
      <w:pPr>
        <w:spacing w:before="77" w:after="80" w:line="276" w:lineRule="auto"/>
        <w:jc w:val="left"/>
      </w:pPr>
      <w:r>
        <w:rPr>
          <w:rFonts w:ascii="Calibri" w:hAnsi="Calibri"/>
          <w:color w:val="333333"/>
          <w:sz w:val="18"/>
        </w:rPr>
        <w:t>https://www.accessdata.fda.gov/drugsatfda_docs/label/2025/218197s002lbl.pdf</w:t>
      </w:r>
    </w:p>
    <w:p>
      <w:pPr>
        <w:spacing w:before="360" w:after="80" w:line="276" w:lineRule="auto"/>
        <w:jc w:val="right"/>
      </w:pPr>
      <w:r>
        <w:rPr>
          <w:rFonts w:ascii="Calibri" w:hAnsi="Calibri"/>
          <w:color w:val="333333"/>
          <w:sz w:val="20"/>
        </w:rPr>
        <w:t>For queries please call on 9586177755</w:t>
      </w:r>
    </w:p>
    <w:p>
      <w:pPr>
        <w:spacing w:before="207" w:after="80" w:line="276" w:lineRule="auto"/>
        <w:jc w:val="left"/>
      </w:pPr>
      <w:r>
        <w:rPr>
          <w:rFonts w:ascii="Calibri" w:hAnsi="Calibri"/>
          <w:color w:val="333333"/>
          <w:sz w:val="14"/>
        </w:rPr>
        <w:t>Disclaimer:  The data presented here are from a curated knowledge base of publicly available information, but may not be exhaustive. The data version is 2025.06(006).</w:t>
      </w:r>
    </w:p>
    <w:p>
      <w:pPr>
        <w:sectPr>
          <w:headerReference w:type="default" r:id="rId25"/>
          <w:footerReference w:type="default" r:id="rId26"/>
          <w:pgSz w:w="11906" w:h="16838"/>
          <w:pgMar w:top="1728"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16" name="Picture 1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val="0"/>
          <w:color w:val="FFFFFF"/>
          <w:sz w:val="24"/>
        </w:rPr>
        <w:t>PIK3CA p.(C420R) c.1258T&gt;C (continued)</w:t>
      </w:r>
    </w:p>
    <w:p>
      <w:pPr>
        <w:keepNext/>
        <w:spacing w:before="350" w:after="80"/>
        <w:jc w:val="left"/>
      </w:pPr>
      <w:r>
        <w:rPr>
          <w:rFonts w:ascii="Calibri" w:hAnsi="Calibri"/>
          <w:b/>
          <w:i w:val="0"/>
          <w:color w:val="555759"/>
          <w:sz w:val="24"/>
        </w:rPr>
        <w:t> inavolisib + palbociclib + fulvestrant</w:t>
      </w:r>
    </w:p>
    <w:p>
      <w:pPr>
        <w:spacing w:before="0" w:after="121"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Cancer type</w:t>
            </w:r>
          </w:p>
        </w:tc>
        <w:tc>
          <w:tcPr>
            <w:tcW w:type="dxa" w:w="3168"/>
            <w:tcMar>
              <w:top w:w="20" w:type="dxa"/>
              <w:bottom w:w="20" w:type="dxa"/>
              <w:start w:w="40" w:type="dxa"/>
              <w:end w:w="40" w:type="dxa"/>
            </w:tcMar>
          </w:tcPr>
          <w:p>
            <w:r>
              <w:rPr>
                <w:rFonts w:ascii="Times New Roman" w:hAnsi="Times New Roman"/>
                <w:color w:val="000000"/>
                <w:sz w:val="20"/>
              </w:rPr>
              <w:t>Breast Cancer</w:t>
            </w:r>
          </w:p>
        </w:tc>
        <w:tc>
          <w:tcPr>
            <w:tcW w:type="dxa" w:w="1440"/>
            <w:tcMar>
              <w:top w:w="20" w:type="dxa"/>
              <w:bottom w:w="20" w:type="dxa"/>
              <w:start w:w="40" w:type="dxa"/>
              <w:end w:w="40" w:type="dxa"/>
            </w:tcMar>
          </w:tcPr>
          <w:p>
            <w:r>
              <w:rPr>
                <w:rFonts w:ascii="Times New Roman" w:hAnsi="Times New Roman"/>
                <w:b/>
                <w:color w:val="000000"/>
                <w:sz w:val="20"/>
              </w:rPr>
              <w:t>Label as of</w:t>
            </w:r>
          </w:p>
        </w:tc>
        <w:tc>
          <w:tcPr>
            <w:tcW w:type="dxa" w:w="3168"/>
            <w:tcMar>
              <w:top w:w="20" w:type="dxa"/>
              <w:bottom w:w="20" w:type="dxa"/>
              <w:start w:w="40" w:type="dxa"/>
              <w:end w:w="40" w:type="dxa"/>
            </w:tcMar>
          </w:tcPr>
          <w:p>
            <w:r>
              <w:rPr>
                <w:rFonts w:ascii="Times New Roman" w:hAnsi="Times New Roman"/>
                <w:color w:val="000000"/>
                <w:sz w:val="20"/>
              </w:rPr>
              <w:t>2024-10-10</w:t>
            </w:r>
          </w:p>
        </w:tc>
      </w:tr>
      <w:tr>
        <w:trPr>
          <w:cantSplit w:val="true"/>
        </w:trPr>
        <w:tc>
          <w:tcPr>
            <w:tcW w:type="dxa" w:w="1440"/>
            <w:tcMar>
              <w:top w:w="20" w:type="dxa"/>
              <w:bottom w:w="20" w:type="dxa"/>
              <w:start w:w="40" w:type="dxa"/>
              <w:end w:w="40" w:type="dxa"/>
            </w:tcMar>
          </w:tcPr>
          <w:p>
            <w:r>
              <w:rPr>
                <w:rFonts w:ascii="Times New Roman" w:hAnsi="Times New Roman"/>
                <w:b/>
                <w:color w:val="000000"/>
                <w:sz w:val="20"/>
              </w:rPr>
              <w:t>Variant class</w:t>
            </w:r>
          </w:p>
        </w:tc>
        <w:tc>
          <w:tcPr>
            <w:tcW w:type="dxa" w:w="3168"/>
            <w:tcMar>
              <w:top w:w="20" w:type="dxa"/>
              <w:bottom w:w="20" w:type="dxa"/>
              <w:start w:w="40" w:type="dxa"/>
              <w:end w:w="40" w:type="dxa"/>
            </w:tcMar>
          </w:tcPr>
          <w:p>
            <w:r>
              <w:rPr>
                <w:rFonts w:ascii="Times New Roman" w:hAnsi="Times New Roman"/>
                <w:color w:val="000000"/>
                <w:sz w:val="20"/>
              </w:rPr>
              <w:t>PIK3CA C420R mutation</w:t>
            </w:r>
          </w:p>
        </w:tc>
        <w:tc>
          <w:tcPr>
            <w:tcW w:type="dxa" w:w="1440"/>
            <w:tcMar>
              <w:top w:w="20" w:type="dxa"/>
              <w:bottom w:w="20" w:type="dxa"/>
              <w:start w:w="40" w:type="dxa"/>
              <w:end w:w="40" w:type="dxa"/>
            </w:tcMar>
          </w:tcPr>
          <w:p>
            <w:r>
              <w:rPr>
                <w:rFonts w:ascii="Times New Roman" w:hAnsi="Times New Roman"/>
                <w:b/>
                <w:color w:val="000000"/>
                <w:sz w:val="20"/>
              </w:rPr>
              <w:t>Other criteria</w:t>
            </w:r>
          </w:p>
        </w:tc>
        <w:tc>
          <w:tcPr>
            <w:tcW w:type="dxa" w:w="3168"/>
            <w:tcMar>
              <w:top w:w="20" w:type="dxa"/>
              <w:bottom w:w="20" w:type="dxa"/>
              <w:start w:w="40" w:type="dxa"/>
              <w:end w:w="40" w:type="dxa"/>
            </w:tcMar>
          </w:tcPr>
          <w:p>
            <w:r>
              <w:rPr>
                <w:rFonts w:ascii="Times New Roman" w:hAnsi="Times New Roman"/>
                <w:color w:val="000000"/>
                <w:sz w:val="20"/>
              </w:rPr>
              <w:t>ERBB2 negative, Hormone receptor positive</w:t>
            </w:r>
          </w:p>
        </w:tc>
      </w:tr>
    </w:tbl>
    <w:p>
      <w:pPr>
        <w:spacing w:before="0" w:after="80" w:line="20" w:lineRule="exact"/>
      </w:pPr>
      <w:r>
        <w:rPr>
          <w:sz w:val="2"/>
        </w:rPr>
      </w:r>
    </w:p>
    <w:p>
      <w:pPr>
        <w:spacing w:before="177" w:after="80" w:line="276" w:lineRule="auto"/>
        <w:jc w:val="left"/>
      </w:pPr>
      <w:r>
        <w:rPr>
          <w:rFonts w:ascii="Calibri" w:hAnsi="Calibri"/>
          <w:color w:val="333333"/>
          <w:sz w:val="18"/>
        </w:rPr>
        <w:t>Indications and usage: ITOVEBI™ is a kinase inhibitor indicated in combination with palbociclib and fulvestrant for the treatment of adults with endocrine- resistant, PIK3CA-mutated, hormone receptor (HR)-positive, human epidermal growth factor receptor 2 (HER2)-negative, locally advanced or metastatic breast cancer, as detected by an FDA-approved test, following recurrence on or after completing adjuvant endocrine therapy.</w:t>
      </w:r>
    </w:p>
    <w:p>
      <w:pPr>
        <w:spacing w:before="157" w:after="80" w:line="276" w:lineRule="auto"/>
        <w:jc w:val="left"/>
      </w:pPr>
      <w:r>
        <w:rPr>
          <w:rFonts w:ascii="Calibri" w:hAnsi="Calibri"/>
          <w:color w:val="333333"/>
          <w:sz w:val="18"/>
        </w:rPr>
        <w:t>Reference:</w:t>
      </w:r>
    </w:p>
    <w:p>
      <w:pPr>
        <w:spacing w:before="77" w:after="80" w:line="276" w:lineRule="auto"/>
        <w:jc w:val="left"/>
      </w:pPr>
      <w:r>
        <w:rPr>
          <w:rFonts w:ascii="Calibri" w:hAnsi="Calibri"/>
          <w:color w:val="333333"/>
          <w:sz w:val="18"/>
        </w:rPr>
        <w:t>https://www.accessdata.fda.gov/drugsatfda_docs/label/2024/219249s000lbl.pdf</w:t>
      </w:r>
    </w:p>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Cancer type</w:t>
            </w:r>
          </w:p>
        </w:tc>
        <w:tc>
          <w:tcPr>
            <w:tcW w:type="dxa" w:w="3168"/>
            <w:tcMar>
              <w:top w:w="20" w:type="dxa"/>
              <w:bottom w:w="20" w:type="dxa"/>
              <w:start w:w="40" w:type="dxa"/>
              <w:end w:w="40" w:type="dxa"/>
            </w:tcMar>
          </w:tcPr>
          <w:p>
            <w:r>
              <w:rPr>
                <w:rFonts w:ascii="Times New Roman" w:hAnsi="Times New Roman"/>
                <w:color w:val="000000"/>
                <w:sz w:val="20"/>
              </w:rPr>
              <w:t>Breast Cancer</w:t>
            </w:r>
          </w:p>
        </w:tc>
        <w:tc>
          <w:tcPr>
            <w:tcW w:type="dxa" w:w="1440"/>
            <w:tcMar>
              <w:top w:w="20" w:type="dxa"/>
              <w:bottom w:w="20" w:type="dxa"/>
              <w:start w:w="40" w:type="dxa"/>
              <w:end w:w="40" w:type="dxa"/>
            </w:tcMar>
          </w:tcPr>
          <w:p>
            <w:r>
              <w:rPr>
                <w:rFonts w:ascii="Times New Roman" w:hAnsi="Times New Roman"/>
                <w:b/>
                <w:color w:val="000000"/>
                <w:sz w:val="20"/>
              </w:rPr>
              <w:t>Label as of</w:t>
            </w:r>
          </w:p>
        </w:tc>
        <w:tc>
          <w:tcPr>
            <w:tcW w:type="dxa" w:w="3168"/>
            <w:tcMar>
              <w:top w:w="20" w:type="dxa"/>
              <w:bottom w:w="20" w:type="dxa"/>
              <w:start w:w="40" w:type="dxa"/>
              <w:end w:w="40" w:type="dxa"/>
            </w:tcMar>
          </w:tcPr>
          <w:p>
            <w:r>
              <w:rPr>
                <w:rFonts w:ascii="Times New Roman" w:hAnsi="Times New Roman"/>
                <w:color w:val="000000"/>
                <w:sz w:val="20"/>
              </w:rPr>
              <w:t>2025-04-23</w:t>
            </w:r>
          </w:p>
        </w:tc>
      </w:tr>
      <w:tr>
        <w:trPr>
          <w:cantSplit w:val="true"/>
        </w:trPr>
        <w:tc>
          <w:tcPr>
            <w:tcW w:type="dxa" w:w="1440"/>
            <w:tcMar>
              <w:top w:w="20" w:type="dxa"/>
              <w:bottom w:w="20" w:type="dxa"/>
              <w:start w:w="40" w:type="dxa"/>
              <w:end w:w="40" w:type="dxa"/>
            </w:tcMar>
          </w:tcPr>
          <w:p>
            <w:r>
              <w:rPr>
                <w:rFonts w:ascii="Times New Roman" w:hAnsi="Times New Roman"/>
                <w:b/>
                <w:color w:val="000000"/>
                <w:sz w:val="20"/>
              </w:rPr>
              <w:t>Variant class</w:t>
            </w:r>
          </w:p>
        </w:tc>
        <w:tc>
          <w:tcPr>
            <w:tcW w:type="dxa" w:w="3168"/>
            <w:tcMar>
              <w:top w:w="20" w:type="dxa"/>
              <w:bottom w:w="20" w:type="dxa"/>
              <w:start w:w="40" w:type="dxa"/>
              <w:end w:w="40" w:type="dxa"/>
            </w:tcMar>
          </w:tcPr>
          <w:p>
            <w:r>
              <w:rPr>
                <w:rFonts w:ascii="Times New Roman" w:hAnsi="Times New Roman"/>
                <w:color w:val="000000"/>
                <w:sz w:val="20"/>
              </w:rPr>
              <w:t>PIK3CA C420R mutation</w:t>
            </w:r>
          </w:p>
        </w:tc>
        <w:tc>
          <w:tcPr>
            <w:tcW w:type="dxa" w:w="1440"/>
            <w:tcMar>
              <w:top w:w="20" w:type="dxa"/>
              <w:bottom w:w="20" w:type="dxa"/>
              <w:start w:w="40" w:type="dxa"/>
              <w:end w:w="40" w:type="dxa"/>
            </w:tcMar>
          </w:tcPr>
          <w:p>
            <w:r>
              <w:rPr>
                <w:rFonts w:ascii="Times New Roman" w:hAnsi="Times New Roman"/>
                <w:b/>
                <w:color w:val="000000"/>
                <w:sz w:val="20"/>
              </w:rPr>
              <w:t>Other criteria</w:t>
            </w:r>
          </w:p>
        </w:tc>
        <w:tc>
          <w:tcPr>
            <w:tcW w:type="dxa" w:w="3168"/>
            <w:tcMar>
              <w:top w:w="20" w:type="dxa"/>
              <w:bottom w:w="20" w:type="dxa"/>
              <w:start w:w="40" w:type="dxa"/>
              <w:end w:w="40" w:type="dxa"/>
            </w:tcMar>
          </w:tcPr>
          <w:p>
            <w:r>
              <w:rPr>
                <w:rFonts w:ascii="Times New Roman" w:hAnsi="Times New Roman"/>
                <w:color w:val="000000"/>
                <w:sz w:val="20"/>
              </w:rPr>
              <w:t>ERBB2 negative, Hormone receptor positive</w:t>
            </w:r>
          </w:p>
        </w:tc>
      </w:tr>
    </w:tbl>
    <w:p>
      <w:pPr>
        <w:spacing w:before="0" w:after="80" w:line="20" w:lineRule="exact"/>
      </w:pPr>
      <w:r>
        <w:rPr>
          <w:sz w:val="2"/>
        </w:rPr>
      </w:r>
    </w:p>
    <w:p>
      <w:pPr>
        <w:spacing w:before="177" w:after="80" w:line="276" w:lineRule="auto"/>
        <w:jc w:val="left"/>
      </w:pPr>
      <w:r>
        <w:rPr>
          <w:rFonts w:ascii="Calibri" w:hAnsi="Calibri"/>
          <w:color w:val="333333"/>
          <w:sz w:val="18"/>
        </w:rPr>
        <w:t>Indications and usage:</w:t>
      </w:r>
    </w:p>
    <w:p>
      <w:pPr>
        <w:spacing w:before="77" w:after="80" w:line="276" w:lineRule="auto"/>
        <w:jc w:val="left"/>
      </w:pPr>
      <w:r>
        <w:rPr>
          <w:rFonts w:ascii="Calibri" w:hAnsi="Calibri"/>
          <w:color w:val="333333"/>
          <w:sz w:val="18"/>
        </w:rPr>
        <w:t>IBRANCE® is a kinase inhibitor indicated:</w:t>
      </w:r>
    </w:p>
    <w:p>
      <w:pPr>
        <w:spacing w:before="57" w:after="80" w:line="276" w:lineRule="auto"/>
        <w:jc w:val="left"/>
      </w:pPr>
      <w:r>
        <w:rPr>
          <w:rFonts w:ascii="Calibri" w:hAnsi="Calibri"/>
          <w:color w:val="333333"/>
          <w:sz w:val="18"/>
        </w:rPr>
        <w:t> for the treatment of adult patients with hormone receptor (HR)-positive, human epidermal growth factor receptor 2 (HER2)- negative advanced or metastatic breast cancer in combination with:</w:t>
      </w:r>
    </w:p>
    <w:p>
      <w:pPr>
        <w:spacing w:before="0" w:after="80" w:line="276" w:lineRule="auto"/>
        <w:jc w:val="left"/>
      </w:pPr>
      <w:r>
        <w:rPr>
          <w:rFonts w:ascii="Calibri" w:hAnsi="Calibri"/>
          <w:color w:val="333333"/>
          <w:sz w:val="18"/>
        </w:rPr>
        <w:t> an aromatase inhibitor as initial endocrine-based therapy; or</w:t>
      </w:r>
    </w:p>
    <w:p>
      <w:pPr>
        <w:spacing w:before="77" w:after="80" w:line="276" w:lineRule="auto"/>
        <w:jc w:val="left"/>
      </w:pPr>
      <w:r>
        <w:rPr>
          <w:rFonts w:ascii="Calibri" w:hAnsi="Calibri"/>
          <w:color w:val="333333"/>
          <w:sz w:val="18"/>
        </w:rPr>
        <w:t> fulvestrant in patients with disease progression following endocrine therapy.</w:t>
      </w:r>
    </w:p>
    <w:p>
      <w:pPr>
        <w:spacing w:before="77" w:after="80" w:line="276" w:lineRule="auto"/>
        <w:jc w:val="left"/>
      </w:pPr>
      <w:r>
        <w:rPr>
          <w:rFonts w:ascii="Calibri" w:hAnsi="Calibri"/>
          <w:color w:val="333333"/>
          <w:sz w:val="18"/>
        </w:rPr>
        <w:t> in combination with inavolisib and fulvestrant for the treatment of adult patients with endocrine-resistant, PIK3CA-mutated, HR-positive, HER2-negative, locally advanced or metastatic breast cancer, as detected by an FDA-approved test, following recurrence on or after completing adjuvant endocrine therapy.</w:t>
      </w:r>
    </w:p>
    <w:p>
      <w:pPr>
        <w:spacing w:before="157" w:after="80" w:line="276" w:lineRule="auto"/>
        <w:jc w:val="left"/>
      </w:pPr>
      <w:r>
        <w:rPr>
          <w:rFonts w:ascii="Calibri" w:hAnsi="Calibri"/>
          <w:color w:val="333333"/>
          <w:sz w:val="18"/>
        </w:rPr>
        <w:t>Reference:</w:t>
      </w:r>
    </w:p>
    <w:p>
      <w:pPr>
        <w:spacing w:before="77" w:after="80" w:line="276" w:lineRule="auto"/>
        <w:jc w:val="left"/>
      </w:pPr>
      <w:r>
        <w:rPr>
          <w:rFonts w:ascii="Calibri" w:hAnsi="Calibri"/>
          <w:color w:val="333333"/>
          <w:sz w:val="18"/>
        </w:rPr>
        <w:t>https://www.accessdata.fda.gov/drugsatfda_docs/label/2025/207103s020lbl.pdf</w:t>
      </w:r>
    </w:p>
    <w:p>
      <w:pPr>
        <w:spacing w:before="360" w:after="80" w:line="276" w:lineRule="auto"/>
        <w:jc w:val="right"/>
      </w:pPr>
      <w:r>
        <w:rPr>
          <w:rFonts w:ascii="Calibri" w:hAnsi="Calibri"/>
          <w:color w:val="333333"/>
          <w:sz w:val="20"/>
        </w:rPr>
        <w:t>For queries please call on 9586177755</w:t>
      </w:r>
    </w:p>
    <w:p>
      <w:pPr>
        <w:spacing w:before="207" w:after="80" w:line="276" w:lineRule="auto"/>
        <w:jc w:val="left"/>
      </w:pPr>
      <w:r>
        <w:rPr>
          <w:rFonts w:ascii="Calibri" w:hAnsi="Calibri"/>
          <w:color w:val="333333"/>
          <w:sz w:val="14"/>
        </w:rPr>
        <w:t>Disclaimer:  The data presented here are from a curated knowledge base of publicly available information, but may not be exhaustive. The data version is 2025.06(006).</w:t>
      </w:r>
    </w:p>
    <w:p>
      <w:pPr>
        <w:sectPr>
          <w:headerReference w:type="default" r:id="rId27"/>
          <w:footerReference w:type="default" r:id="rId28"/>
          <w:pgSz w:w="11906" w:h="16838"/>
          <w:pgMar w:top="1728"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17" name="Picture 1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color w:val="555759"/>
          <w:sz w:val="24"/>
        </w:rPr>
        <w:t>Current NCCN Information  In this cancer type  In other cancer type  In this cancer type and other cancer types</w:t>
      </w:r>
    </w:p>
    <w:p>
      <w:pPr>
        <w:spacing w:before="185" w:after="80" w:line="276" w:lineRule="auto"/>
        <w:jc w:val="left"/>
      </w:pPr>
      <w:r>
        <w:rPr>
          <w:rFonts w:ascii="Calibri" w:hAnsi="Calibri"/>
          <w:color w:val="333333"/>
          <w:sz w:val="18"/>
        </w:rPr>
        <w:t>NCCN information is current as of 2025-05-01. To view the most recent and complete version of the guideline, go online to NCCN.org. For NCCN International Adaptations &amp; Translations, search www.nccn.org/global/what-we-do/international-adaptations.</w:t>
      </w:r>
    </w:p>
    <w:p>
      <w:pPr>
        <w:spacing w:before="177" w:after="80" w:line="276" w:lineRule="auto"/>
        <w:jc w:val="left"/>
      </w:pPr>
      <w:r>
        <w:rPr>
          <w:rFonts w:ascii="Calibri" w:hAnsi="Calibri"/>
          <w:color w:val="333333"/>
          <w:sz w:val="18"/>
        </w:rPr>
        <w:t>Some variant specific evidence in this report may be associated with a broader set of alterations from the NCCN Guidelines. Specific variants listed in this report were sourced from approved therapies or scientific literature. These therapeutic options are appropriate for certain population segments with cancer. Refer to the NCCN Guidelines® for full recommendation.</w:t>
      </w:r>
    </w:p>
    <w:p>
      <w:pPr>
        <w:spacing w:before="177" w:after="80" w:line="276" w:lineRule="auto"/>
        <w:jc w:val="left"/>
      </w:pPr>
      <w:r>
        <w:rPr>
          <w:rFonts w:ascii="Calibri" w:hAnsi="Calibri"/>
          <w:color w:val="333333"/>
          <w:sz w:val="18"/>
        </w:rPr>
        <w:t>All guidelines cited below are referenced with permission from the NCCN Clinical Practice Guidelines in Oncology (NCCN Guidelines®) National Comprehensive Cancer Network, Inc. 2023. All rights reserved. NCCN makes no warranties regarding their content.</w:t>
      </w:r>
    </w:p>
    <w:p>
      <w:pPr>
        <w:keepNext/>
        <w:spacing w:before="225" w:after="80"/>
        <w:jc w:val="left"/>
      </w:pPr>
      <w:r>
        <w:rPr>
          <w:rFonts w:ascii="Calibri" w:hAnsi="Calibri"/>
          <w:b/>
          <w:i w:val="0"/>
          <w:color w:val="FFFFFF"/>
          <w:sz w:val="24"/>
        </w:rPr>
        <w:t>PIK3CA p.(C420R) c.1258T&gt;C</w:t>
      </w:r>
    </w:p>
    <w:p>
      <w:pPr>
        <w:keepNext/>
        <w:spacing w:before="350" w:after="80"/>
        <w:jc w:val="left"/>
      </w:pPr>
      <w:r>
        <w:rPr>
          <w:rFonts w:ascii="Calibri" w:hAnsi="Calibri"/>
          <w:b/>
          <w:i w:val="0"/>
          <w:color w:val="555759"/>
          <w:sz w:val="24"/>
        </w:rPr>
        <w:t> alpelisib + fulvestrant</w:t>
      </w:r>
    </w:p>
    <w:p>
      <w:pPr>
        <w:spacing w:before="0" w:after="121"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Cancer type</w:t>
            </w:r>
          </w:p>
        </w:tc>
        <w:tc>
          <w:tcPr>
            <w:tcW w:type="dxa" w:w="3168"/>
            <w:tcMar>
              <w:top w:w="20" w:type="dxa"/>
              <w:bottom w:w="20" w:type="dxa"/>
              <w:start w:w="40" w:type="dxa"/>
              <w:end w:w="40" w:type="dxa"/>
            </w:tcMar>
          </w:tcPr>
          <w:p>
            <w:r>
              <w:rPr>
                <w:rFonts w:ascii="Times New Roman" w:hAnsi="Times New Roman"/>
                <w:color w:val="000000"/>
                <w:sz w:val="20"/>
              </w:rPr>
              <w:t>Breast Cancer</w:t>
            </w:r>
          </w:p>
        </w:tc>
        <w:tc>
          <w:tcPr>
            <w:tcW w:type="dxa" w:w="1440"/>
            <w:tcMar>
              <w:top w:w="20" w:type="dxa"/>
              <w:bottom w:w="20" w:type="dxa"/>
              <w:start w:w="40" w:type="dxa"/>
              <w:end w:w="40" w:type="dxa"/>
            </w:tcMar>
          </w:tcPr>
          <w:p>
            <w:r>
              <w:rPr>
                <w:rFonts w:ascii="Times New Roman" w:hAnsi="Times New Roman"/>
                <w:b/>
                <w:color w:val="000000"/>
                <w:sz w:val="20"/>
              </w:rPr>
              <w:t>Variant class</w:t>
            </w:r>
          </w:p>
        </w:tc>
        <w:tc>
          <w:tcPr>
            <w:tcW w:type="dxa" w:w="3168"/>
            <w:tcMar>
              <w:top w:w="20" w:type="dxa"/>
              <w:bottom w:w="20" w:type="dxa"/>
              <w:start w:w="40" w:type="dxa"/>
              <w:end w:w="40" w:type="dxa"/>
            </w:tcMar>
          </w:tcPr>
          <w:p>
            <w:r>
              <w:rPr>
                <w:rFonts w:ascii="Times New Roman" w:hAnsi="Times New Roman"/>
                <w:color w:val="000000"/>
                <w:sz w:val="20"/>
              </w:rPr>
              <w:t>PIK3CA C420R mutation</w:t>
            </w:r>
          </w:p>
        </w:tc>
      </w:tr>
      <w:tr>
        <w:trPr>
          <w:cantSplit w:val="true"/>
        </w:trPr>
        <w:tc>
          <w:tcPr>
            <w:tcW w:type="dxa" w:w="1440"/>
            <w:tcMar>
              <w:top w:w="20" w:type="dxa"/>
              <w:bottom w:w="20" w:type="dxa"/>
              <w:start w:w="40" w:type="dxa"/>
              <w:end w:w="40" w:type="dxa"/>
            </w:tcMar>
          </w:tcPr>
          <w:p>
            <w:r>
              <w:rPr>
                <w:rFonts w:ascii="Times New Roman" w:hAnsi="Times New Roman"/>
                <w:b/>
                <w:color w:val="000000"/>
                <w:sz w:val="20"/>
              </w:rPr>
              <w:t>Other criteria</w:t>
            </w:r>
          </w:p>
        </w:tc>
        <w:tc>
          <w:tcPr>
            <w:tcW w:type="dxa" w:w="3168"/>
            <w:tcMar>
              <w:top w:w="20" w:type="dxa"/>
              <w:bottom w:w="20" w:type="dxa"/>
              <w:start w:w="40" w:type="dxa"/>
              <w:end w:w="40" w:type="dxa"/>
            </w:tcMar>
          </w:tcPr>
          <w:p>
            <w:r>
              <w:rPr>
                <w:rFonts w:ascii="Times New Roman" w:hAnsi="Times New Roman"/>
                <w:color w:val="000000"/>
                <w:sz w:val="20"/>
              </w:rPr>
              <w:t>ERBB2 negative, Hormone receptor positive</w:t>
            </w:r>
          </w:p>
        </w:tc>
        <w:tc>
          <w:tcPr>
            <w:tcW w:type="dxa" w:w="1440"/>
            <w:tcMar>
              <w:top w:w="20" w:type="dxa"/>
              <w:bottom w:w="20" w:type="dxa"/>
              <w:start w:w="40" w:type="dxa"/>
              <w:end w:w="40" w:type="dxa"/>
            </w:tcMar>
          </w:tcPr>
          <w:p>
            <w:r>
              <w:rPr>
                <w:rFonts w:ascii="Times New Roman" w:hAnsi="Times New Roman"/>
                <w:b/>
                <w:color w:val="000000"/>
                <w:sz w:val="20"/>
              </w:rPr>
              <w:t>NCCN Recommendation category</w:t>
            </w:r>
          </w:p>
        </w:tc>
        <w:tc>
          <w:tcPr>
            <w:tcW w:type="dxa" w:w="3168"/>
            <w:tcMar>
              <w:top w:w="20" w:type="dxa"/>
              <w:bottom w:w="20" w:type="dxa"/>
              <w:start w:w="40" w:type="dxa"/>
              <w:end w:w="40" w:type="dxa"/>
            </w:tcMar>
          </w:tcPr>
          <w:p>
            <w:r>
              <w:rPr>
                <w:rFonts w:ascii="Times New Roman" w:hAnsi="Times New Roman"/>
                <w:color w:val="000000"/>
                <w:sz w:val="20"/>
              </w:rPr>
              <w:t>1</w:t>
            </w:r>
          </w:p>
        </w:tc>
      </w:tr>
    </w:tbl>
    <w:p>
      <w:pPr>
        <w:spacing w:before="0" w:after="80" w:line="20" w:lineRule="exact"/>
      </w:pPr>
      <w:r>
        <w:rPr>
          <w:sz w:val="2"/>
        </w:rPr>
      </w:r>
    </w:p>
    <w:p>
      <w:pPr>
        <w:spacing w:before="177" w:after="80" w:line="276" w:lineRule="auto"/>
        <w:jc w:val="left"/>
      </w:pPr>
      <w:r>
        <w:rPr>
          <w:rFonts w:ascii="Calibri" w:hAnsi="Calibri"/>
          <w:color w:val="333333"/>
          <w:sz w:val="18"/>
        </w:rPr>
        <w:t>Population segment (Line of therapy):</w:t>
      </w:r>
    </w:p>
    <w:p>
      <w:pPr>
        <w:spacing w:before="0" w:after="80" w:line="276" w:lineRule="auto"/>
        <w:jc w:val="center"/>
      </w:pPr>
      <w:r>
        <w:rPr>
          <w:rFonts w:ascii="Calibri" w:hAnsi="Calibri"/>
          <w:color w:val="333333"/>
          <w:sz w:val="18"/>
        </w:rPr>
        <w:t> Stage IV; Recurrent, Unresectable, Local, Regional, Invasive, Progression (Second-line therapy, Subsequent therapy); Preferred intervention</w:t>
      </w:r>
    </w:p>
    <w:p>
      <w:pPr>
        <w:spacing w:before="0" w:after="177"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Reference</w:t>
            </w:r>
          </w:p>
        </w:tc>
        <w:tc>
          <w:tcPr>
            <w:tcW w:type="dxa" w:w="3168"/>
            <w:tcMar>
              <w:top w:w="20" w:type="dxa"/>
              <w:bottom w:w="20" w:type="dxa"/>
              <w:start w:w="40" w:type="dxa"/>
              <w:end w:w="40" w:type="dxa"/>
            </w:tcMar>
          </w:tcPr>
          <w:p>
            <w:r>
              <w:rPr>
                <w:rFonts w:ascii="Times New Roman" w:hAnsi="Times New Roman"/>
                <w:color w:val="000000"/>
                <w:sz w:val="20"/>
              </w:rPr>
              <w:t>NCCN Guidelines® - NCCN-Breast Cancer [Version 4.2025]</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keepNext/>
        <w:spacing w:before="129" w:after="80"/>
        <w:jc w:val="left"/>
      </w:pPr>
      <w:r>
        <w:rPr>
          <w:rFonts w:ascii="Calibri" w:hAnsi="Calibri"/>
          <w:b/>
          <w:i w:val="0"/>
          <w:color w:val="555759"/>
          <w:sz w:val="24"/>
        </w:rPr>
        <w:t> capivasertib + fulvestrant</w:t>
      </w:r>
    </w:p>
    <w:p>
      <w:pPr>
        <w:spacing w:before="0" w:after="121"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Cancer type</w:t>
            </w:r>
          </w:p>
        </w:tc>
        <w:tc>
          <w:tcPr>
            <w:tcW w:type="dxa" w:w="3168"/>
            <w:tcMar>
              <w:top w:w="20" w:type="dxa"/>
              <w:bottom w:w="20" w:type="dxa"/>
              <w:start w:w="40" w:type="dxa"/>
              <w:end w:w="40" w:type="dxa"/>
            </w:tcMar>
          </w:tcPr>
          <w:p>
            <w:r>
              <w:rPr>
                <w:rFonts w:ascii="Times New Roman" w:hAnsi="Times New Roman"/>
                <w:color w:val="000000"/>
                <w:sz w:val="20"/>
              </w:rPr>
              <w:t>Breast Cancer</w:t>
            </w:r>
          </w:p>
        </w:tc>
        <w:tc>
          <w:tcPr>
            <w:tcW w:type="dxa" w:w="1440"/>
            <w:tcMar>
              <w:top w:w="20" w:type="dxa"/>
              <w:bottom w:w="20" w:type="dxa"/>
              <w:start w:w="40" w:type="dxa"/>
              <w:end w:w="40" w:type="dxa"/>
            </w:tcMar>
          </w:tcPr>
          <w:p>
            <w:r>
              <w:rPr>
                <w:rFonts w:ascii="Times New Roman" w:hAnsi="Times New Roman"/>
                <w:b/>
                <w:color w:val="000000"/>
                <w:sz w:val="20"/>
              </w:rPr>
              <w:t>Variant class</w:t>
            </w:r>
          </w:p>
        </w:tc>
        <w:tc>
          <w:tcPr>
            <w:tcW w:type="dxa" w:w="3168"/>
            <w:tcMar>
              <w:top w:w="20" w:type="dxa"/>
              <w:bottom w:w="20" w:type="dxa"/>
              <w:start w:w="40" w:type="dxa"/>
              <w:end w:w="40" w:type="dxa"/>
            </w:tcMar>
          </w:tcPr>
          <w:p>
            <w:r>
              <w:rPr>
                <w:rFonts w:ascii="Times New Roman" w:hAnsi="Times New Roman"/>
                <w:color w:val="000000"/>
                <w:sz w:val="20"/>
              </w:rPr>
              <w:t>PIK3CA C420R mutation</w:t>
            </w:r>
          </w:p>
        </w:tc>
      </w:tr>
      <w:tr>
        <w:trPr>
          <w:cantSplit w:val="true"/>
        </w:trPr>
        <w:tc>
          <w:tcPr>
            <w:tcW w:type="dxa" w:w="1440"/>
            <w:tcMar>
              <w:top w:w="20" w:type="dxa"/>
              <w:bottom w:w="20" w:type="dxa"/>
              <w:start w:w="40" w:type="dxa"/>
              <w:end w:w="40" w:type="dxa"/>
            </w:tcMar>
          </w:tcPr>
          <w:p>
            <w:r>
              <w:rPr>
                <w:rFonts w:ascii="Times New Roman" w:hAnsi="Times New Roman"/>
                <w:b/>
                <w:color w:val="000000"/>
                <w:sz w:val="20"/>
              </w:rPr>
              <w:t>Other criteria</w:t>
            </w:r>
          </w:p>
        </w:tc>
        <w:tc>
          <w:tcPr>
            <w:tcW w:type="dxa" w:w="3168"/>
            <w:tcMar>
              <w:top w:w="20" w:type="dxa"/>
              <w:bottom w:w="20" w:type="dxa"/>
              <w:start w:w="40" w:type="dxa"/>
              <w:end w:w="40" w:type="dxa"/>
            </w:tcMar>
          </w:tcPr>
          <w:p>
            <w:r>
              <w:rPr>
                <w:rFonts w:ascii="Times New Roman" w:hAnsi="Times New Roman"/>
                <w:color w:val="000000"/>
                <w:sz w:val="20"/>
              </w:rPr>
              <w:t>ERBB2 negative, Hormone receptor positive</w:t>
            </w:r>
          </w:p>
        </w:tc>
        <w:tc>
          <w:tcPr>
            <w:tcW w:type="dxa" w:w="1440"/>
            <w:tcMar>
              <w:top w:w="20" w:type="dxa"/>
              <w:bottom w:w="20" w:type="dxa"/>
              <w:start w:w="40" w:type="dxa"/>
              <w:end w:w="40" w:type="dxa"/>
            </w:tcMar>
          </w:tcPr>
          <w:p>
            <w:r>
              <w:rPr>
                <w:rFonts w:ascii="Times New Roman" w:hAnsi="Times New Roman"/>
                <w:b/>
                <w:color w:val="000000"/>
                <w:sz w:val="20"/>
              </w:rPr>
              <w:t>NCCN Recommendation category</w:t>
            </w:r>
          </w:p>
        </w:tc>
        <w:tc>
          <w:tcPr>
            <w:tcW w:type="dxa" w:w="3168"/>
            <w:tcMar>
              <w:top w:w="20" w:type="dxa"/>
              <w:bottom w:w="20" w:type="dxa"/>
              <w:start w:w="40" w:type="dxa"/>
              <w:end w:w="40" w:type="dxa"/>
            </w:tcMar>
          </w:tcPr>
          <w:p>
            <w:r>
              <w:rPr>
                <w:rFonts w:ascii="Times New Roman" w:hAnsi="Times New Roman"/>
                <w:color w:val="000000"/>
                <w:sz w:val="20"/>
              </w:rPr>
              <w:t>1</w:t>
            </w:r>
          </w:p>
        </w:tc>
      </w:tr>
    </w:tbl>
    <w:p>
      <w:pPr>
        <w:spacing w:before="0" w:after="80" w:line="20" w:lineRule="exact"/>
      </w:pPr>
      <w:r>
        <w:rPr>
          <w:sz w:val="2"/>
        </w:rPr>
      </w:r>
    </w:p>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Reference</w:t>
            </w:r>
          </w:p>
        </w:tc>
        <w:tc>
          <w:tcPr>
            <w:tcW w:type="dxa" w:w="3168"/>
            <w:tcMar>
              <w:top w:w="20" w:type="dxa"/>
              <w:bottom w:w="20" w:type="dxa"/>
              <w:start w:w="40" w:type="dxa"/>
              <w:end w:w="40" w:type="dxa"/>
            </w:tcMar>
          </w:tcPr>
          <w:p>
            <w:r>
              <w:rPr>
                <w:rFonts w:ascii="Times New Roman" w:hAnsi="Times New Roman"/>
                <w:color w:val="000000"/>
                <w:sz w:val="20"/>
              </w:rPr>
              <w:t>NCCN Guidelines® - NCCN-Breast Cancer [Version 4.2025]</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keepNext/>
        <w:spacing w:before="129" w:after="80"/>
        <w:jc w:val="left"/>
      </w:pPr>
      <w:r>
        <w:rPr>
          <w:rFonts w:ascii="Calibri" w:hAnsi="Calibri"/>
          <w:b/>
          <w:i w:val="0"/>
          <w:color w:val="555759"/>
          <w:sz w:val="24"/>
        </w:rPr>
        <w:t> inavolisib + palbociclib + fulvestrant</w:t>
      </w:r>
    </w:p>
    <w:p>
      <w:pPr>
        <w:spacing w:before="0" w:after="121"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Cancer type</w:t>
            </w:r>
          </w:p>
        </w:tc>
        <w:tc>
          <w:tcPr>
            <w:tcW w:type="dxa" w:w="3168"/>
            <w:tcMar>
              <w:top w:w="20" w:type="dxa"/>
              <w:bottom w:w="20" w:type="dxa"/>
              <w:start w:w="40" w:type="dxa"/>
              <w:end w:w="40" w:type="dxa"/>
            </w:tcMar>
          </w:tcPr>
          <w:p>
            <w:r>
              <w:rPr>
                <w:rFonts w:ascii="Times New Roman" w:hAnsi="Times New Roman"/>
                <w:color w:val="000000"/>
                <w:sz w:val="20"/>
              </w:rPr>
              <w:t>Breast Cancer</w:t>
            </w:r>
          </w:p>
        </w:tc>
        <w:tc>
          <w:tcPr>
            <w:tcW w:type="dxa" w:w="1440"/>
            <w:tcMar>
              <w:top w:w="20" w:type="dxa"/>
              <w:bottom w:w="20" w:type="dxa"/>
              <w:start w:w="40" w:type="dxa"/>
              <w:end w:w="40" w:type="dxa"/>
            </w:tcMar>
          </w:tcPr>
          <w:p>
            <w:r>
              <w:rPr>
                <w:rFonts w:ascii="Times New Roman" w:hAnsi="Times New Roman"/>
                <w:b/>
                <w:color w:val="000000"/>
                <w:sz w:val="20"/>
              </w:rPr>
              <w:t>Variant class</w:t>
            </w:r>
          </w:p>
        </w:tc>
        <w:tc>
          <w:tcPr>
            <w:tcW w:type="dxa" w:w="3168"/>
            <w:tcMar>
              <w:top w:w="20" w:type="dxa"/>
              <w:bottom w:w="20" w:type="dxa"/>
              <w:start w:w="40" w:type="dxa"/>
              <w:end w:w="40" w:type="dxa"/>
            </w:tcMar>
          </w:tcPr>
          <w:p>
            <w:r>
              <w:rPr>
                <w:rFonts w:ascii="Times New Roman" w:hAnsi="Times New Roman"/>
                <w:color w:val="000000"/>
                <w:sz w:val="20"/>
              </w:rPr>
              <w:t>PIK3CA C420R mutation</w:t>
            </w:r>
          </w:p>
        </w:tc>
      </w:tr>
      <w:tr>
        <w:trPr>
          <w:cantSplit w:val="true"/>
        </w:trPr>
        <w:tc>
          <w:tcPr>
            <w:tcW w:type="dxa" w:w="1440"/>
            <w:tcMar>
              <w:top w:w="20" w:type="dxa"/>
              <w:bottom w:w="20" w:type="dxa"/>
              <w:start w:w="40" w:type="dxa"/>
              <w:end w:w="40" w:type="dxa"/>
            </w:tcMar>
          </w:tcPr>
          <w:p>
            <w:r>
              <w:rPr>
                <w:rFonts w:ascii="Times New Roman" w:hAnsi="Times New Roman"/>
                <w:b/>
                <w:color w:val="000000"/>
                <w:sz w:val="20"/>
              </w:rPr>
              <w:t>Other criteria</w:t>
            </w:r>
          </w:p>
        </w:tc>
        <w:tc>
          <w:tcPr>
            <w:tcW w:type="dxa" w:w="3168"/>
            <w:tcMar>
              <w:top w:w="20" w:type="dxa"/>
              <w:bottom w:w="20" w:type="dxa"/>
              <w:start w:w="40" w:type="dxa"/>
              <w:end w:w="40" w:type="dxa"/>
            </w:tcMar>
          </w:tcPr>
          <w:p>
            <w:r>
              <w:rPr>
                <w:rFonts w:ascii="Times New Roman" w:hAnsi="Times New Roman"/>
                <w:color w:val="000000"/>
                <w:sz w:val="20"/>
              </w:rPr>
              <w:t>ERBB2 negative, Hormone receptor positive</w:t>
            </w:r>
          </w:p>
        </w:tc>
        <w:tc>
          <w:tcPr>
            <w:tcW w:type="dxa" w:w="1440"/>
            <w:tcMar>
              <w:top w:w="20" w:type="dxa"/>
              <w:bottom w:w="20" w:type="dxa"/>
              <w:start w:w="40" w:type="dxa"/>
              <w:end w:w="40" w:type="dxa"/>
            </w:tcMar>
          </w:tcPr>
          <w:p>
            <w:r>
              <w:rPr>
                <w:rFonts w:ascii="Times New Roman" w:hAnsi="Times New Roman"/>
                <w:b/>
                <w:color w:val="000000"/>
                <w:sz w:val="20"/>
              </w:rPr>
              <w:t>NCCN Recommendation category</w:t>
            </w:r>
          </w:p>
        </w:tc>
        <w:tc>
          <w:tcPr>
            <w:tcW w:type="dxa" w:w="3168"/>
            <w:tcMar>
              <w:top w:w="20" w:type="dxa"/>
              <w:bottom w:w="20" w:type="dxa"/>
              <w:start w:w="40" w:type="dxa"/>
              <w:end w:w="40" w:type="dxa"/>
            </w:tcMar>
          </w:tcPr>
          <w:p>
            <w:r>
              <w:rPr>
                <w:rFonts w:ascii="Times New Roman" w:hAnsi="Times New Roman"/>
                <w:color w:val="000000"/>
                <w:sz w:val="20"/>
              </w:rPr>
              <w:t>1</w:t>
            </w:r>
          </w:p>
        </w:tc>
      </w:tr>
    </w:tbl>
    <w:p>
      <w:pPr>
        <w:spacing w:before="0" w:after="80" w:line="20" w:lineRule="exact"/>
      </w:pPr>
      <w:r>
        <w:rPr>
          <w:sz w:val="2"/>
        </w:rPr>
      </w:r>
    </w:p>
    <w:p>
      <w:pPr>
        <w:spacing w:before="360" w:after="80" w:line="276" w:lineRule="auto"/>
        <w:jc w:val="left"/>
      </w:pPr>
      <w:r>
        <w:rPr>
          <w:rFonts w:ascii="Calibri" w:hAnsi="Calibri"/>
          <w:color w:val="333333"/>
          <w:sz w:val="18"/>
        </w:rPr>
        <w:t> Stage IV; Recurrent, Unresectable, Local, Regional, Invasive, Progression (First-line therapy); Useful in certain circumstances</w:t>
      </w:r>
    </w:p>
    <w:p>
      <w:pPr>
        <w:spacing w:before="0" w:after="177"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Reference</w:t>
            </w:r>
          </w:p>
        </w:tc>
        <w:tc>
          <w:tcPr>
            <w:tcW w:type="dxa" w:w="3168"/>
            <w:tcMar>
              <w:top w:w="20" w:type="dxa"/>
              <w:bottom w:w="20" w:type="dxa"/>
              <w:start w:w="40" w:type="dxa"/>
              <w:end w:w="40" w:type="dxa"/>
            </w:tcMar>
          </w:tcPr>
          <w:p>
            <w:r>
              <w:rPr>
                <w:rFonts w:ascii="Times New Roman" w:hAnsi="Times New Roman"/>
                <w:color w:val="000000"/>
                <w:sz w:val="20"/>
              </w:rPr>
              <w:t>NCCN Guidelines® - NCCN-Breast Cancer [Version 4.2025]</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360" w:after="80" w:line="276" w:lineRule="auto"/>
        <w:jc w:val="right"/>
      </w:pPr>
      <w:r>
        <w:rPr>
          <w:rFonts w:ascii="Calibri" w:hAnsi="Calibri"/>
          <w:color w:val="333333"/>
          <w:sz w:val="20"/>
        </w:rPr>
        <w:t>For queries please call on 9586177755</w:t>
      </w:r>
    </w:p>
    <w:p>
      <w:pPr>
        <w:spacing w:before="207" w:after="80" w:line="276" w:lineRule="auto"/>
        <w:jc w:val="left"/>
      </w:pPr>
      <w:r>
        <w:rPr>
          <w:rFonts w:ascii="Calibri" w:hAnsi="Calibri"/>
          <w:color w:val="333333"/>
          <w:sz w:val="14"/>
        </w:rPr>
        <w:t>Disclaimer:  The data presented here are from a curated knowledge base of publicly available information, but may not be exhaustive. The data version is 2025.06(006).</w:t>
      </w:r>
    </w:p>
    <w:p>
      <w:pPr>
        <w:sectPr>
          <w:headerReference w:type="default" r:id="rId29"/>
          <w:footerReference w:type="default" r:id="rId30"/>
          <w:pgSz w:w="11906" w:h="16838"/>
          <w:pgMar w:top="1728"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18" name="Picture 1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color w:val="555759"/>
          <w:sz w:val="24"/>
        </w:rPr>
        <w:t>Current EMA Information  In this cancer type  In other cancer type  In this cancer type and other cancer types</w:t>
      </w:r>
    </w:p>
    <w:p>
      <w:pPr>
        <w:spacing w:before="185" w:after="80" w:line="276" w:lineRule="auto"/>
        <w:jc w:val="left"/>
      </w:pPr>
      <w:r>
        <w:rPr>
          <w:rFonts w:ascii="Calibri" w:hAnsi="Calibri"/>
          <w:color w:val="333333"/>
          <w:sz w:val="18"/>
        </w:rPr>
        <w:t>EMA information is current as of 2025-05-14. For the most up-to-date information, search www.ema.europa.eu.</w:t>
      </w:r>
    </w:p>
    <w:p>
      <w:pPr>
        <w:keepNext/>
        <w:spacing w:before="225" w:after="80"/>
        <w:jc w:val="left"/>
      </w:pPr>
      <w:r>
        <w:rPr>
          <w:rFonts w:ascii="Calibri" w:hAnsi="Calibri"/>
          <w:b/>
          <w:i w:val="0"/>
          <w:color w:val="FFFFFF"/>
          <w:sz w:val="24"/>
        </w:rPr>
        <w:t>PIK3CA p.(C420R) c.1258T&gt;C</w:t>
      </w:r>
    </w:p>
    <w:p>
      <w:pPr>
        <w:keepNext/>
        <w:spacing w:before="350" w:after="80"/>
        <w:jc w:val="left"/>
      </w:pPr>
      <w:r>
        <w:rPr>
          <w:rFonts w:ascii="Calibri" w:hAnsi="Calibri"/>
          <w:b/>
          <w:i w:val="0"/>
          <w:color w:val="555759"/>
          <w:sz w:val="24"/>
        </w:rPr>
        <w:t> alpelisib + fulvestrant</w:t>
      </w:r>
    </w:p>
    <w:p>
      <w:pPr>
        <w:spacing w:before="0" w:after="121"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Cancer type</w:t>
            </w:r>
          </w:p>
        </w:tc>
        <w:tc>
          <w:tcPr>
            <w:tcW w:type="dxa" w:w="3168"/>
            <w:tcMar>
              <w:top w:w="20" w:type="dxa"/>
              <w:bottom w:w="20" w:type="dxa"/>
              <w:start w:w="40" w:type="dxa"/>
              <w:end w:w="40" w:type="dxa"/>
            </w:tcMar>
          </w:tcPr>
          <w:p>
            <w:r>
              <w:rPr>
                <w:rFonts w:ascii="Times New Roman" w:hAnsi="Times New Roman"/>
                <w:color w:val="000000"/>
                <w:sz w:val="20"/>
              </w:rPr>
              <w:t>Breast Cancer</w:t>
            </w:r>
          </w:p>
        </w:tc>
        <w:tc>
          <w:tcPr>
            <w:tcW w:type="dxa" w:w="1440"/>
            <w:tcMar>
              <w:top w:w="20" w:type="dxa"/>
              <w:bottom w:w="20" w:type="dxa"/>
              <w:start w:w="40" w:type="dxa"/>
              <w:end w:w="40" w:type="dxa"/>
            </w:tcMar>
          </w:tcPr>
          <w:p>
            <w:r>
              <w:rPr>
                <w:rFonts w:ascii="Times New Roman" w:hAnsi="Times New Roman"/>
                <w:b/>
                <w:color w:val="000000"/>
                <w:sz w:val="20"/>
              </w:rPr>
              <w:t>Label as of</w:t>
            </w:r>
          </w:p>
        </w:tc>
        <w:tc>
          <w:tcPr>
            <w:tcW w:type="dxa" w:w="3168"/>
            <w:tcMar>
              <w:top w:w="20" w:type="dxa"/>
              <w:bottom w:w="20" w:type="dxa"/>
              <w:start w:w="40" w:type="dxa"/>
              <w:end w:w="40" w:type="dxa"/>
            </w:tcMar>
          </w:tcPr>
          <w:p>
            <w:r>
              <w:rPr>
                <w:rFonts w:ascii="Times New Roman" w:hAnsi="Times New Roman"/>
                <w:color w:val="000000"/>
                <w:sz w:val="20"/>
              </w:rPr>
              <w:t>2025-04-30</w:t>
            </w:r>
          </w:p>
        </w:tc>
      </w:tr>
      <w:tr>
        <w:trPr>
          <w:cantSplit w:val="true"/>
        </w:trPr>
        <w:tc>
          <w:tcPr>
            <w:tcW w:type="dxa" w:w="1440"/>
            <w:tcMar>
              <w:top w:w="20" w:type="dxa"/>
              <w:bottom w:w="20" w:type="dxa"/>
              <w:start w:w="40" w:type="dxa"/>
              <w:end w:w="40" w:type="dxa"/>
            </w:tcMar>
          </w:tcPr>
          <w:p>
            <w:r>
              <w:rPr>
                <w:rFonts w:ascii="Times New Roman" w:hAnsi="Times New Roman"/>
                <w:b/>
                <w:color w:val="000000"/>
                <w:sz w:val="20"/>
              </w:rPr>
              <w:t>Variant class</w:t>
            </w:r>
          </w:p>
        </w:tc>
        <w:tc>
          <w:tcPr>
            <w:tcW w:type="dxa" w:w="3168"/>
            <w:tcMar>
              <w:top w:w="20" w:type="dxa"/>
              <w:bottom w:w="20" w:type="dxa"/>
              <w:start w:w="40" w:type="dxa"/>
              <w:end w:w="40" w:type="dxa"/>
            </w:tcMar>
          </w:tcPr>
          <w:p>
            <w:r>
              <w:rPr>
                <w:rFonts w:ascii="Times New Roman" w:hAnsi="Times New Roman"/>
                <w:color w:val="000000"/>
                <w:sz w:val="20"/>
              </w:rPr>
              <w:t>PIK3CA C420R mutation</w:t>
            </w:r>
          </w:p>
        </w:tc>
        <w:tc>
          <w:tcPr>
            <w:tcW w:type="dxa" w:w="1440"/>
            <w:tcMar>
              <w:top w:w="20" w:type="dxa"/>
              <w:bottom w:w="20" w:type="dxa"/>
              <w:start w:w="40" w:type="dxa"/>
              <w:end w:w="40" w:type="dxa"/>
            </w:tcMar>
          </w:tcPr>
          <w:p>
            <w:r>
              <w:rPr>
                <w:rFonts w:ascii="Times New Roman" w:hAnsi="Times New Roman"/>
                <w:b/>
                <w:color w:val="000000"/>
                <w:sz w:val="20"/>
              </w:rPr>
              <w:t>Other criteria</w:t>
            </w:r>
          </w:p>
        </w:tc>
        <w:tc>
          <w:tcPr>
            <w:tcW w:type="dxa" w:w="3168"/>
            <w:tcMar>
              <w:top w:w="20" w:type="dxa"/>
              <w:bottom w:w="20" w:type="dxa"/>
              <w:start w:w="40" w:type="dxa"/>
              <w:end w:w="40" w:type="dxa"/>
            </w:tcMar>
          </w:tcPr>
          <w:p>
            <w:r>
              <w:rPr>
                <w:rFonts w:ascii="Times New Roman" w:hAnsi="Times New Roman"/>
                <w:color w:val="000000"/>
                <w:sz w:val="20"/>
              </w:rPr>
              <w:t>ERBB2 negative, Hormone receptor positive</w:t>
            </w:r>
          </w:p>
        </w:tc>
      </w:tr>
    </w:tbl>
    <w:p>
      <w:pPr>
        <w:spacing w:before="0" w:after="80" w:line="20" w:lineRule="exact"/>
      </w:pPr>
      <w:r>
        <w:rPr>
          <w:sz w:val="2"/>
        </w:rPr>
      </w:r>
    </w:p>
    <w:p>
      <w:pPr>
        <w:spacing w:before="177" w:after="80" w:line="276" w:lineRule="auto"/>
        <w:jc w:val="left"/>
      </w:pPr>
      <w:r>
        <w:rPr>
          <w:rFonts w:ascii="Calibri" w:hAnsi="Calibri"/>
          <w:color w:val="333333"/>
          <w:sz w:val="18"/>
        </w:rPr>
        <w:t>Reference:</w:t>
      </w:r>
    </w:p>
    <w:p>
      <w:pPr>
        <w:spacing w:before="77" w:after="80" w:line="276" w:lineRule="auto"/>
        <w:jc w:val="left"/>
      </w:pPr>
      <w:r>
        <w:rPr>
          <w:rFonts w:ascii="Calibri" w:hAnsi="Calibri"/>
          <w:color w:val="333333"/>
          <w:sz w:val="18"/>
        </w:rPr>
        <w:t>https://www.ema.europa.eu/en/documents/product-information/piqray-epar-product-information_en.pdf</w:t>
      </w:r>
    </w:p>
    <w:p>
      <w:pPr>
        <w:keepNext/>
        <w:spacing w:before="129" w:after="80"/>
        <w:jc w:val="left"/>
      </w:pPr>
      <w:r>
        <w:rPr>
          <w:rFonts w:ascii="Calibri" w:hAnsi="Calibri"/>
          <w:b/>
          <w:i w:val="0"/>
          <w:color w:val="555759"/>
          <w:sz w:val="24"/>
        </w:rPr>
        <w:t> capivasertib + fulvestrant</w:t>
      </w:r>
    </w:p>
    <w:p>
      <w:pPr>
        <w:spacing w:before="0" w:after="121"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Cancer type</w:t>
            </w:r>
          </w:p>
        </w:tc>
        <w:tc>
          <w:tcPr>
            <w:tcW w:type="dxa" w:w="3168"/>
            <w:tcMar>
              <w:top w:w="20" w:type="dxa"/>
              <w:bottom w:w="20" w:type="dxa"/>
              <w:start w:w="40" w:type="dxa"/>
              <w:end w:w="40" w:type="dxa"/>
            </w:tcMar>
          </w:tcPr>
          <w:p>
            <w:r>
              <w:rPr>
                <w:rFonts w:ascii="Times New Roman" w:hAnsi="Times New Roman"/>
                <w:color w:val="000000"/>
                <w:sz w:val="20"/>
              </w:rPr>
              <w:t>Breast Cancer</w:t>
            </w:r>
          </w:p>
        </w:tc>
        <w:tc>
          <w:tcPr>
            <w:tcW w:type="dxa" w:w="1440"/>
            <w:tcMar>
              <w:top w:w="20" w:type="dxa"/>
              <w:bottom w:w="20" w:type="dxa"/>
              <w:start w:w="40" w:type="dxa"/>
              <w:end w:w="40" w:type="dxa"/>
            </w:tcMar>
          </w:tcPr>
          <w:p>
            <w:r>
              <w:rPr>
                <w:rFonts w:ascii="Times New Roman" w:hAnsi="Times New Roman"/>
                <w:b/>
                <w:color w:val="000000"/>
                <w:sz w:val="20"/>
              </w:rPr>
              <w:t>Label as of</w:t>
            </w:r>
          </w:p>
        </w:tc>
        <w:tc>
          <w:tcPr>
            <w:tcW w:type="dxa" w:w="3168"/>
            <w:tcMar>
              <w:top w:w="20" w:type="dxa"/>
              <w:bottom w:w="20" w:type="dxa"/>
              <w:start w:w="40" w:type="dxa"/>
              <w:end w:w="40" w:type="dxa"/>
            </w:tcMar>
          </w:tcPr>
          <w:p>
            <w:r>
              <w:rPr>
                <w:rFonts w:ascii="Times New Roman" w:hAnsi="Times New Roman"/>
                <w:color w:val="000000"/>
                <w:sz w:val="20"/>
              </w:rPr>
              <w:t>2025-03-07</w:t>
            </w:r>
          </w:p>
        </w:tc>
      </w:tr>
      <w:tr>
        <w:trPr>
          <w:cantSplit w:val="true"/>
        </w:trPr>
        <w:tc>
          <w:tcPr>
            <w:tcW w:type="dxa" w:w="1440"/>
            <w:tcMar>
              <w:top w:w="20" w:type="dxa"/>
              <w:bottom w:w="20" w:type="dxa"/>
              <w:start w:w="40" w:type="dxa"/>
              <w:end w:w="40" w:type="dxa"/>
            </w:tcMar>
          </w:tcPr>
          <w:p>
            <w:r>
              <w:rPr>
                <w:rFonts w:ascii="Times New Roman" w:hAnsi="Times New Roman"/>
                <w:b/>
                <w:color w:val="000000"/>
                <w:sz w:val="20"/>
              </w:rPr>
              <w:t>Variant class</w:t>
            </w:r>
          </w:p>
        </w:tc>
        <w:tc>
          <w:tcPr>
            <w:tcW w:type="dxa" w:w="3168"/>
            <w:tcMar>
              <w:top w:w="20" w:type="dxa"/>
              <w:bottom w:w="20" w:type="dxa"/>
              <w:start w:w="40" w:type="dxa"/>
              <w:end w:w="40" w:type="dxa"/>
            </w:tcMar>
          </w:tcPr>
          <w:p>
            <w:r>
              <w:rPr>
                <w:rFonts w:ascii="Times New Roman" w:hAnsi="Times New Roman"/>
                <w:color w:val="000000"/>
                <w:sz w:val="20"/>
              </w:rPr>
              <w:t>PIK3CA C420R mutation</w:t>
            </w:r>
          </w:p>
        </w:tc>
        <w:tc>
          <w:tcPr>
            <w:tcW w:type="dxa" w:w="1440"/>
            <w:tcMar>
              <w:top w:w="20" w:type="dxa"/>
              <w:bottom w:w="20" w:type="dxa"/>
              <w:start w:w="40" w:type="dxa"/>
              <w:end w:w="40" w:type="dxa"/>
            </w:tcMar>
          </w:tcPr>
          <w:p>
            <w:r>
              <w:rPr>
                <w:rFonts w:ascii="Times New Roman" w:hAnsi="Times New Roman"/>
                <w:b/>
                <w:color w:val="000000"/>
                <w:sz w:val="20"/>
              </w:rPr>
              <w:t>Other criteria</w:t>
            </w:r>
          </w:p>
        </w:tc>
        <w:tc>
          <w:tcPr>
            <w:tcW w:type="dxa" w:w="3168"/>
            <w:tcMar>
              <w:top w:w="20" w:type="dxa"/>
              <w:bottom w:w="20" w:type="dxa"/>
              <w:start w:w="40" w:type="dxa"/>
              <w:end w:w="40" w:type="dxa"/>
            </w:tcMar>
          </w:tcPr>
          <w:p>
            <w:r>
              <w:rPr>
                <w:rFonts w:ascii="Times New Roman" w:hAnsi="Times New Roman"/>
                <w:color w:val="000000"/>
                <w:sz w:val="20"/>
              </w:rPr>
              <w:t>ERBB2 negative, Hormone receptor positive</w:t>
            </w:r>
          </w:p>
        </w:tc>
      </w:tr>
    </w:tbl>
    <w:p>
      <w:pPr>
        <w:spacing w:before="0" w:after="80" w:line="20" w:lineRule="exact"/>
      </w:pPr>
      <w:r>
        <w:rPr>
          <w:sz w:val="2"/>
        </w:rPr>
      </w:r>
    </w:p>
    <w:p>
      <w:pPr>
        <w:spacing w:before="177" w:after="80" w:line="276" w:lineRule="auto"/>
        <w:jc w:val="left"/>
      </w:pPr>
      <w:r>
        <w:rPr>
          <w:rFonts w:ascii="Calibri" w:hAnsi="Calibri"/>
          <w:color w:val="333333"/>
          <w:sz w:val="18"/>
        </w:rPr>
        <w:t>Reference:</w:t>
      </w:r>
    </w:p>
    <w:p>
      <w:pPr>
        <w:spacing w:before="77" w:after="80" w:line="276" w:lineRule="auto"/>
        <w:jc w:val="left"/>
      </w:pPr>
      <w:r>
        <w:rPr>
          <w:rFonts w:ascii="Calibri" w:hAnsi="Calibri"/>
          <w:color w:val="333333"/>
          <w:sz w:val="18"/>
        </w:rPr>
        <w:t>https://www.ema.europa.eu/en/documents/product-information/truqap-epar-product-information_en.pdf</w:t>
      </w:r>
    </w:p>
    <w:p>
      <w:pPr>
        <w:spacing w:before="360" w:after="80" w:line="276" w:lineRule="auto"/>
        <w:jc w:val="right"/>
      </w:pPr>
      <w:r>
        <w:rPr>
          <w:rFonts w:ascii="Calibri" w:hAnsi="Calibri"/>
          <w:color w:val="333333"/>
          <w:sz w:val="20"/>
        </w:rPr>
        <w:t>For queries please call on 9586177755</w:t>
      </w:r>
    </w:p>
    <w:p>
      <w:pPr>
        <w:spacing w:before="207" w:after="80" w:line="276" w:lineRule="auto"/>
        <w:jc w:val="left"/>
      </w:pPr>
      <w:r>
        <w:rPr>
          <w:rFonts w:ascii="Calibri" w:hAnsi="Calibri"/>
          <w:color w:val="333333"/>
          <w:sz w:val="14"/>
        </w:rPr>
        <w:t>Disclaimer:  The data presented here are from a curated knowledge base of publicly available information, but may not be exhaustive. The data version is 2025.06(006).</w:t>
      </w:r>
    </w:p>
    <w:p>
      <w:pPr>
        <w:sectPr>
          <w:headerReference w:type="default" r:id="rId31"/>
          <w:footerReference w:type="default" r:id="rId32"/>
          <w:pgSz w:w="11906" w:h="16838"/>
          <w:pgMar w:top="1728"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19" name="Picture 19"/>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color w:val="555759"/>
          <w:sz w:val="24"/>
        </w:rPr>
        <w:t>Current ESMO Information  In this cancer type  In other cancer type  In this cancer type and other cancer types</w:t>
      </w:r>
    </w:p>
    <w:p>
      <w:pPr>
        <w:spacing w:before="185" w:after="80" w:line="276" w:lineRule="auto"/>
        <w:jc w:val="left"/>
      </w:pPr>
      <w:r>
        <w:rPr>
          <w:rFonts w:ascii="Calibri" w:hAnsi="Calibri"/>
          <w:color w:val="333333"/>
          <w:sz w:val="18"/>
        </w:rPr>
        <w:t>ESMO information is current as of 2025-05-01. For the most up-to-date information, search www.esmo.org.</w:t>
      </w:r>
    </w:p>
    <w:p>
      <w:pPr>
        <w:keepNext/>
        <w:spacing w:before="225" w:after="80"/>
        <w:jc w:val="left"/>
      </w:pPr>
      <w:r>
        <w:rPr>
          <w:rFonts w:ascii="Calibri" w:hAnsi="Calibri"/>
          <w:b/>
          <w:i w:val="0"/>
          <w:color w:val="FFFFFF"/>
          <w:sz w:val="24"/>
        </w:rPr>
        <w:t>PIK3CA p.(C420R) c.1258T&gt;C</w:t>
      </w:r>
    </w:p>
    <w:p>
      <w:pPr>
        <w:keepNext/>
        <w:spacing w:before="350" w:after="80"/>
        <w:jc w:val="left"/>
      </w:pPr>
      <w:r>
        <w:rPr>
          <w:rFonts w:ascii="Calibri" w:hAnsi="Calibri"/>
          <w:b/>
          <w:i w:val="0"/>
          <w:color w:val="555759"/>
          <w:sz w:val="24"/>
        </w:rPr>
        <w:t> alpelisib + fulvestrant</w:t>
      </w:r>
    </w:p>
    <w:p>
      <w:pPr>
        <w:spacing w:before="0" w:after="121"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Cancer type</w:t>
            </w:r>
          </w:p>
        </w:tc>
        <w:tc>
          <w:tcPr>
            <w:tcW w:type="dxa" w:w="3168"/>
            <w:tcMar>
              <w:top w:w="20" w:type="dxa"/>
              <w:bottom w:w="20" w:type="dxa"/>
              <w:start w:w="40" w:type="dxa"/>
              <w:end w:w="40" w:type="dxa"/>
            </w:tcMar>
          </w:tcPr>
          <w:p>
            <w:r>
              <w:rPr>
                <w:rFonts w:ascii="Times New Roman" w:hAnsi="Times New Roman"/>
                <w:color w:val="000000"/>
                <w:sz w:val="20"/>
              </w:rPr>
              <w:t>Breast Cancer</w:t>
            </w:r>
          </w:p>
        </w:tc>
        <w:tc>
          <w:tcPr>
            <w:tcW w:type="dxa" w:w="1440"/>
            <w:tcMar>
              <w:top w:w="20" w:type="dxa"/>
              <w:bottom w:w="20" w:type="dxa"/>
              <w:start w:w="40" w:type="dxa"/>
              <w:end w:w="40" w:type="dxa"/>
            </w:tcMar>
          </w:tcPr>
          <w:p>
            <w:r>
              <w:rPr>
                <w:rFonts w:ascii="Times New Roman" w:hAnsi="Times New Roman"/>
                <w:b/>
                <w:color w:val="000000"/>
                <w:sz w:val="20"/>
              </w:rPr>
              <w:t>Variant class</w:t>
            </w:r>
          </w:p>
        </w:tc>
        <w:tc>
          <w:tcPr>
            <w:tcW w:type="dxa" w:w="3168"/>
            <w:tcMar>
              <w:top w:w="20" w:type="dxa"/>
              <w:bottom w:w="20" w:type="dxa"/>
              <w:start w:w="40" w:type="dxa"/>
              <w:end w:w="40" w:type="dxa"/>
            </w:tcMar>
          </w:tcPr>
          <w:p>
            <w:r>
              <w:rPr>
                <w:rFonts w:ascii="Times New Roman" w:hAnsi="Times New Roman"/>
                <w:color w:val="000000"/>
                <w:sz w:val="20"/>
              </w:rPr>
              <w:t>PIK3CA C420R mutation</w:t>
            </w:r>
          </w:p>
        </w:tc>
      </w:tr>
      <w:tr>
        <w:trPr>
          <w:cantSplit w:val="true"/>
        </w:trPr>
        <w:tc>
          <w:tcPr>
            <w:tcW w:type="dxa" w:w="1440"/>
            <w:tcMar>
              <w:top w:w="20" w:type="dxa"/>
              <w:bottom w:w="20" w:type="dxa"/>
              <w:start w:w="40" w:type="dxa"/>
              <w:end w:w="40" w:type="dxa"/>
            </w:tcMar>
          </w:tcPr>
          <w:p>
            <w:r>
              <w:rPr>
                <w:rFonts w:ascii="Times New Roman" w:hAnsi="Times New Roman"/>
                <w:b/>
                <w:color w:val="000000"/>
                <w:sz w:val="20"/>
              </w:rPr>
              <w:t>Other criteria</w:t>
            </w:r>
          </w:p>
        </w:tc>
        <w:tc>
          <w:tcPr>
            <w:tcW w:type="dxa" w:w="3168"/>
            <w:tcMar>
              <w:top w:w="20" w:type="dxa"/>
              <w:bottom w:w="20" w:type="dxa"/>
              <w:start w:w="40" w:type="dxa"/>
              <w:end w:w="40" w:type="dxa"/>
            </w:tcMar>
          </w:tcPr>
          <w:p>
            <w:r>
              <w:rPr>
                <w:rFonts w:ascii="Times New Roman" w:hAnsi="Times New Roman"/>
                <w:color w:val="000000"/>
                <w:sz w:val="20"/>
              </w:rPr>
              <w:t>ERBB2 negative, ER positive</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177" w:after="80" w:line="276" w:lineRule="auto"/>
        <w:jc w:val="left"/>
      </w:pPr>
      <w:r>
        <w:rPr>
          <w:rFonts w:ascii="Calibri" w:hAnsi="Calibri"/>
          <w:color w:val="333333"/>
          <w:sz w:val="18"/>
        </w:rPr>
        <w:t>ESMO Level of Evidence/Grade of Recommendation:  I / B</w:t>
      </w:r>
    </w:p>
    <w:p>
      <w:pPr>
        <w:spacing w:before="177" w:after="80" w:line="276" w:lineRule="auto"/>
        <w:jc w:val="left"/>
      </w:pPr>
      <w:r>
        <w:rPr>
          <w:rFonts w:ascii="Calibri" w:hAnsi="Calibri"/>
          <w:color w:val="333333"/>
          <w:sz w:val="18"/>
        </w:rPr>
        <w:t>Population segment (Line of therapy):</w:t>
      </w:r>
    </w:p>
    <w:p>
      <w:pPr>
        <w:spacing w:before="0" w:after="80" w:line="276" w:lineRule="auto"/>
        <w:jc w:val="left"/>
      </w:pPr>
      <w:r>
        <w:rPr>
          <w:rFonts w:ascii="Calibri" w:hAnsi="Calibri"/>
          <w:color w:val="333333"/>
          <w:sz w:val="18"/>
        </w:rPr>
        <w:t> Luminal A; Advanced, Metastatic (Second-line therapy); ESMO-MCBS v1.1 score: 2</w:t>
      </w:r>
    </w:p>
    <w:p>
      <w:pPr>
        <w:spacing w:before="177" w:after="80" w:line="276" w:lineRule="auto"/>
        <w:jc w:val="left"/>
      </w:pPr>
      <w:r>
        <w:rPr>
          <w:rFonts w:ascii="Calibri" w:hAnsi="Calibri"/>
          <w:color w:val="333333"/>
          <w:sz w:val="18"/>
        </w:rPr>
        <w:t>Reference:  ESMO Clinical Practice Guidelines - ESMO-Metastatic Breast Cancer [Ann Oncol (2021) VOLUME 32, ISSUE 12, P1475-1495, DECEMBER 01, 2021; DOI:https://doi.org/10.1016/j.annonc.2021.09.019]</w:t>
      </w:r>
    </w:p>
    <w:p>
      <w:pPr>
        <w:spacing w:before="360" w:after="80" w:line="276" w:lineRule="auto"/>
        <w:jc w:val="right"/>
      </w:pPr>
      <w:r>
        <w:rPr>
          <w:rFonts w:ascii="Calibri" w:hAnsi="Calibri"/>
          <w:color w:val="333333"/>
          <w:sz w:val="20"/>
        </w:rPr>
        <w:t>For queries please call on 9586177755</w:t>
      </w:r>
    </w:p>
    <w:p>
      <w:pPr>
        <w:spacing w:before="207" w:after="80" w:line="276" w:lineRule="auto"/>
        <w:jc w:val="left"/>
      </w:pPr>
      <w:r>
        <w:rPr>
          <w:rFonts w:ascii="Calibri" w:hAnsi="Calibri"/>
          <w:color w:val="333333"/>
          <w:sz w:val="14"/>
        </w:rPr>
        <w:t>Disclaimer:  The data presented here are from a curated knowledge base of publicly available information, but may not be exhaustive. The data version is 2025.06(006).</w:t>
      </w:r>
    </w:p>
    <w:p>
      <w:pPr>
        <w:sectPr>
          <w:headerReference w:type="default" r:id="rId33"/>
          <w:footerReference w:type="default" r:id="rId34"/>
          <w:pgSz w:w="11906" w:h="16838"/>
          <w:pgMar w:top="1728"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20" name="Picture 2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val="0"/>
          <w:color w:val="262262"/>
          <w:sz w:val="26"/>
        </w:rPr>
        <w:t>Clinical Trials Summary</w:t>
      </w:r>
    </w:p>
    <w:p>
      <w:pPr>
        <w:keepNext/>
        <w:spacing w:before="247" w:after="80"/>
        <w:jc w:val="left"/>
      </w:pPr>
      <w:r>
        <w:rPr>
          <w:rFonts w:ascii="Calibri" w:hAnsi="Calibri"/>
          <w:b/>
          <w:i w:val="0"/>
          <w:color w:val="FFFFFF"/>
          <w:sz w:val="24"/>
        </w:rPr>
        <w:t>PIK3CA p.(C420R) c.1258T&gt;C</w:t>
      </w:r>
    </w:p>
    <w:p>
      <w:pPr>
        <w:keepNext/>
        <w:spacing w:before="354" w:after="60"/>
        <w:jc w:val="left"/>
      </w:pPr>
      <w:r>
        <w:rPr>
          <w:rFonts w:ascii="Calibri" w:hAnsi="Calibri"/>
          <w:b/>
          <w:i w:val="0"/>
          <w:color w:val="333333"/>
          <w:sz w:val="16"/>
        </w:rPr>
        <w:t>NCT ID Title Phase</w:t>
      </w:r>
    </w:p>
    <w:p>
      <w:pPr>
        <w:spacing w:before="0" w:after="116"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SEQUEL-Breast</w:t>
            </w:r>
          </w:p>
        </w:tc>
        <w:tc>
          <w:tcPr>
            <w:tcW w:type="dxa" w:w="3168"/>
            <w:tcMar>
              <w:top w:w="20" w:type="dxa"/>
              <w:bottom w:w="20" w:type="dxa"/>
              <w:start w:w="40" w:type="dxa"/>
              <w:end w:w="40" w:type="dxa"/>
            </w:tcMar>
          </w:tcPr>
          <w:p>
            <w:r>
              <w:rPr>
                <w:rFonts w:ascii="Times New Roman" w:hAnsi="Times New Roman"/>
                <w:color w:val="000000"/>
                <w:sz w:val="20"/>
              </w:rPr>
              <w:t>A Phase II study on the combination of alpelisib and fulvestrant after progression on</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0" w:after="80" w:line="276" w:lineRule="auto"/>
        <w:jc w:val="left"/>
      </w:pPr>
      <w:r>
        <w:rPr>
          <w:rFonts w:ascii="Calibri" w:hAnsi="Calibri"/>
          <w:color w:val="333333"/>
          <w:sz w:val="18"/>
        </w:rPr>
        <w:t>II</w:t>
      </w:r>
    </w:p>
    <w:p>
      <w:pPr>
        <w:spacing w:before="360" w:after="80" w:line="276" w:lineRule="auto"/>
        <w:jc w:val="left"/>
      </w:pPr>
      <w:r>
        <w:rPr>
          <w:rFonts w:ascii="Calibri" w:hAnsi="Calibri"/>
          <w:color w:val="333333"/>
          <w:sz w:val="18"/>
        </w:rPr>
        <w:t>NCT05025735 Alpelisib, Fulvestrant and Dapagliflozin for the Treatment of HR+, HER2 -, PIK3CA Mutant Metastatic Breast Cancer</w:t>
      </w:r>
    </w:p>
    <w:p>
      <w:pPr>
        <w:spacing w:before="0" w:after="80" w:line="276" w:lineRule="auto"/>
        <w:jc w:val="left"/>
      </w:pPr>
      <w:r>
        <w:rPr>
          <w:rFonts w:ascii="Calibri" w:hAnsi="Calibri"/>
          <w:color w:val="333333"/>
          <w:sz w:val="18"/>
        </w:rPr>
        <w:t>II</w:t>
      </w:r>
    </w:p>
    <w:p>
      <w:pPr>
        <w:spacing w:before="353" w:after="80" w:line="276" w:lineRule="auto"/>
        <w:jc w:val="left"/>
      </w:pPr>
      <w:r>
        <w:rPr>
          <w:rFonts w:ascii="Calibri" w:hAnsi="Calibri"/>
          <w:color w:val="333333"/>
          <w:sz w:val="18"/>
        </w:rPr>
        <w:t>NCT06846099 A Phase I/Ib Study to Evaluate the Safety, Tolerability, Pharmacokinetics, Efficacy and Indications of Pl3Kα-Selective Inhibitor RP903 (JS105) in Subjects with Advanced Malignancies</w:t>
      </w:r>
    </w:p>
    <w:p>
      <w:pPr>
        <w:spacing w:before="0" w:after="80" w:line="276" w:lineRule="auto"/>
        <w:jc w:val="left"/>
      </w:pPr>
      <w:r>
        <w:rPr>
          <w:rFonts w:ascii="Calibri" w:hAnsi="Calibri"/>
          <w:color w:val="333333"/>
          <w:sz w:val="18"/>
        </w:rPr>
        <w:t>I</w:t>
      </w:r>
    </w:p>
    <w:p>
      <w:pPr>
        <w:spacing w:before="353" w:after="80" w:line="276" w:lineRule="auto"/>
        <w:jc w:val="left"/>
      </w:pPr>
      <w:r>
        <w:rPr>
          <w:rFonts w:ascii="Calibri" w:hAnsi="Calibri"/>
          <w:color w:val="333333"/>
          <w:sz w:val="18"/>
        </w:rPr>
        <w:t>NCT05631795 ALPelisib INdia Safety STudy (ALPINIST): A Phase IV, Prospective, Multicenter, Open-label, Non- comparative, Interventional Study to Assess the Safety of Alpelisib Plus Fulvestrant, in Men and Post- menopausal Women With HR Positive, HER2-negative, Advanced Breast Cancer (aBC) With a PIK3CA Mutation, Whose Disease Has Progressed on or After Endocrine Based Treatment</w:t>
      </w:r>
    </w:p>
    <w:p>
      <w:pPr>
        <w:spacing w:before="0" w:after="80" w:line="276" w:lineRule="auto"/>
        <w:jc w:val="left"/>
      </w:pPr>
      <w:r>
        <w:rPr>
          <w:rFonts w:ascii="Calibri" w:hAnsi="Calibri"/>
          <w:color w:val="333333"/>
          <w:sz w:val="18"/>
        </w:rPr>
        <w:t>IV</w:t>
      </w:r>
    </w:p>
    <w:p>
      <w:pPr>
        <w:spacing w:before="360" w:after="80" w:line="276" w:lineRule="auto"/>
        <w:jc w:val="left"/>
      </w:pPr>
      <w:r>
        <w:rPr>
          <w:rFonts w:ascii="Calibri" w:hAnsi="Calibri"/>
          <w:color w:val="333333"/>
          <w:sz w:val="18"/>
        </w:rPr>
        <w:t>NCT05486143 Phase III, Open-Label, Randomized, Study Comparing Gedatolisib Combined With Fulvestrant &amp; With or Without Palbociclib to Standard-of-Care Therapies in Patients With HR-Positive, HER2-Negative Advanced Breast Cancer Previously Treated With a CDK4/6 Inhibitor in Combination w/Non-Steroidal Aromatase Inhibitor Therapy</w:t>
      </w:r>
    </w:p>
    <w:p>
      <w:pPr>
        <w:spacing w:before="0" w:after="80" w:line="276" w:lineRule="auto"/>
        <w:jc w:val="left"/>
      </w:pPr>
      <w:r>
        <w:rPr>
          <w:rFonts w:ascii="Calibri" w:hAnsi="Calibri"/>
          <w:color w:val="333333"/>
          <w:sz w:val="18"/>
        </w:rPr>
        <w:t>III</w:t>
      </w:r>
    </w:p>
    <w:p>
      <w:pPr>
        <w:spacing w:before="360" w:after="80" w:line="276" w:lineRule="auto"/>
        <w:jc w:val="left"/>
      </w:pPr>
      <w:r>
        <w:rPr>
          <w:rFonts w:ascii="Calibri" w:hAnsi="Calibri"/>
          <w:color w:val="333333"/>
          <w:sz w:val="18"/>
        </w:rPr>
        <w:t>NCT06790693 A Phase III, Multicenter, Randomized, Double-Blind, Placebo-Controlled Study Evaluating the Efficacy and Safety of Inavolisib Plus a CDK4/6 Inhibitor and Letrozole Versus Placebo Plus a CDK4/6 Inhibitor and Letrozole in Patients With Endocrine-Sensitive PIK3CA-Mutated, Hormone Receptor-Positive, HER2- Negative Advanced Breast Cancer</w:t>
      </w:r>
    </w:p>
    <w:p>
      <w:pPr>
        <w:spacing w:before="0" w:after="80" w:line="276" w:lineRule="auto"/>
        <w:jc w:val="left"/>
      </w:pPr>
      <w:r>
        <w:rPr>
          <w:rFonts w:ascii="Calibri" w:hAnsi="Calibri"/>
          <w:color w:val="333333"/>
          <w:sz w:val="18"/>
        </w:rPr>
        <w:t>III</w:t>
      </w:r>
    </w:p>
    <w:p>
      <w:pPr>
        <w:spacing w:before="360" w:after="80" w:line="276" w:lineRule="auto"/>
        <w:jc w:val="left"/>
      </w:pPr>
      <w:r>
        <w:rPr>
          <w:rFonts w:ascii="Calibri" w:hAnsi="Calibri"/>
          <w:color w:val="333333"/>
          <w:sz w:val="18"/>
        </w:rPr>
        <w:t>NCT05933395 Genetically-informed Therapy for ER+ Breast Cancer in a Post-CDK4/6 Inhibitor Setting: a Phase II Umbrella Study (GERTRUDE)</w:t>
      </w:r>
    </w:p>
    <w:p>
      <w:pPr>
        <w:spacing w:before="0" w:after="80" w:line="276" w:lineRule="auto"/>
        <w:jc w:val="left"/>
      </w:pPr>
      <w:r>
        <w:rPr>
          <w:rFonts w:ascii="Calibri" w:hAnsi="Calibri"/>
          <w:color w:val="333333"/>
          <w:sz w:val="18"/>
        </w:rPr>
        <w:t>II</w:t>
      </w:r>
    </w:p>
    <w:p>
      <w:pPr>
        <w:spacing w:before="353" w:after="80" w:line="276" w:lineRule="auto"/>
        <w:jc w:val="left"/>
      </w:pPr>
      <w:r>
        <w:rPr>
          <w:rFonts w:ascii="Calibri" w:hAnsi="Calibri"/>
          <w:color w:val="333333"/>
          <w:sz w:val="18"/>
        </w:rPr>
        <w:t>NCT04762979 A Phase II, Single Arm, Non-randomized Study of Alpelisib (BYL719) in Combination With Continued Endocrine Therapy Following Progression on Endocrine Therapy in Hormone Receptor Positive, HER2 Negative, PIK3CA Mutant Metastatic Breast Cancer</w:t>
      </w:r>
    </w:p>
    <w:p>
      <w:pPr>
        <w:spacing w:before="0" w:after="80" w:line="276" w:lineRule="auto"/>
        <w:jc w:val="left"/>
      </w:pPr>
      <w:r>
        <w:rPr>
          <w:rFonts w:ascii="Calibri" w:hAnsi="Calibri"/>
          <w:color w:val="333333"/>
          <w:sz w:val="18"/>
        </w:rPr>
        <w:t>II</w:t>
      </w:r>
    </w:p>
    <w:p>
      <w:pPr>
        <w:spacing w:before="360" w:after="80" w:line="276" w:lineRule="auto"/>
        <w:jc w:val="left"/>
      </w:pPr>
      <w:r>
        <w:rPr>
          <w:rFonts w:ascii="Calibri" w:hAnsi="Calibri"/>
          <w:color w:val="333333"/>
          <w:sz w:val="18"/>
        </w:rPr>
        <w:t>NCT05983107 A Prospective Cohort, Open, Phase II Clinical Study of Chidamide/Everolimus Combined With Endocrine Therapy for PIK3CA Wild-type/Mutant Hormone Receptor Positive/Human Epidermal Growth Factor Receptor 2 Negative Advanced Breast Cancer</w:t>
      </w:r>
    </w:p>
    <w:p>
      <w:pPr>
        <w:spacing w:before="0" w:after="80" w:line="276" w:lineRule="auto"/>
        <w:jc w:val="left"/>
      </w:pPr>
      <w:r>
        <w:rPr>
          <w:rFonts w:ascii="Calibri" w:hAnsi="Calibri"/>
          <w:color w:val="333333"/>
          <w:sz w:val="18"/>
        </w:rPr>
        <w:t>II</w:t>
      </w:r>
    </w:p>
    <w:p>
      <w:pPr>
        <w:spacing w:before="360" w:after="80" w:line="276" w:lineRule="auto"/>
        <w:jc w:val="left"/>
      </w:pPr>
      <w:r>
        <w:rPr>
          <w:rFonts w:ascii="Calibri" w:hAnsi="Calibri"/>
          <w:color w:val="333333"/>
          <w:sz w:val="18"/>
        </w:rPr>
        <w:t>NCT05332561 Genomics Guided Targeted Post-neoadjuvant Therapy in Patients With Early Breast Cancer - a Multicenter, Open-label, Umbrella Phase-II Study - COGNITION-GUIDE</w:t>
      </w:r>
    </w:p>
    <w:p>
      <w:pPr>
        <w:spacing w:before="0" w:after="80" w:line="276" w:lineRule="auto"/>
        <w:jc w:val="left"/>
      </w:pPr>
      <w:r>
        <w:rPr>
          <w:rFonts w:ascii="Calibri" w:hAnsi="Calibri"/>
          <w:color w:val="333333"/>
          <w:sz w:val="18"/>
        </w:rPr>
        <w:t>II</w:t>
      </w:r>
    </w:p>
    <w:p>
      <w:pPr>
        <w:spacing w:before="353" w:after="80" w:line="276" w:lineRule="auto"/>
        <w:jc w:val="left"/>
      </w:pPr>
      <w:r>
        <w:rPr>
          <w:rFonts w:ascii="Calibri" w:hAnsi="Calibri"/>
          <w:color w:val="333333"/>
          <w:sz w:val="18"/>
        </w:rPr>
        <w:t>NCT05810870 Phase II Study for Patients With Advanced Triple Negative or Metaplastic HR-positive/HER2-negative, PIK3CA/PTEN-altered Breast Cancer Treated With Eribulin in Combination With MEN1611</w:t>
      </w:r>
    </w:p>
    <w:p>
      <w:pPr>
        <w:spacing w:before="0" w:after="80" w:line="276" w:lineRule="auto"/>
        <w:jc w:val="left"/>
      </w:pPr>
      <w:r>
        <w:rPr>
          <w:rFonts w:ascii="Calibri" w:hAnsi="Calibri"/>
          <w:color w:val="333333"/>
          <w:sz w:val="18"/>
        </w:rPr>
        <w:t>II</w:t>
      </w:r>
    </w:p>
    <w:p>
      <w:pPr>
        <w:spacing w:before="353" w:after="80" w:line="276" w:lineRule="auto"/>
        <w:jc w:val="left"/>
      </w:pPr>
      <w:r>
        <w:rPr>
          <w:rFonts w:ascii="Calibri" w:hAnsi="Calibri"/>
          <w:color w:val="333333"/>
          <w:sz w:val="18"/>
        </w:rPr>
        <w:t>NCT05594095 Precision Platform Study of HR+/ HER2-advanced Breast Cancer Based on SNF Typing (A Prospective, Open-label, Multi-center, Phase II Platform Study)</w:t>
      </w:r>
    </w:p>
    <w:p>
      <w:pPr>
        <w:spacing w:before="0" w:after="80" w:line="276" w:lineRule="auto"/>
        <w:jc w:val="left"/>
      </w:pPr>
      <w:r>
        <w:rPr>
          <w:rFonts w:ascii="Calibri" w:hAnsi="Calibri"/>
          <w:color w:val="333333"/>
          <w:sz w:val="18"/>
        </w:rPr>
        <w:t>II</w:t>
      </w:r>
    </w:p>
    <w:p>
      <w:pPr>
        <w:spacing w:before="353" w:after="80" w:line="276" w:lineRule="auto"/>
        <w:jc w:val="left"/>
      </w:pPr>
      <w:r>
        <w:rPr>
          <w:rFonts w:ascii="Calibri" w:hAnsi="Calibri"/>
          <w:color w:val="333333"/>
          <w:sz w:val="18"/>
        </w:rPr>
        <w:t>NCT05563220 A Phase Ib/II, Open-Label Umbrella Study To Evaluate Safety And Efficacy Of Elacestrant In Various Combination In Patients With Metastatic Breast Cancer</w:t>
      </w:r>
    </w:p>
    <w:p>
      <w:pPr>
        <w:spacing w:before="0" w:after="80" w:line="276" w:lineRule="auto"/>
        <w:jc w:val="left"/>
      </w:pPr>
      <w:r>
        <w:rPr>
          <w:rFonts w:ascii="Calibri" w:hAnsi="Calibri"/>
          <w:color w:val="333333"/>
          <w:sz w:val="18"/>
        </w:rPr>
        <w:t>I/II</w:t>
      </w:r>
    </w:p>
    <w:p>
      <w:pPr>
        <w:spacing w:before="353" w:after="80" w:line="276" w:lineRule="auto"/>
        <w:jc w:val="left"/>
      </w:pPr>
      <w:r>
        <w:rPr>
          <w:rFonts w:ascii="Calibri" w:hAnsi="Calibri"/>
          <w:color w:val="333333"/>
          <w:sz w:val="18"/>
        </w:rPr>
        <w:t>NCT05455619 Study to Assess the Safety and Efficacy of Evexomostat (SDX-7320) in Combination With A PI3K or Akt Inhibitor Plus Fulvestrant in Patients With HR+, HER2-, Metastatic Breast Cancer With PI3K Pathway Alteration(s)</w:t>
      </w:r>
    </w:p>
    <w:p>
      <w:pPr>
        <w:spacing w:before="0" w:after="80" w:line="276" w:lineRule="auto"/>
        <w:jc w:val="left"/>
      </w:pPr>
      <w:r>
        <w:rPr>
          <w:rFonts w:ascii="Calibri" w:hAnsi="Calibri"/>
          <w:color w:val="333333"/>
          <w:sz w:val="18"/>
        </w:rPr>
        <w:t>I/II</w:t>
      </w:r>
    </w:p>
    <w:p>
      <w:pPr>
        <w:spacing w:before="360" w:after="80" w:line="276" w:lineRule="auto"/>
        <w:jc w:val="left"/>
      </w:pPr>
      <w:r>
        <w:rPr>
          <w:rFonts w:ascii="Calibri" w:hAnsi="Calibri"/>
          <w:color w:val="333333"/>
          <w:sz w:val="18"/>
        </w:rPr>
        <w:t>NCT06208410 A Clinical Study of JS105 in Combination With Other Anti-tumor Therapies in Patients With Advanced Solid Tumors</w:t>
      </w:r>
    </w:p>
    <w:p>
      <w:pPr>
        <w:spacing w:before="0" w:after="80" w:line="276" w:lineRule="auto"/>
        <w:jc w:val="left"/>
      </w:pPr>
      <w:r>
        <w:rPr>
          <w:rFonts w:ascii="Calibri" w:hAnsi="Calibri"/>
          <w:color w:val="333333"/>
          <w:sz w:val="18"/>
        </w:rPr>
        <w:t>I/II</w:t>
      </w:r>
    </w:p>
    <w:p>
      <w:pPr>
        <w:spacing w:before="353" w:after="80" w:line="276" w:lineRule="auto"/>
        <w:jc w:val="left"/>
      </w:pPr>
      <w:r>
        <w:rPr>
          <w:rFonts w:ascii="Calibri" w:hAnsi="Calibri"/>
          <w:color w:val="333333"/>
          <w:sz w:val="18"/>
        </w:rPr>
        <w:t>NCT04856371 A Multicenter, Open-label, Phase Ib Study to Evaluate the Safety, Tolerability, Pharmacokinetics and Preliminary Efficacy of CYH33 in Combination With Endocrine Therapy With or Without Palbociclib in Patients With PIK3CA Mutant, HR+, HER2- Advanced Breast Cancer.</w:t>
      </w:r>
    </w:p>
    <w:p>
      <w:pPr>
        <w:spacing w:before="0" w:after="80" w:line="276" w:lineRule="auto"/>
        <w:jc w:val="left"/>
      </w:pPr>
      <w:r>
        <w:rPr>
          <w:rFonts w:ascii="Calibri" w:hAnsi="Calibri"/>
          <w:color w:val="333333"/>
          <w:sz w:val="18"/>
        </w:rPr>
        <w:t>I</w:t>
      </w:r>
    </w:p>
    <w:p>
      <w:pPr>
        <w:spacing w:before="360" w:after="80" w:line="276" w:lineRule="auto"/>
        <w:jc w:val="right"/>
      </w:pPr>
      <w:r>
        <w:rPr>
          <w:rFonts w:ascii="Calibri" w:hAnsi="Calibri"/>
          <w:color w:val="333333"/>
          <w:sz w:val="20"/>
        </w:rPr>
        <w:t>For queries please call on 9586177755</w:t>
      </w:r>
    </w:p>
    <w:p>
      <w:pPr>
        <w:spacing w:before="207" w:after="80" w:line="276" w:lineRule="auto"/>
        <w:jc w:val="left"/>
      </w:pPr>
      <w:r>
        <w:rPr>
          <w:rFonts w:ascii="Calibri" w:hAnsi="Calibri"/>
          <w:color w:val="333333"/>
          <w:sz w:val="14"/>
        </w:rPr>
        <w:t>Disclaimer:  The data presented here are from a curated knowledge base of publicly available information, but may not be exhaustive. The data version is 2025.06(006).</w:t>
      </w:r>
    </w:p>
    <w:p>
      <w:pPr>
        <w:sectPr>
          <w:headerReference w:type="default" r:id="rId35"/>
          <w:footerReference w:type="default" r:id="rId36"/>
          <w:pgSz w:w="11906" w:h="16838"/>
          <w:pgMar w:top="1728"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21" name="Picture 2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val="0"/>
          <w:color w:val="262262"/>
          <w:sz w:val="26"/>
        </w:rPr>
        <w:t>Clinical Trials Summary (continued)</w:t>
      </w:r>
    </w:p>
    <w:p>
      <w:pPr>
        <w:keepNext/>
        <w:spacing w:before="247" w:after="80"/>
        <w:jc w:val="left"/>
      </w:pPr>
      <w:r>
        <w:rPr>
          <w:rFonts w:ascii="Calibri" w:hAnsi="Calibri"/>
          <w:b/>
          <w:i w:val="0"/>
          <w:color w:val="FFFFFF"/>
          <w:sz w:val="24"/>
        </w:rPr>
        <w:t>PIK3CA p.(C420R) c.1258T&gt;C (continued)</w:t>
      </w:r>
    </w:p>
    <w:p>
      <w:pPr>
        <w:keepNext/>
        <w:spacing w:before="354" w:after="60"/>
        <w:jc w:val="left"/>
      </w:pPr>
      <w:r>
        <w:rPr>
          <w:rFonts w:ascii="Calibri" w:hAnsi="Calibri"/>
          <w:b/>
          <w:i w:val="0"/>
          <w:color w:val="333333"/>
          <w:sz w:val="16"/>
        </w:rPr>
        <w:t>NCT ID Title Phase</w:t>
      </w:r>
    </w:p>
    <w:p>
      <w:pPr>
        <w:spacing w:before="116" w:after="80" w:line="276" w:lineRule="auto"/>
        <w:jc w:val="left"/>
      </w:pPr>
      <w:r>
        <w:rPr>
          <w:rFonts w:ascii="Calibri" w:hAnsi="Calibri"/>
          <w:color w:val="333333"/>
          <w:sz w:val="18"/>
        </w:rPr>
        <w:t>NCT05504213 A Phase Ib, Open-label, Multicenter Study to Evaluate Safety, Tolerability, Pharmacokinetics, and Efficacy of HS-10352 in Combination With Fulvestrant in Patients With Hormone Receptor (HR) Positive, Human Epidermal Growth Factor 2 (HER2)-Negative, PIK3CA Mutation, Locally Advanced or Metastatic Breast Cancer</w:t>
      </w:r>
    </w:p>
    <w:p>
      <w:pPr>
        <w:spacing w:before="0" w:after="80" w:line="276" w:lineRule="auto"/>
        <w:jc w:val="left"/>
      </w:pPr>
      <w:r>
        <w:rPr>
          <w:rFonts w:ascii="Calibri" w:hAnsi="Calibri"/>
          <w:color w:val="333333"/>
          <w:sz w:val="18"/>
        </w:rPr>
        <w:t>I</w:t>
      </w:r>
    </w:p>
    <w:p>
      <w:pPr>
        <w:spacing w:before="360" w:after="80" w:line="276" w:lineRule="auto"/>
        <w:jc w:val="left"/>
      </w:pPr>
      <w:r>
        <w:rPr>
          <w:rFonts w:ascii="Calibri" w:hAnsi="Calibri"/>
          <w:color w:val="333333"/>
          <w:sz w:val="18"/>
        </w:rPr>
        <w:t>No NCT ID A Phase Ib, Open-label, Dose-escalation and Dose-expansion Study Evaluating the Safety, Tolerability, Pharmacokinetics, and Preliminary Antitumor Activity of Inavolisib in Combination with Paclitaxel in Patients with Locally Advanced or Metastatic Solid Tumors</w:t>
      </w:r>
    </w:p>
    <w:p>
      <w:pPr>
        <w:spacing w:before="0" w:after="80" w:line="276" w:lineRule="auto"/>
        <w:jc w:val="left"/>
      </w:pPr>
      <w:r>
        <w:rPr>
          <w:rFonts w:ascii="Calibri" w:hAnsi="Calibri"/>
          <w:color w:val="333333"/>
          <w:sz w:val="18"/>
        </w:rPr>
        <w:t>I</w:t>
      </w:r>
    </w:p>
    <w:p>
      <w:pPr>
        <w:spacing w:before="360" w:after="80" w:line="276" w:lineRule="auto"/>
        <w:jc w:val="left"/>
      </w:pPr>
      <w:r>
        <w:rPr>
          <w:rFonts w:ascii="Calibri" w:hAnsi="Calibri"/>
          <w:color w:val="333333"/>
          <w:sz w:val="18"/>
        </w:rPr>
        <w:t>NCT05216432 A First-in-Human Study of Mutant-selective PI3Kα Inhibitor, RLY-2608, As a Single Agent in Advanced Solid Tumor Patients and in Combination with Fulvestrant in Patients with Advanced Breast Cancer</w:t>
      </w:r>
    </w:p>
    <w:p>
      <w:pPr>
        <w:spacing w:before="0" w:after="80" w:line="276" w:lineRule="auto"/>
        <w:jc w:val="left"/>
      </w:pPr>
      <w:r>
        <w:rPr>
          <w:rFonts w:ascii="Calibri" w:hAnsi="Calibri"/>
          <w:color w:val="333333"/>
          <w:sz w:val="18"/>
        </w:rPr>
        <w:t>I</w:t>
      </w:r>
    </w:p>
    <w:p>
      <w:pPr>
        <w:spacing w:before="353" w:after="80" w:line="276" w:lineRule="auto"/>
        <w:jc w:val="left"/>
      </w:pPr>
      <w:r>
        <w:rPr>
          <w:rFonts w:ascii="Calibri" w:hAnsi="Calibri"/>
          <w:color w:val="333333"/>
          <w:sz w:val="18"/>
        </w:rPr>
        <w:t>NCT05683418 A Study to Evaluate the Safety and Tolerability of the Covalent Phosphoinositide-3-Kinase (PI3K)-alpha Inhibitor, TOS-358, in Adult Subjects with Select Solid Tumors</w:t>
      </w:r>
    </w:p>
    <w:p>
      <w:pPr>
        <w:spacing w:before="0" w:after="80" w:line="276" w:lineRule="auto"/>
        <w:jc w:val="left"/>
      </w:pPr>
      <w:r>
        <w:rPr>
          <w:rFonts w:ascii="Calibri" w:hAnsi="Calibri"/>
          <w:color w:val="333333"/>
          <w:sz w:val="18"/>
        </w:rPr>
        <w:t>I</w:t>
      </w:r>
    </w:p>
    <w:p>
      <w:pPr>
        <w:spacing w:before="353" w:after="80" w:line="276" w:lineRule="auto"/>
        <w:jc w:val="left"/>
      </w:pPr>
      <w:r>
        <w:rPr>
          <w:rFonts w:ascii="Calibri" w:hAnsi="Calibri"/>
          <w:color w:val="333333"/>
          <w:sz w:val="18"/>
        </w:rPr>
        <w:t>NCT04851613 A Phase Ib/III Study to Evaluate the Efficacy and Safety of Afuresertib Plus Fulvestrant in Patients With Locally Advanced or Metastatic HR+/HER2- Breast Cancer Who Failed Standard of Care Therapies</w:t>
      </w:r>
    </w:p>
    <w:p>
      <w:pPr>
        <w:spacing w:before="0" w:after="80" w:line="276" w:lineRule="auto"/>
        <w:jc w:val="left"/>
      </w:pPr>
      <w:r>
        <w:rPr>
          <w:rFonts w:ascii="Calibri" w:hAnsi="Calibri"/>
          <w:color w:val="333333"/>
          <w:sz w:val="18"/>
        </w:rPr>
        <w:t>I</w:t>
      </w:r>
    </w:p>
    <w:p>
      <w:pPr>
        <w:spacing w:before="353" w:after="80" w:line="276" w:lineRule="auto"/>
        <w:jc w:val="left"/>
      </w:pPr>
      <w:r>
        <w:rPr>
          <w:rFonts w:ascii="Calibri" w:hAnsi="Calibri"/>
          <w:color w:val="333333"/>
          <w:sz w:val="18"/>
        </w:rPr>
        <w:t>NCT04355858 Precision Treatment of Luminal Advanced Breast Cancer Based on Molecular Subtyping II</w:t>
      </w:r>
    </w:p>
    <w:p>
      <w:pPr>
        <w:spacing w:before="137" w:after="80" w:line="276" w:lineRule="auto"/>
        <w:jc w:val="left"/>
      </w:pPr>
      <w:r>
        <w:rPr>
          <w:rFonts w:ascii="Calibri" w:hAnsi="Calibri"/>
          <w:color w:val="333333"/>
          <w:sz w:val="18"/>
        </w:rPr>
        <w:t>NCT06736704 A Phase 1, Open-Label Dose Escalation and Expansion Study of SNV4818 As Monotherapy or in Combination with Other Anticancer Agents in Participants with Advanced Solid Tumors</w:t>
      </w:r>
    </w:p>
    <w:p>
      <w:pPr>
        <w:spacing w:before="0" w:after="80" w:line="276" w:lineRule="auto"/>
        <w:jc w:val="left"/>
      </w:pPr>
      <w:r>
        <w:rPr>
          <w:rFonts w:ascii="Calibri" w:hAnsi="Calibri"/>
          <w:color w:val="333333"/>
          <w:sz w:val="18"/>
        </w:rPr>
        <w:t>I</w:t>
      </w:r>
    </w:p>
    <w:p>
      <w:pPr>
        <w:spacing w:before="353" w:after="80" w:line="276" w:lineRule="auto"/>
        <w:jc w:val="left"/>
      </w:pPr>
      <w:r>
        <w:rPr>
          <w:rFonts w:ascii="Calibri" w:hAnsi="Calibri"/>
          <w:color w:val="333333"/>
          <w:sz w:val="18"/>
        </w:rPr>
        <w:t>NCT03239015 Efficacy and Safety of Precision Therapy in Refractory Tumor (Long March Pathway) II</w:t>
      </w:r>
    </w:p>
    <w:p>
      <w:pPr>
        <w:spacing w:before="137" w:after="80" w:line="276" w:lineRule="auto"/>
        <w:jc w:val="left"/>
      </w:pPr>
      <w:r>
        <w:rPr>
          <w:rFonts w:ascii="Calibri" w:hAnsi="Calibri"/>
          <w:color w:val="333333"/>
          <w:sz w:val="18"/>
        </w:rPr>
        <w:t>NCT06496568 A Phase I/Ib Study Evaluating Single-Agent Inavolisib and Inavolisib Plus Atezolizumab in PIK3CA- Mutated Cancers</w:t>
      </w:r>
    </w:p>
    <w:p>
      <w:pPr>
        <w:spacing w:before="0" w:after="80" w:line="276" w:lineRule="auto"/>
        <w:jc w:val="left"/>
      </w:pPr>
      <w:r>
        <w:rPr>
          <w:rFonts w:ascii="Calibri" w:hAnsi="Calibri"/>
          <w:color w:val="333333"/>
          <w:sz w:val="18"/>
        </w:rPr>
        <w:t>I</w:t>
      </w:r>
    </w:p>
    <w:p>
      <w:pPr>
        <w:spacing w:before="353" w:after="80" w:line="276" w:lineRule="auto"/>
        <w:jc w:val="left"/>
      </w:pPr>
      <w:r>
        <w:rPr>
          <w:rFonts w:ascii="Calibri" w:hAnsi="Calibri"/>
          <w:color w:val="333333"/>
          <w:sz w:val="18"/>
        </w:rPr>
        <w:t>NCT05039801 A Phase I Open-Label, Dose-Escalation and Dose-Expansion Study to Investigate the Safety, Pharmacokinetics, and Anti-Tumor Activity of IACS-6274 as Monotherapy and in Combination in Patients With Advanced Solid Tumors</w:t>
      </w:r>
    </w:p>
    <w:p>
      <w:pPr>
        <w:spacing w:before="0" w:after="80" w:line="276" w:lineRule="auto"/>
        <w:jc w:val="left"/>
      </w:pPr>
      <w:r>
        <w:rPr>
          <w:rFonts w:ascii="Calibri" w:hAnsi="Calibri"/>
          <w:color w:val="333333"/>
          <w:sz w:val="18"/>
        </w:rPr>
        <w:t>I</w:t>
      </w:r>
    </w:p>
    <w:p>
      <w:pPr>
        <w:spacing w:before="360" w:after="80" w:line="276" w:lineRule="auto"/>
        <w:jc w:val="left"/>
      </w:pPr>
      <w:r>
        <w:rPr>
          <w:rFonts w:ascii="Calibri" w:hAnsi="Calibri"/>
          <w:color w:val="333333"/>
          <w:sz w:val="18"/>
        </w:rPr>
        <w:t>No NCT ID Phase I/Ib Clinical Study of the Safety, Tolerability, Pharmacokinetics and Preliminary Efficacy and Indication Cohort Expansion of the Selective PI3Kα Inhibitor RP903 (Also Known as JS105) in Patients with Advanced Malignancies</w:t>
      </w:r>
    </w:p>
    <w:p>
      <w:pPr>
        <w:spacing w:before="0" w:after="80" w:line="276" w:lineRule="auto"/>
        <w:jc w:val="left"/>
      </w:pPr>
      <w:r>
        <w:rPr>
          <w:rFonts w:ascii="Calibri" w:hAnsi="Calibri"/>
          <w:color w:val="333333"/>
          <w:sz w:val="18"/>
        </w:rPr>
        <w:t>I</w:t>
      </w:r>
    </w:p>
    <w:p>
      <w:pPr>
        <w:spacing w:before="360" w:after="80" w:line="276" w:lineRule="auto"/>
        <w:jc w:val="left"/>
      </w:pPr>
      <w:r>
        <w:rPr>
          <w:rFonts w:ascii="Calibri" w:hAnsi="Calibri"/>
          <w:color w:val="333333"/>
          <w:sz w:val="18"/>
        </w:rPr>
        <w:t>NCT03065062 Phase I Study of the CDK4/6 Inhibitor Palbociclib (PD-0332991) in Combination With the PI3K/mTOR Inhibitor Gedatolisib (PF-05212384) for Patients With Advanced Squamous Cell Lung, Pancreatic, Head &amp; Neck and Other Solid Tumors</w:t>
      </w:r>
    </w:p>
    <w:p>
      <w:pPr>
        <w:spacing w:before="0" w:after="80" w:line="276" w:lineRule="auto"/>
        <w:jc w:val="left"/>
      </w:pPr>
      <w:r>
        <w:rPr>
          <w:rFonts w:ascii="Calibri" w:hAnsi="Calibri"/>
          <w:color w:val="333333"/>
          <w:sz w:val="18"/>
        </w:rPr>
        <w:t>I</w:t>
      </w:r>
    </w:p>
    <w:p>
      <w:pPr>
        <w:spacing w:before="360" w:after="80" w:line="276" w:lineRule="auto"/>
        <w:jc w:val="left"/>
      </w:pPr>
      <w:r>
        <w:rPr>
          <w:rFonts w:ascii="Calibri" w:hAnsi="Calibri"/>
          <w:color w:val="333333"/>
          <w:sz w:val="18"/>
        </w:rPr>
        <w:t>NCT05944237 A Cancer Research UK Phase I/IIa Trial of HTL0039732, Given Orally as Monotherapy and in Combination With Immunotherapy or Other Approved Therapies in Participants With Advanced Solid Tumours</w:t>
      </w:r>
    </w:p>
    <w:p>
      <w:pPr>
        <w:spacing w:before="0" w:after="80" w:line="276" w:lineRule="auto"/>
        <w:jc w:val="left"/>
      </w:pPr>
      <w:r>
        <w:rPr>
          <w:rFonts w:ascii="Calibri" w:hAnsi="Calibri"/>
          <w:color w:val="333333"/>
          <w:sz w:val="18"/>
        </w:rPr>
        <w:t>I/II</w:t>
      </w:r>
    </w:p>
    <w:p>
      <w:pPr>
        <w:spacing w:before="360" w:after="80" w:line="276" w:lineRule="auto"/>
        <w:jc w:val="right"/>
      </w:pPr>
      <w:r>
        <w:rPr>
          <w:rFonts w:ascii="Calibri" w:hAnsi="Calibri"/>
          <w:color w:val="333333"/>
          <w:sz w:val="20"/>
        </w:rPr>
        <w:t>For queries please call on 9586177755</w:t>
      </w:r>
    </w:p>
    <w:p>
      <w:pPr>
        <w:spacing w:before="207" w:after="80" w:line="276" w:lineRule="auto"/>
        <w:jc w:val="left"/>
      </w:pPr>
      <w:r>
        <w:rPr>
          <w:rFonts w:ascii="Calibri" w:hAnsi="Calibri"/>
          <w:color w:val="333333"/>
          <w:sz w:val="14"/>
        </w:rPr>
        <w:t>Disclaimer:  The data presented here are from a curated knowledge base of publicly available information, but may not be exhaustive. The data version is 2025.06(006).</w:t>
      </w:r>
    </w:p>
    <w:p>
      <w:pPr>
        <w:sectPr>
          <w:headerReference w:type="default" r:id="rId37"/>
          <w:footerReference w:type="default" r:id="rId38"/>
          <w:pgSz w:w="11906" w:h="16838"/>
          <w:pgMar w:top="1728"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22" name="Picture 2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val="0"/>
          <w:color w:val="262262"/>
          <w:sz w:val="26"/>
        </w:rPr>
        <w:t>Biomarker Descriptions</w:t>
      </w:r>
    </w:p>
    <w:p>
      <w:pPr>
        <w:keepNext/>
        <w:spacing w:before="0" w:after="60"/>
        <w:jc w:val="left"/>
      </w:pPr>
      <w:r>
        <w:rPr>
          <w:rFonts w:ascii="Calibri" w:hAnsi="Calibri"/>
          <w:b/>
          <w:i w:val="0"/>
          <w:color w:val="333333"/>
          <w:sz w:val="18"/>
        </w:rPr>
        <w:t>PIK3CA p.(C420R) c.1258T&gt;C</w:t>
      </w:r>
    </w:p>
    <w:p>
      <w:pPr>
        <w:keepNext/>
        <w:spacing w:before="177" w:after="60"/>
        <w:jc w:val="left"/>
      </w:pPr>
      <w:r>
        <w:rPr>
          <w:rFonts w:ascii="Calibri" w:hAnsi="Calibri"/>
          <w:b/>
          <w:i/>
          <w:color w:val="333333"/>
          <w:sz w:val="18"/>
        </w:rPr>
        <w:t>phosphatidylinositol-4,5-bisphosphate 3-kinase catalytic subunit alpha</w:t>
      </w:r>
    </w:p>
    <w:p>
      <w:pPr>
        <w:spacing w:before="0" w:after="177"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Background</w:t>
            </w:r>
          </w:p>
        </w:tc>
        <w:tc>
          <w:tcPr>
            <w:tcW w:type="dxa" w:w="3168"/>
            <w:tcMar>
              <w:top w:w="20" w:type="dxa"/>
              <w:bottom w:w="20" w:type="dxa"/>
              <w:start w:w="40" w:type="dxa"/>
              <w:end w:w="40" w:type="dxa"/>
            </w:tcMar>
          </w:tcPr>
          <w:p>
            <w:r>
              <w:rPr>
                <w:rFonts w:ascii="Times New Roman" w:hAnsi="Times New Roman"/>
                <w:color w:val="000000"/>
                <w:sz w:val="20"/>
              </w:rPr>
              <w:t>The PIK3CA gene encodes the phosphatidylinositol-4,5-bisphosphate 3-kinase catalytic subunit alpha of the class I</w:t>
            </w:r>
          </w:p>
        </w:tc>
        <w:tc>
          <w:tcPr>
            <w:tcW w:type="dxa" w:w="1440"/>
            <w:tcMar>
              <w:top w:w="20" w:type="dxa"/>
              <w:bottom w:w="20" w:type="dxa"/>
              <w:start w:w="40" w:type="dxa"/>
              <w:end w:w="40" w:type="dxa"/>
            </w:tcMar>
          </w:tcPr>
          <w:p>
            <w:r>
              <w:rPr>
                <w:rFonts w:ascii="Times New Roman" w:hAnsi="Times New Roman"/>
                <w:b/>
                <w:color w:val="000000"/>
                <w:sz w:val="20"/>
              </w:rPr>
              <w:t>Alterations and prevalence</w:t>
            </w:r>
          </w:p>
        </w:tc>
        <w:tc>
          <w:tcPr>
            <w:tcW w:type="dxa" w:w="3168"/>
            <w:tcMar>
              <w:top w:w="20" w:type="dxa"/>
              <w:bottom w:w="20" w:type="dxa"/>
              <w:start w:w="40" w:type="dxa"/>
              <w:end w:w="40" w:type="dxa"/>
            </w:tcMar>
          </w:tcPr>
          <w:p>
            <w:r>
              <w:rPr>
                <w:rFonts w:ascii="Times New Roman" w:hAnsi="Times New Roman"/>
                <w:color w:val="000000"/>
                <w:sz w:val="20"/>
              </w:rPr>
              <w:t>Recurrent somatic activating mutations in PIK3CA are common in diverse cancers and are observed</w:t>
            </w:r>
          </w:p>
        </w:tc>
      </w:tr>
      <w:tr>
        <w:trPr>
          <w:cantSplit w:val="true"/>
        </w:trPr>
        <w:tc>
          <w:tcPr>
            <w:tcW w:type="dxa" w:w="1440"/>
            <w:tcMar>
              <w:top w:w="20" w:type="dxa"/>
              <w:bottom w:w="20" w:type="dxa"/>
              <w:start w:w="40" w:type="dxa"/>
              <w:end w:w="40" w:type="dxa"/>
            </w:tcMar>
          </w:tcPr>
          <w:p>
            <w:r>
              <w:rPr>
                <w:rFonts w:ascii="Times New Roman" w:hAnsi="Times New Roman"/>
                <w:b/>
                <w:color w:val="000000"/>
                <w:sz w:val="20"/>
              </w:rPr>
              <w:t>Potential relevance</w:t>
            </w:r>
          </w:p>
        </w:tc>
        <w:tc>
          <w:tcPr>
            <w:tcW w:type="dxa" w:w="3168"/>
            <w:tcMar>
              <w:top w:w="20" w:type="dxa"/>
              <w:bottom w:w="20" w:type="dxa"/>
              <w:start w:w="40" w:type="dxa"/>
              <w:end w:w="40" w:type="dxa"/>
            </w:tcMar>
          </w:tcPr>
          <w:p>
            <w:r>
              <w:rPr>
                <w:rFonts w:ascii="Times New Roman" w:hAnsi="Times New Roman"/>
                <w:color w:val="000000"/>
                <w:sz w:val="20"/>
              </w:rPr>
              <w:t>The PI3K inhibitor, alpelisib 18 , is FDA-approved (2019) in combination with fulvestrant for the treatment of patients</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360" w:after="80" w:line="276" w:lineRule="auto"/>
        <w:jc w:val="right"/>
      </w:pPr>
      <w:r>
        <w:rPr>
          <w:rFonts w:ascii="Calibri" w:hAnsi="Calibri"/>
          <w:color w:val="333333"/>
          <w:sz w:val="20"/>
        </w:rPr>
        <w:t>For queries please call on 9586177755</w:t>
      </w:r>
    </w:p>
    <w:p>
      <w:pPr>
        <w:spacing w:before="207" w:after="80" w:line="276" w:lineRule="auto"/>
        <w:jc w:val="left"/>
      </w:pPr>
      <w:r>
        <w:rPr>
          <w:rFonts w:ascii="Calibri" w:hAnsi="Calibri"/>
          <w:color w:val="333333"/>
          <w:sz w:val="14"/>
        </w:rPr>
        <w:t>Disclaimer:  The data presented here are from a curated knowledge base of publicly available information, but may not be exhaustive. The data version is 2025.06(006).</w:t>
      </w:r>
    </w:p>
    <w:p>
      <w:pPr>
        <w:sectPr>
          <w:headerReference w:type="default" r:id="rId39"/>
          <w:footerReference w:type="default" r:id="rId40"/>
          <w:pgSz w:w="11906" w:h="16838"/>
          <w:pgMar w:top="1728"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23" name="Picture 2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val="0"/>
          <w:color w:val="262262"/>
          <w:sz w:val="26"/>
        </w:rPr>
        <w:t>References</w:t>
      </w:r>
    </w:p>
    <w:p>
      <w:pPr>
        <w:spacing w:before="0" w:after="80" w:line="276" w:lineRule="auto"/>
        <w:jc w:val="left"/>
      </w:pPr>
      <w:r>
        <w:rPr>
          <w:rFonts w:ascii="Calibri" w:hAnsi="Calibri"/>
          <w:color w:val="333333"/>
          <w:sz w:val="18"/>
        </w:rPr>
        <w:t>1. Volinia et al. Molecular cloning, cDNA sequence, and chromosomal localization of the human phosphatidylinositol 3-kinase p110 alpha (PIK3CA) gene. Genomics. 1994 Dec;24(3):472-7. PMID: 7713498</w:t>
      </w:r>
    </w:p>
    <w:p>
      <w:pPr>
        <w:spacing w:before="57" w:after="80" w:line="276" w:lineRule="auto"/>
        <w:jc w:val="left"/>
      </w:pPr>
      <w:r>
        <w:rPr>
          <w:rFonts w:ascii="Calibri" w:hAnsi="Calibri"/>
          <w:color w:val="333333"/>
          <w:sz w:val="18"/>
        </w:rPr>
        <w:t>2. Whale et al. Functional characterization of a novel somatic oncogenic mutation of PIK3CB. Signal Transduct Target Ther. 2017;2:17063. PMID: 29279775</w:t>
      </w:r>
    </w:p>
    <w:p>
      <w:pPr>
        <w:spacing w:before="57" w:after="80" w:line="276" w:lineRule="auto"/>
        <w:jc w:val="left"/>
      </w:pPr>
      <w:r>
        <w:rPr>
          <w:rFonts w:ascii="Calibri" w:hAnsi="Calibri"/>
          <w:color w:val="333333"/>
          <w:sz w:val="18"/>
        </w:rPr>
        <w:t>3. Osaki et al. PI3K-Akt pathway: its functions and alterations in human cancer. Apoptosis. 2004 Nov;9(6):667-76. PMID: 15505410</w:t>
      </w:r>
    </w:p>
    <w:p>
      <w:pPr>
        <w:spacing w:before="57" w:after="80" w:line="276" w:lineRule="auto"/>
        <w:jc w:val="left"/>
      </w:pPr>
      <w:r>
        <w:rPr>
          <w:rFonts w:ascii="Calibri" w:hAnsi="Calibri"/>
          <w:color w:val="333333"/>
          <w:sz w:val="18"/>
        </w:rPr>
        <w:t>4. Cantley. The phosphoinositide 3-kinase pathway. Science. 2002 May 31;296(5573):1655-7. PMID: 12040186</w:t>
      </w:r>
    </w:p>
    <w:p>
      <w:pPr>
        <w:spacing w:before="57" w:after="80" w:line="276" w:lineRule="auto"/>
        <w:jc w:val="left"/>
      </w:pPr>
      <w:r>
        <w:rPr>
          <w:rFonts w:ascii="Calibri" w:hAnsi="Calibri"/>
          <w:color w:val="333333"/>
          <w:sz w:val="18"/>
        </w:rPr>
        <w:t>5. Fruman et al. The PI3K Pathway in Human Disease. Cell. 2017 Aug 10;170(4):605-635. PMID: 28802037</w:t>
      </w:r>
    </w:p>
    <w:p>
      <w:pPr>
        <w:spacing w:before="57" w:after="80" w:line="276" w:lineRule="auto"/>
        <w:jc w:val="left"/>
      </w:pPr>
      <w:r>
        <w:rPr>
          <w:rFonts w:ascii="Calibri" w:hAnsi="Calibri"/>
          <w:color w:val="333333"/>
          <w:sz w:val="18"/>
        </w:rPr>
        <w:t>6. Engelman et al. The evolution of phosphatidylinositol 3-kinases as regulators of growth and metabolism. Nat. Rev. Genet. 2006 Aug;7(8):606-19. PMID: 16847462</w:t>
      </w:r>
    </w:p>
    <w:p>
      <w:pPr>
        <w:spacing w:before="57" w:after="80" w:line="276" w:lineRule="auto"/>
        <w:jc w:val="left"/>
      </w:pPr>
      <w:r>
        <w:rPr>
          <w:rFonts w:ascii="Calibri" w:hAnsi="Calibri"/>
          <w:color w:val="333333"/>
          <w:sz w:val="18"/>
        </w:rPr>
        <w:t>7. Vanhaesebroeck et al. PI3K signalling: the path to discovery and understanding. Nat. Rev. Mol. Cell Biol. 2012 Feb 23;13(3):195-203. PMID: 22358332</w:t>
      </w:r>
    </w:p>
    <w:p>
      <w:pPr>
        <w:spacing w:before="57" w:after="80" w:line="276" w:lineRule="auto"/>
        <w:jc w:val="left"/>
      </w:pPr>
      <w:r>
        <w:rPr>
          <w:rFonts w:ascii="Calibri" w:hAnsi="Calibri"/>
          <w:color w:val="333333"/>
          <w:sz w:val="18"/>
        </w:rPr>
        <w:t>8. Yuan et al. PI3K pathway alterations in cancer: variations on a theme. Oncogene. 2008 Sep 18;27(41):5497-510. PMID: 18794884</w:t>
      </w:r>
    </w:p>
    <w:p>
      <w:pPr>
        <w:spacing w:before="57" w:after="80" w:line="276" w:lineRule="auto"/>
        <w:jc w:val="left"/>
      </w:pPr>
      <w:r>
        <w:rPr>
          <w:rFonts w:ascii="Calibri" w:hAnsi="Calibri"/>
          <w:color w:val="333333"/>
          <w:sz w:val="18"/>
        </w:rPr>
        <w:t>9. Liu et al. Targeting the phosphoinositide 3-kinase pathway in cancer. Nat Rev Drug Discov. 2009 Aug;8(8):627-44. PMID: 19644473</w:t>
      </w:r>
    </w:p>
    <w:p>
      <w:pPr>
        <w:spacing w:before="57" w:after="80" w:line="276" w:lineRule="auto"/>
        <w:jc w:val="left"/>
      </w:pPr>
      <w:r>
        <w:rPr>
          <w:rFonts w:ascii="Calibri" w:hAnsi="Calibri"/>
          <w:color w:val="333333"/>
          <w:sz w:val="18"/>
        </w:rPr>
        <w:t>10. Hanahan et al. Hallmarks of cancer: the next generation. Cell. 2011 Mar 4;144(5):646-74. PMID: 21376230</w:t>
      </w:r>
    </w:p>
    <w:p>
      <w:pPr>
        <w:spacing w:before="57" w:after="80" w:line="276" w:lineRule="auto"/>
        <w:jc w:val="left"/>
      </w:pPr>
      <w:r>
        <w:rPr>
          <w:rFonts w:ascii="Calibri" w:hAnsi="Calibri"/>
          <w:color w:val="333333"/>
          <w:sz w:val="18"/>
        </w:rPr>
        <w:t>11. Cerami et al. The cBio cancer genomics portal: an open platform for exploring multidimensional cancer genomics data. Cancer Discov. 2012 May;2(5):401-4. PMID: 22588877</w:t>
      </w:r>
    </w:p>
    <w:p>
      <w:pPr>
        <w:spacing w:before="57" w:after="80" w:line="276" w:lineRule="auto"/>
        <w:jc w:val="left"/>
      </w:pPr>
      <w:r>
        <w:rPr>
          <w:rFonts w:ascii="Calibri" w:hAnsi="Calibri"/>
          <w:color w:val="333333"/>
          <w:sz w:val="18"/>
        </w:rPr>
        <w:t>12. Weinstein et al. The Cancer Genome Atlas Pan-Cancer analysis project. Nat. Genet. 2013 Oct;45(10):1113-20. PMID: 24071849</w:t>
      </w:r>
    </w:p>
    <w:p>
      <w:pPr>
        <w:spacing w:before="57" w:after="80" w:line="276" w:lineRule="auto"/>
        <w:jc w:val="left"/>
      </w:pPr>
      <w:r>
        <w:rPr>
          <w:rFonts w:ascii="Calibri" w:hAnsi="Calibri"/>
          <w:color w:val="333333"/>
          <w:sz w:val="18"/>
        </w:rPr>
        <w:t>13. Brito et al. PIK3CA Mutations in Diffuse Gliomas: An Update on Molecular Stratification, Prognosis, Recurrence, and Aggressiveness. Clin Med Insights Oncol. 2022;16:11795549211068804. PMID: 35023985</w:t>
      </w:r>
    </w:p>
    <w:p>
      <w:pPr>
        <w:spacing w:before="57" w:after="80" w:line="276" w:lineRule="auto"/>
        <w:jc w:val="left"/>
      </w:pPr>
      <w:r>
        <w:rPr>
          <w:rFonts w:ascii="Calibri" w:hAnsi="Calibri"/>
          <w:color w:val="333333"/>
          <w:sz w:val="18"/>
        </w:rPr>
        <w:t>14. Huret et al. Atlas of genetics and cytogenetics in oncology and haematology in 2013. Nucleic Acids Res. 2013 Jan;41(Database issue):D920-4. PMID: 23161685</w:t>
      </w:r>
    </w:p>
    <w:p>
      <w:pPr>
        <w:spacing w:before="57" w:after="80" w:line="276" w:lineRule="auto"/>
        <w:jc w:val="left"/>
      </w:pPr>
      <w:r>
        <w:rPr>
          <w:rFonts w:ascii="Calibri" w:hAnsi="Calibri"/>
          <w:color w:val="333333"/>
          <w:sz w:val="18"/>
        </w:rPr>
        <w:t>15. Miled et al. Mechanism of two classes of cancer mutations in the phosphoinositide 3-kinase catalytic subunit. Science. 2007 Jul 13;317(5835):239-42. PMID: 17626883</w:t>
      </w:r>
    </w:p>
    <w:p>
      <w:pPr>
        <w:spacing w:before="57" w:after="80" w:line="276" w:lineRule="auto"/>
        <w:jc w:val="left"/>
      </w:pPr>
      <w:r>
        <w:rPr>
          <w:rFonts w:ascii="Calibri" w:hAnsi="Calibri"/>
          <w:color w:val="333333"/>
          <w:sz w:val="18"/>
        </w:rPr>
        <w:t>16. Burke et al. Synergy in activating class I PI3Ks. Trends Biochem. Sci. 2015 Feb;40(2):88-100. PMID: 25573003</w:t>
      </w:r>
    </w:p>
    <w:p>
      <w:pPr>
        <w:spacing w:before="57" w:after="80" w:line="276" w:lineRule="auto"/>
        <w:jc w:val="left"/>
      </w:pPr>
      <w:r>
        <w:rPr>
          <w:rFonts w:ascii="Calibri" w:hAnsi="Calibri"/>
          <w:color w:val="333333"/>
          <w:sz w:val="18"/>
        </w:rPr>
        <w:t>17. Burke et al. Oncogenic mutations mimic and enhance dynamic events in the natural activation of phosphoinositide 3-kinase p110α (PIK3CA). Proc. Natl. Acad. Sci. U.S.A. 2012 Sep 18;109(38):15259-64. PMID: 22949682</w:t>
      </w:r>
    </w:p>
    <w:p>
      <w:pPr>
        <w:spacing w:before="57" w:after="80" w:line="276" w:lineRule="auto"/>
        <w:jc w:val="left"/>
      </w:pPr>
      <w:r>
        <w:rPr>
          <w:rFonts w:ascii="Calibri" w:hAnsi="Calibri"/>
          <w:color w:val="333333"/>
          <w:sz w:val="18"/>
        </w:rPr>
        <w:t>18. https://www.accessdata.fda.gov/drugsatfda_docs/label/2024/212526s009lbl.pdf</w:t>
      </w:r>
    </w:p>
    <w:p>
      <w:pPr>
        <w:spacing w:before="57" w:after="80" w:line="276" w:lineRule="auto"/>
        <w:jc w:val="left"/>
      </w:pPr>
      <w:r>
        <w:rPr>
          <w:rFonts w:ascii="Calibri" w:hAnsi="Calibri"/>
          <w:color w:val="333333"/>
          <w:sz w:val="18"/>
        </w:rPr>
        <w:t>19. Mayer et al. A Phase Ib Study of Alpelisib (BYL719), a PI3Kα-Specific Inhibitor, with Letrozole in ER+/HER2- Metastatic Breast Cancer. Clin. Cancer Res. 2017 Jan 1;23(1):26-34. PMID: 27126994</w:t>
      </w:r>
    </w:p>
    <w:p>
      <w:pPr>
        <w:spacing w:before="57" w:after="80" w:line="276" w:lineRule="auto"/>
        <w:jc w:val="left"/>
      </w:pPr>
      <w:r>
        <w:rPr>
          <w:rFonts w:ascii="Calibri" w:hAnsi="Calibri"/>
          <w:color w:val="333333"/>
          <w:sz w:val="18"/>
        </w:rPr>
        <w:t>20. Mayer et al. A Phase II Randomized Study of Neoadjuvant Letrozole Plus Alpelisib for Hormone Receptor-Positive, Human Epidermal Growth Factor Receptor 2-Negative Breast Cancer (NEO-ORB). Clin. Cancer Res. 2019 Feb 5. PMID: 30723140</w:t>
      </w:r>
    </w:p>
    <w:p>
      <w:pPr>
        <w:spacing w:before="57" w:after="80" w:line="276" w:lineRule="auto"/>
        <w:jc w:val="left"/>
      </w:pPr>
      <w:r>
        <w:rPr>
          <w:rFonts w:ascii="Calibri" w:hAnsi="Calibri"/>
          <w:color w:val="333333"/>
          <w:sz w:val="18"/>
        </w:rPr>
        <w:t>21. https://www.accessdata.fda.gov/drugsatfda_docs/label/2025/218197s002lbl.pdf</w:t>
      </w:r>
    </w:p>
    <w:p>
      <w:pPr>
        <w:spacing w:before="57" w:after="80" w:line="276" w:lineRule="auto"/>
        <w:jc w:val="left"/>
      </w:pPr>
      <w:r>
        <w:rPr>
          <w:rFonts w:ascii="Calibri" w:hAnsi="Calibri"/>
          <w:color w:val="333333"/>
          <w:sz w:val="18"/>
        </w:rPr>
        <w:t>22. https://www.accessdata.fda.gov/drugsatfda_docs/label/2024/219249s000lbl.pdf</w:t>
      </w:r>
    </w:p>
    <w:p>
      <w:pPr>
        <w:spacing w:before="57" w:after="80" w:line="276" w:lineRule="auto"/>
        <w:jc w:val="left"/>
      </w:pPr>
      <w:r>
        <w:rPr>
          <w:rFonts w:ascii="Calibri" w:hAnsi="Calibri"/>
          <w:color w:val="333333"/>
          <w:sz w:val="18"/>
        </w:rPr>
        <w:t>23. Jung et al. Pilot study of sirolimus in patients with PIK3CA mutant/amplified refractory solid cancer. Mol Clin Oncol. 2017 Jul;7(1):27-31. PMID: 28685070</w:t>
      </w:r>
    </w:p>
    <w:p>
      <w:pPr>
        <w:spacing w:before="57" w:after="80" w:line="276" w:lineRule="auto"/>
        <w:jc w:val="left"/>
      </w:pPr>
      <w:r>
        <w:rPr>
          <w:rFonts w:ascii="Calibri" w:hAnsi="Calibri"/>
          <w:color w:val="333333"/>
          <w:sz w:val="18"/>
        </w:rPr>
        <w:t>24. Janku et al. PIK3CA mutations in patients with advanced cancers treated with PI3K/AKT/mTOR axis inhibitors. Mol. Cancer Ther. 2011 Mar;10(3):558-65. PMID: 21216929</w:t>
      </w:r>
    </w:p>
    <w:p>
      <w:pPr>
        <w:spacing w:before="360" w:after="80" w:line="276" w:lineRule="auto"/>
        <w:jc w:val="right"/>
      </w:pPr>
      <w:r>
        <w:rPr>
          <w:rFonts w:ascii="Calibri" w:hAnsi="Calibri"/>
          <w:color w:val="333333"/>
          <w:sz w:val="20"/>
        </w:rPr>
        <w:t>For queries please call on 9586177755</w:t>
      </w:r>
    </w:p>
    <w:p>
      <w:pPr>
        <w:spacing w:before="207" w:after="80" w:line="276" w:lineRule="auto"/>
        <w:jc w:val="left"/>
      </w:pPr>
      <w:r>
        <w:rPr>
          <w:rFonts w:ascii="Calibri" w:hAnsi="Calibri"/>
          <w:color w:val="333333"/>
          <w:sz w:val="14"/>
        </w:rPr>
        <w:t>Disclaimer:  The data presented here are from a curated knowledge base of publicly available information, but may not be exhaustive. The data version is 2025.06(006).</w:t>
      </w:r>
    </w:p>
    <w:sectPr w:rsidR="00FC693F" w:rsidRPr="0006063C" w:rsidSect="00034616">
      <w:headerReference w:type="default" r:id="rId41"/>
      <w:footerReference w:type="default" r:id="rId42"/>
      <w:pgSz w:w="11906" w:h="16838"/>
      <w:pgMar w:top="1728" w:right="720" w:bottom="80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image" Target="media/image4.png"/><Relationship Id="rId23" Type="http://schemas.openxmlformats.org/officeDocument/2006/relationships/header" Target="header6.xml"/><Relationship Id="rId24" Type="http://schemas.openxmlformats.org/officeDocument/2006/relationships/footer" Target="footer6.xml"/><Relationship Id="rId25" Type="http://schemas.openxmlformats.org/officeDocument/2006/relationships/header" Target="header7.xml"/><Relationship Id="rId26" Type="http://schemas.openxmlformats.org/officeDocument/2006/relationships/footer" Target="footer7.xml"/><Relationship Id="rId27" Type="http://schemas.openxmlformats.org/officeDocument/2006/relationships/header" Target="header8.xml"/><Relationship Id="rId28" Type="http://schemas.openxmlformats.org/officeDocument/2006/relationships/footer" Target="footer8.xml"/><Relationship Id="rId29" Type="http://schemas.openxmlformats.org/officeDocument/2006/relationships/header" Target="header9.xml"/><Relationship Id="rId30" Type="http://schemas.openxmlformats.org/officeDocument/2006/relationships/footer" Target="footer9.xml"/><Relationship Id="rId31" Type="http://schemas.openxmlformats.org/officeDocument/2006/relationships/header" Target="header10.xml"/><Relationship Id="rId32" Type="http://schemas.openxmlformats.org/officeDocument/2006/relationships/footer" Target="footer10.xml"/><Relationship Id="rId33" Type="http://schemas.openxmlformats.org/officeDocument/2006/relationships/header" Target="header11.xml"/><Relationship Id="rId34" Type="http://schemas.openxmlformats.org/officeDocument/2006/relationships/footer" Target="footer11.xml"/><Relationship Id="rId35" Type="http://schemas.openxmlformats.org/officeDocument/2006/relationships/header" Target="header12.xml"/><Relationship Id="rId36" Type="http://schemas.openxmlformats.org/officeDocument/2006/relationships/footer" Target="footer12.xml"/><Relationship Id="rId37" Type="http://schemas.openxmlformats.org/officeDocument/2006/relationships/header" Target="header13.xml"/><Relationship Id="rId38" Type="http://schemas.openxmlformats.org/officeDocument/2006/relationships/footer" Target="footer13.xml"/><Relationship Id="rId39" Type="http://schemas.openxmlformats.org/officeDocument/2006/relationships/header" Target="header14.xml"/><Relationship Id="rId40" Type="http://schemas.openxmlformats.org/officeDocument/2006/relationships/footer" Target="footer14.xml"/><Relationship Id="rId41" Type="http://schemas.openxmlformats.org/officeDocument/2006/relationships/header" Target="header15.xml"/><Relationship Id="rId42" Type="http://schemas.openxmlformats.org/officeDocument/2006/relationships/footer" Target="footer15.xml"/><Relationship Id="rId43" Type="http://schemas.openxmlformats.org/officeDocument/2006/relationships/header" Target="header16.xml"/><Relationship Id="rId44" Type="http://schemas.openxmlformats.org/officeDocument/2006/relationships/header" Target="header17.xml"/><Relationship Id="rId45" Type="http://schemas.openxmlformats.org/officeDocument/2006/relationships/footer" Target="footer16.xml"/><Relationship Id="rId46" Type="http://schemas.openxmlformats.org/officeDocument/2006/relationships/footer" Target="foot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