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00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8"/>
        </w:trPr>
        <w:tc>
          <w:tcPr>
            <w:tcW w:type="dxa" w:w="10320"/>
            <w:tcBorders>
              <w:top w:sz="6.0" w:val="single" w:color="#1F497D"/>
            </w:tcBorders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13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Test Result Summary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36.0" w:type="dxa"/>
      </w:tblPr>
      <w:tblGrid>
        <w:gridCol w:w="9038"/>
      </w:tblGrid>
      <w:tr>
        <w:trPr>
          <w:trHeight w:hRule="exact" w:val="522"/>
        </w:trPr>
        <w:tc>
          <w:tcPr>
            <w:tcW w:type="dxa" w:w="104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0" w:after="0"/>
              <w:ind w:left="23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POSITIVE Clinically relevant actionable variant was detected in KRAS gene</w:t>
            </w:r>
          </w:p>
        </w:tc>
      </w:tr>
    </w:tbl>
    <w:p>
      <w:pPr>
        <w:autoSpaceDN w:val="0"/>
        <w:autoSpaceDE w:val="0"/>
        <w:widowControl/>
        <w:spacing w:line="242" w:lineRule="auto" w:before="122" w:after="32"/>
        <w:ind w:left="0" w:right="0" w:firstLine="0"/>
        <w:jc w:val="center"/>
      </w:pP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TABLE 1: ALTERATIONS WITH STRONG CLINICAL PROGNOSTIC AND THERAPEUTIC SIGNIFICANCE IN PATIENT TUMOR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8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TYPE</w:t>
            </w:r>
          </w:p>
        </w:tc>
      </w:tr>
    </w:tbl>
    <w:p>
      <w:pPr>
        <w:autoSpaceDN w:val="0"/>
        <w:autoSpaceDE w:val="0"/>
        <w:widowControl/>
        <w:spacing w:line="2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8"/>
        </w:trPr>
        <w:tc>
          <w:tcPr>
            <w:tcW w:type="dxa" w:w="10320"/>
            <w:tcBorders>
              <w:top w:sz="6.0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13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*Refer to attachment for Clinical Trials</w:t>
            </w:r>
          </w:p>
        </w:tc>
      </w:tr>
    </w:tbl>
    <w:p>
      <w:pPr>
        <w:autoSpaceDN w:val="0"/>
        <w:autoSpaceDE w:val="0"/>
        <w:widowControl/>
        <w:spacing w:line="1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2"/>
        </w:trPr>
        <w:tc>
          <w:tcPr>
            <w:tcW w:type="dxa" w:w="10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TABLE 2: NON DRUGGABLE / DRUGGABLE ALTERATIONS WITH POTENTIAL CLINICAL AND THERAPEUTIC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92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2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SIGNIFICANCE IN OTHER TUMOR TYPES</w:t>
            </w:r>
          </w:p>
        </w:tc>
      </w:tr>
    </w:tbl>
    <w:p>
      <w:pPr>
        <w:autoSpaceDN w:val="0"/>
        <w:autoSpaceDE w:val="0"/>
        <w:widowControl/>
        <w:spacing w:line="2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6"/>
        </w:trPr>
        <w:tc>
          <w:tcPr>
            <w:tcW w:type="dxa" w:w="10320"/>
            <w:tcBorders>
              <w:top w:sz="6.0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13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TABLE 3: VARIANTS OF UNKNOWN SIGNIFICANCE</w:t>
            </w:r>
          </w:p>
        </w:tc>
      </w:tr>
    </w:tbl>
    <w:p>
      <w:pPr>
        <w:autoSpaceDN w:val="0"/>
        <w:autoSpaceDE w:val="0"/>
        <w:widowControl/>
        <w:spacing w:line="1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4"/>
        </w:trPr>
        <w:tc>
          <w:tcPr>
            <w:tcW w:type="dxa" w:w="10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*Genetic test results are reported based on the recommendations of AMP-ASCO-CAP guidelines. #Correlation of the</w:t>
            </w:r>
          </w:p>
        </w:tc>
      </w:tr>
    </w:tbl>
    <w:p>
      <w:pPr>
        <w:autoSpaceDN w:val="0"/>
        <w:autoSpaceDE w:val="0"/>
        <w:widowControl/>
        <w:spacing w:line="240" w:lineRule="auto" w:before="32" w:after="30"/>
        <w:ind w:left="972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>genetic findings with the clinical condition of the patient is required to arrive at an accurate diagnosis, prognosis 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506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2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therapeutic decisions.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8"/>
        </w:trPr>
        <w:tc>
          <w:tcPr>
            <w:tcW w:type="dxa" w:w="10320"/>
            <w:tcBorders>
              <w:top w:sz="6.0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13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Variant Classification as per AMP-ASCO-CAP Guidelines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518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Variant A change in a gene. This could be disease causing (pathogenic) or not disease causing (benign).</w:t>
            </w:r>
          </w:p>
        </w:tc>
      </w:tr>
    </w:tbl>
    <w:p>
      <w:pPr>
        <w:autoSpaceDN w:val="0"/>
        <w:autoSpaceDE w:val="0"/>
        <w:widowControl/>
        <w:spacing w:line="2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8"/>
        </w:trPr>
        <w:tc>
          <w:tcPr>
            <w:tcW w:type="dxa" w:w="10320"/>
            <w:tcBorders>
              <w:top w:sz="6.0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13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 I: Variants of Strong Clinical Significance</w:t>
            </w:r>
          </w:p>
        </w:tc>
      </w:tr>
    </w:tbl>
    <w:p>
      <w:pPr>
        <w:autoSpaceDN w:val="0"/>
        <w:autoSpaceDE w:val="0"/>
        <w:widowControl/>
        <w:spacing w:line="1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2"/>
        </w:trPr>
        <w:tc>
          <w:tcPr>
            <w:tcW w:type="dxa" w:w="10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Level A , biomarkers that predict response or resistance to US FDA-approved therapies for a specific type of tumor or</w:t>
            </w:r>
          </w:p>
        </w:tc>
      </w:tr>
    </w:tbl>
    <w:p>
      <w:pPr>
        <w:autoSpaceDN w:val="0"/>
        <w:autoSpaceDE w:val="0"/>
        <w:widowControl/>
        <w:spacing w:line="242" w:lineRule="auto" w:before="32" w:after="0"/>
        <w:ind w:left="0" w:right="0" w:firstLine="0"/>
        <w:jc w:val="center"/>
      </w:pPr>
      <w:r>
        <w:rPr>
          <w:rFonts w:ascii="Cambria" w:hAnsi="Cambria" w:eastAsia="Cambria"/>
          <w:b w:val="0"/>
          <w:i w:val="0"/>
          <w:color w:val="000000"/>
          <w:sz w:val="19"/>
        </w:rPr>
        <w:t>have been included in professional guidelines as therapeutic, diagnostic, and/or prognostic biomarkers for specific types</w:t>
      </w:r>
    </w:p>
    <w:p>
      <w:pPr>
        <w:autoSpaceDN w:val="0"/>
        <w:autoSpaceDE w:val="0"/>
        <w:widowControl/>
        <w:spacing w:line="240" w:lineRule="auto" w:before="62" w:after="0"/>
        <w:ind w:left="972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>of tumors; Level B , biomarkers that predict response or resistance to a therapy based on well- powered studies with</w:t>
      </w:r>
    </w:p>
    <w:p>
      <w:pPr>
        <w:autoSpaceDN w:val="0"/>
        <w:autoSpaceDE w:val="0"/>
        <w:widowControl/>
        <w:spacing w:line="242" w:lineRule="auto" w:before="62" w:after="32"/>
        <w:ind w:left="972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>consensus from experts in the field or have diagnostic and/or prognostic significance of certain diseases based on well-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8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powered studies with expert consensus.</w:t>
            </w:r>
          </w:p>
        </w:tc>
      </w:tr>
    </w:tbl>
    <w:p>
      <w:pPr>
        <w:autoSpaceDN w:val="0"/>
        <w:autoSpaceDE w:val="0"/>
        <w:widowControl/>
        <w:spacing w:line="2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6"/>
        </w:trPr>
        <w:tc>
          <w:tcPr>
            <w:tcW w:type="dxa" w:w="10320"/>
            <w:tcBorders>
              <w:top w:sz="6.0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13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Tier II: Variants of Potential Clinical Significance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4"/>
        </w:trPr>
        <w:tc>
          <w:tcPr>
            <w:tcW w:type="dxa" w:w="10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Level C , biomarkers that predict response or resistance to therapies approved by FDA or professional societies for a</w:t>
            </w:r>
          </w:p>
        </w:tc>
      </w:tr>
    </w:tbl>
    <w:p>
      <w:pPr>
        <w:autoSpaceDN w:val="0"/>
        <w:autoSpaceDE w:val="0"/>
        <w:widowControl/>
        <w:spacing w:line="242" w:lineRule="auto" w:before="30" w:after="0"/>
        <w:ind w:left="972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>different tumor type (i.e., off-label use of a drug), serve as inclusion criteria for clinical trials, or have diagnostic and/or</w:t>
      </w:r>
    </w:p>
    <w:p>
      <w:pPr>
        <w:autoSpaceDN w:val="0"/>
        <w:autoSpaceDE w:val="0"/>
        <w:widowControl/>
        <w:spacing w:line="240" w:lineRule="auto" w:before="62" w:after="0"/>
        <w:ind w:left="972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>prognostic significance based on the results of multiple small studies. Level D , biomarkers that show plausible</w:t>
      </w:r>
    </w:p>
    <w:p>
      <w:pPr>
        <w:autoSpaceDN w:val="0"/>
        <w:autoSpaceDE w:val="0"/>
        <w:widowControl/>
        <w:spacing w:line="242" w:lineRule="auto" w:before="62" w:after="32"/>
        <w:ind w:left="972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>therapeutic significance based on preclinical studies or may assist disease diagnosis and/or prognosis themselves 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502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along with other biomarkers based on small studies or multiple case reports with no consensus.</w:t>
            </w:r>
          </w:p>
        </w:tc>
      </w:tr>
    </w:tbl>
    <w:p>
      <w:pPr>
        <w:autoSpaceDN w:val="0"/>
        <w:autoSpaceDE w:val="0"/>
        <w:widowControl/>
        <w:spacing w:line="2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8"/>
        </w:trPr>
        <w:tc>
          <w:tcPr>
            <w:tcW w:type="dxa" w:w="10320"/>
            <w:tcBorders>
              <w:top w:sz="6.0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13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General Content / Notes</w:t>
            </w:r>
          </w:p>
        </w:tc>
      </w:tr>
    </w:tbl>
    <w:p>
      <w:pPr>
        <w:autoSpaceDN w:val="0"/>
        <w:autoSpaceDE w:val="0"/>
        <w:widowControl/>
        <w:spacing w:line="1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6"/>
        </w:trPr>
        <w:tc>
          <w:tcPr>
            <w:tcW w:type="dxa" w:w="10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Oncq Sol Focus 52 Gene Panel is a multibiomarker next-generation sequencing (NGS) assay that enables detection of</w:t>
            </w:r>
          </w:p>
        </w:tc>
      </w:tr>
    </w:tbl>
    <w:p>
      <w:pPr>
        <w:autoSpaceDN w:val="0"/>
        <w:autoSpaceDE w:val="0"/>
        <w:widowControl/>
        <w:spacing w:line="240" w:lineRule="auto" w:before="30" w:after="0"/>
        <w:ind w:left="972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>variants in 52 genes relevant to solid tumors. This assay allows concurrent analysis of DNA and RNA to simultaneously</w:t>
      </w:r>
    </w:p>
    <w:p>
      <w:pPr>
        <w:autoSpaceDN w:val="0"/>
        <w:autoSpaceDE w:val="0"/>
        <w:widowControl/>
        <w:spacing w:line="242" w:lineRule="auto" w:before="62" w:after="0"/>
        <w:ind w:left="972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>detect multiple types of variants, including hotspots, single-nucleotide variants (SNVs), indels, copy number variants</w:t>
      </w:r>
    </w:p>
    <w:p>
      <w:pPr>
        <w:autoSpaceDN w:val="0"/>
        <w:autoSpaceDE w:val="0"/>
        <w:widowControl/>
        <w:spacing w:line="240" w:lineRule="auto" w:before="62" w:after="32"/>
        <w:ind w:left="972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>(CNVs), and gene fusions , in a single workflow. Some of the alterations detected may provide prognostic/ therapeutic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8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information that may help the Clinician in deciding upon the best line of Targeted/ Chemotherapy options for the patient.</w:t>
            </w:r>
          </w:p>
        </w:tc>
      </w:tr>
    </w:tbl>
    <w:p>
      <w:pPr>
        <w:autoSpaceDN w:val="0"/>
        <w:autoSpaceDE w:val="0"/>
        <w:widowControl/>
        <w:spacing w:line="2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514"/>
        </w:trPr>
        <w:tc>
          <w:tcPr>
            <w:tcW w:type="dxa" w:w="10484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2" w:after="0"/>
              <w:ind w:left="21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Methodology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478"/>
        </w:trPr>
        <w:tc>
          <w:tcPr>
            <w:tcW w:type="dxa" w:w="10484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224" w:after="0"/>
              <w:ind w:left="25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FFPE DNA was extracted from tissue using Qiagen Kit and FFPE RNA was extracted from tissue Promega Kit. The DNA</w:t>
            </w:r>
          </w:p>
        </w:tc>
      </w:tr>
    </w:tbl>
    <w:p>
      <w:pPr>
        <w:autoSpaceDN w:val="0"/>
        <w:autoSpaceDE w:val="0"/>
        <w:widowControl/>
        <w:spacing w:line="302" w:lineRule="auto" w:before="32" w:after="30"/>
        <w:ind w:left="972" w:right="1008" w:firstLine="0"/>
        <w:jc w:val="left"/>
      </w:pP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and RNA were quantified on Qubit fluorometer. Amplicon based barcoded library was prepared using the extracted DNA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and RNA. Libraries were pooled and loaded onto ION Torrent S5 NGS platform to perform massive parallel sequencing.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The average Variant Allele Frequency (VAF) for this Test is 5% at 500X coverage. However, it may vary depending on the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particular mutation type. Alterations outside of the tested areas of these genes or in other genes will not be detected. This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Panel analyzed the following types of mutations- nucleotide substitutions, small insertions, small deletions, indels,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CNVs &amp; gene fusions. If the mutation(s) fall in the region of no/ low coverage zone, then they may be missed. Tumor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sample must be fixed under appropriate conditions (10% Neutral buffered formalin for 12-72hrs) to ensure preservation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of amplifiable quality DNA. PCR is a highly sensitive technique; reasons for apparently contradictory results may be due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to improper quality control during sample collection and fixation, high degree of necrosis, mucin content and/or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presence of PCR inhibitors. Cytosine deamination has been demonstrated to contribute to background noise for DNA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sequencing of ancient and formalin fixed paraffin embedded (FFPE) treated DNA. Deamination can be attributed to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multiple factors including biologic (intrinsic to the sample prior to isolation) or an artifact of the molecular biology. It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has been observed that formalin induces C:G&gt;T:A transitions during sequencing. These deamination related “apparent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790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2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mutations” are higher in the FFPE samples than in peripheral blood indicating that the process of specimen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36.0" w:type="dxa"/>
      </w:tblPr>
      <w:tblGrid>
        <w:gridCol w:w="9038"/>
      </w:tblGrid>
      <w:tr>
        <w:trPr>
          <w:trHeight w:hRule="exact" w:val="480"/>
        </w:trPr>
        <w:tc>
          <w:tcPr>
            <w:tcW w:type="dxa" w:w="10454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19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General Content / Notes</w:t>
            </w:r>
          </w:p>
        </w:tc>
      </w:tr>
    </w:tbl>
    <w:p>
      <w:pPr>
        <w:autoSpaceDN w:val="0"/>
        <w:autoSpaceDE w:val="0"/>
        <w:widowControl/>
        <w:spacing w:line="1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2"/>
        </w:trPr>
        <w:tc>
          <w:tcPr>
            <w:tcW w:type="dxa" w:w="10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5000Exomes (Source Version:20161108), Canonical RefSeq Transcripts(Source Version:v95), ClinVar(Source</w:t>
            </w:r>
          </w:p>
        </w:tc>
      </w:tr>
    </w:tbl>
    <w:p>
      <w:pPr>
        <w:autoSpaceDN w:val="0"/>
        <w:autoSpaceDE w:val="0"/>
        <w:widowControl/>
        <w:spacing w:line="286" w:lineRule="auto" w:before="32" w:after="30"/>
        <w:ind w:left="972" w:right="100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Version:20190909), dbSNP(Source Version:153), DGV(Source Version:20160515), DrugBank(Source Version:20190723),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ExAC(Source Version:1), Gene Ontology(Source Version:20190930), Named Variants(Source Version:1), Pfam(Source </w:t>
      </w:r>
      <w:r>
        <w:rPr>
          <w:rFonts w:ascii="Cambria" w:hAnsi="Cambria" w:eastAsia="Cambria"/>
          <w:b w:val="0"/>
          <w:i w:val="0"/>
          <w:color w:val="000000"/>
          <w:sz w:val="19"/>
        </w:rPr>
        <w:t>Version:32), PhyloP Scores(Source Version:20160919), RefSeq Gene Functional Canonical Transcripts Scores(Source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90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Version:10), RefSeq GeneModel(Source Version:95), CitelineTrialTrove.</w:t>
            </w:r>
          </w:p>
        </w:tc>
      </w:tr>
    </w:tbl>
    <w:p>
      <w:pPr>
        <w:autoSpaceDN w:val="0"/>
        <w:autoSpaceDE w:val="0"/>
        <w:widowControl/>
        <w:spacing w:line="2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6"/>
        </w:trPr>
        <w:tc>
          <w:tcPr>
            <w:tcW w:type="dxa" w:w="10320"/>
            <w:tcBorders>
              <w:top w:sz="6.0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13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Limitation and Disclaimer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2"/>
        </w:trPr>
        <w:tc>
          <w:tcPr>
            <w:tcW w:type="dxa" w:w="10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Variant with 250X coverage or more are considered for clinical correlation with the disease. This test is limited to listed</w:t>
            </w:r>
          </w:p>
        </w:tc>
      </w:tr>
    </w:tbl>
    <w:p>
      <w:pPr>
        <w:autoSpaceDN w:val="0"/>
        <w:autoSpaceDE w:val="0"/>
        <w:widowControl/>
        <w:spacing w:line="300" w:lineRule="auto" w:before="32" w:after="0"/>
        <w:ind w:left="972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genes analysis only, It should be noted that this test does not sequence all bases in a human genome, not all variants have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been identified or interpreted, and this report is limited only to variants with evidence for causing or contributing to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disease/clinical details. This assay is not meant to interrogate most promoter regions, deep intronic regions, or other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regulatory elements. Data from this test is based on currently available scientific information. The classification of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variants of unknown significance can change over time.This data can be re-assessed for the presence of any variants that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may be newly linked to be associated with cancer. The physician can request reanalysis of the data. Certain genes may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not be covered completely, and few mutations could be missed. This NGS test used does not allow definitive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differentiation between germline and somatic variants. TREATMENT DECISIONS BASED ON THESE MUTATIONS MAY BE </w:t>
      </w:r>
      <w:r>
        <w:rPr>
          <w:rFonts w:ascii="Cambria" w:hAnsi="Cambria" w:eastAsia="Cambria"/>
          <w:b w:val="0"/>
          <w:i w:val="0"/>
          <w:color w:val="000000"/>
          <w:sz w:val="19"/>
        </w:rPr>
        <w:t>TAKEN IN CORRELATION WITH OTHER CLINICAL AND PATHOLOGICAL INFORMATION</w:t>
      </w:r>
    </w:p>
    <w:p>
      <w:pPr>
        <w:autoSpaceDN w:val="0"/>
        <w:autoSpaceDE w:val="0"/>
        <w:widowControl/>
        <w:spacing w:line="290" w:lineRule="auto" w:before="182" w:after="32"/>
        <w:ind w:left="864" w:right="1152" w:firstLine="0"/>
        <w:jc w:val="center"/>
      </w:pP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All investigations have their limitation which is imposed by the limits of sensitivity and specificity of individual assay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procedures as well as the quality of the specimen received at laboratory. Inclusion of variations is dependent upon our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assessment of their significance. The quality of sequencing and coverage varies between regions. Many factors such as </w:t>
      </w:r>
      <w:r>
        <w:rPr>
          <w:rFonts w:ascii="Cambria" w:hAnsi="Cambria" w:eastAsia="Cambria"/>
          <w:b w:val="0"/>
          <w:i w:val="0"/>
          <w:color w:val="000000"/>
          <w:sz w:val="19"/>
        </w:rPr>
        <w:t>homopolymers, GC-rich regions etc. influence the quality of sequencing and coverage. This may result in an occasional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8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error in sequence reads or lack of detection of a particular genetic lesion.</w:t>
            </w:r>
          </w:p>
        </w:tc>
      </w:tr>
    </w:tbl>
    <w:p>
      <w:pPr>
        <w:autoSpaceDN w:val="0"/>
        <w:autoSpaceDE w:val="0"/>
        <w:widowControl/>
        <w:spacing w:line="2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434"/>
        </w:trPr>
        <w:tc>
          <w:tcPr>
            <w:tcW w:type="dxa" w:w="10484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0" w:after="0"/>
              <w:ind w:left="21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Analysis</w:t>
            </w:r>
          </w:p>
        </w:tc>
      </w:tr>
    </w:tbl>
    <w:p>
      <w:pPr>
        <w:autoSpaceDN w:val="0"/>
        <w:autoSpaceDE w:val="0"/>
        <w:widowControl/>
        <w:spacing w:line="2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4"/>
        </w:trPr>
        <w:tc>
          <w:tcPr>
            <w:tcW w:type="dxa" w:w="10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Torrent Variant Caller plugin – A SNP and indel calling analysis module that is part of the Torrent Suite™ Software and is</w:t>
            </w:r>
          </w:p>
        </w:tc>
      </w:tr>
    </w:tbl>
    <w:p>
      <w:pPr>
        <w:autoSpaceDN w:val="0"/>
        <w:autoSpaceDE w:val="0"/>
        <w:widowControl/>
        <w:spacing w:line="300" w:lineRule="auto" w:before="30" w:after="32"/>
        <w:ind w:left="972" w:right="100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accessible through the Torrent Browser. The plugin can either be initiated automatically after sequencing data have been </w:t>
      </w:r>
      <w:r>
        <w:rPr>
          <w:rFonts w:ascii="Cambria" w:hAnsi="Cambria" w:eastAsia="Cambria"/>
          <w:b w:val="0"/>
          <w:i w:val="0"/>
          <w:color w:val="000000"/>
          <w:sz w:val="19"/>
        </w:rPr>
        <w:t>generated and bases called or it can be initiated manually to process previously generated datasets. Ion Reporter™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Software – A cloud-based software service that provides both variant calling and annotations, designed with traceability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features that are essential to researchers who perform sequencing assays. It comprises a suite of bioinformatics tools </w:t>
      </w:r>
      <w:r>
        <w:rPr>
          <w:rFonts w:ascii="Cambria" w:hAnsi="Cambria" w:eastAsia="Cambria"/>
          <w:b w:val="0"/>
          <w:i w:val="0"/>
          <w:color w:val="000000"/>
          <w:sz w:val="19"/>
        </w:rPr>
        <w:t>that streamlines and simplifies analysis, reporting, and archiving of semiconductor sequencing data. Ion Reporter™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Software fast‐tracks variant analysis and integrates comprehensive public annotations to reduce the bioinformatics work </w:t>
      </w:r>
      <w:r>
        <w:rPr>
          <w:rFonts w:ascii="Cambria" w:hAnsi="Cambria" w:eastAsia="Cambria"/>
          <w:b w:val="0"/>
          <w:i w:val="0"/>
          <w:color w:val="000000"/>
          <w:sz w:val="19"/>
        </w:rPr>
        <w:t>needed to understand the impact of detected variants and to shorten the time to interpret test results. Oncomine™</w:t>
      </w:r>
      <w:r>
        <w:rPr>
          <w:rFonts w:ascii="Cambria" w:hAnsi="Cambria" w:eastAsia="Cambria"/>
          <w:b w:val="0"/>
          <w:i w:val="0"/>
          <w:color w:val="000000"/>
          <w:sz w:val="19"/>
        </w:rPr>
        <w:t>Knowledgebase Reporter ‐ The Oncomine™ Reporter software matches genetic variant information from a source file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294"/>
        </w:trPr>
        <w:tc>
          <w:tcPr>
            <w:tcW w:type="dxa" w:w="10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with relevant data from a curated set of published evidence from public sources. The software is used to prepare a report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282"/>
        </w:trPr>
        <w:tc>
          <w:tcPr>
            <w:tcW w:type="dxa" w:w="10484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25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that presents a sample-specific view of data with each variant matched with relevant data, including labels, guidelines,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286"/>
        </w:trPr>
        <w:tc>
          <w:tcPr>
            <w:tcW w:type="dxa" w:w="10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and clinical trials. Variants of Unknown Significance (VUS) – These variants may not have been adequately characterized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286"/>
        </w:trPr>
        <w:tc>
          <w:tcPr>
            <w:tcW w:type="dxa" w:w="10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in the scientific literature at the time this report was issued and/or the genomic context of these alterations makes their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790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0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significance unclear. We choose to include them here in the event that they become clinically meaningful in the future.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36.0" w:type="dxa"/>
      </w:tblPr>
      <w:tblGrid>
        <w:gridCol w:w="9038"/>
      </w:tblGrid>
      <w:tr>
        <w:trPr>
          <w:trHeight w:hRule="exact" w:val="480"/>
        </w:trPr>
        <w:tc>
          <w:tcPr>
            <w:tcW w:type="dxa" w:w="10454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19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General Content / Notes</w:t>
            </w:r>
          </w:p>
        </w:tc>
      </w:tr>
    </w:tbl>
    <w:p>
      <w:pPr>
        <w:autoSpaceDN w:val="0"/>
        <w:autoSpaceDE w:val="0"/>
        <w:widowControl/>
        <w:spacing w:line="1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534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Note: The performance of this Test has been evaluated at Oncquest Laboratories Ltd.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8"/>
        </w:trPr>
        <w:tc>
          <w:tcPr>
            <w:tcW w:type="dxa" w:w="10320"/>
            <w:tcBorders>
              <w:top w:sz="6.0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13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*** End Of Report ***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2"/>
        </w:trPr>
        <w:tc>
          <w:tcPr>
            <w:tcW w:type="dxa" w:w="10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Disclaimer: All Results released pertain to the specimen submitted to the lab 1. Test results are dependent on the quality</w:t>
            </w:r>
          </w:p>
        </w:tc>
      </w:tr>
    </w:tbl>
    <w:p>
      <w:pPr>
        <w:autoSpaceDN w:val="0"/>
        <w:autoSpaceDE w:val="0"/>
        <w:widowControl/>
        <w:spacing w:line="290" w:lineRule="auto" w:before="32" w:after="30"/>
        <w:ind w:left="972" w:right="1152" w:firstLine="0"/>
        <w:jc w:val="left"/>
      </w:pPr>
      <w:r>
        <w:rPr>
          <w:shd w:val="clear" w:color="auto" w:fill="000000"/>
          <w:shd w:val="clear" w:color="auto" w:fill="f1f5f9"/>
          <w:rFonts w:ascii="Cambria" w:hAnsi="Cambria" w:eastAsia="Cambria"/>
          <w:b w:val="0"/>
          <w:i w:val="0"/>
          <w:color w:val="000000"/>
          <w:sz w:val="19"/>
        </w:rPr>
        <w:t xml:space="preserve">of the sample received by the lab 2. Tests are performed as per schedule given in the test listing and in any unforeseen </w:t>
      </w:r>
      <w:r>
        <w:rPr>
          <w:shd w:val="clear" w:color="auto" w:fill="000000"/>
          <w:shd w:val="clear" w:color="auto" w:fill="f1f5f9"/>
          <w:rFonts w:ascii="Cambria" w:hAnsi="Cambria" w:eastAsia="Cambria"/>
          <w:b w:val="0"/>
          <w:i w:val="0"/>
          <w:color w:val="000000"/>
          <w:sz w:val="19"/>
        </w:rPr>
        <w:t xml:space="preserve">circumstances, report delivery may be delayed 3. Test results may show interlaboratory variations 4. All dispute and </w:t>
      </w:r>
      <w:r>
        <w:rPr>
          <w:shd w:val="clear" w:color="auto" w:fill="000000"/>
          <w:shd w:val="clear" w:color="auto" w:fill="f1f5f9"/>
          <w:rFonts w:ascii="Cambria" w:hAnsi="Cambria" w:eastAsia="Cambria"/>
          <w:b w:val="0"/>
          <w:i w:val="0"/>
          <w:color w:val="000000"/>
          <w:sz w:val="19"/>
        </w:rPr>
        <w:t xml:space="preserve">claims are subjected to local jurisdiction only. Clinical correlation advised. 5. Test results are not valid for medico legal </w:t>
      </w:r>
      <w:r>
        <w:rPr>
          <w:shd w:val="clear" w:color="auto" w:fill="000000"/>
          <w:shd w:val="clear" w:color="auto" w:fill="f1f5f9"/>
          <w:rFonts w:ascii="Cambria" w:hAnsi="Cambria" w:eastAsia="Cambria"/>
          <w:b w:val="0"/>
          <w:i w:val="0"/>
          <w:color w:val="000000"/>
          <w:sz w:val="19"/>
        </w:rPr>
        <w:t>purposes 6. For all queries, feedbacks, suggestions, and complaints, please contact customer care support +0124 665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90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2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0000</w:t>
            </w:r>
          </w:p>
        </w:tc>
      </w:tr>
    </w:tbl>
    <w:p>
      <w:pPr>
        <w:autoSpaceDN w:val="0"/>
        <w:autoSpaceDE w:val="0"/>
        <w:widowControl/>
        <w:spacing w:line="2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8"/>
        </w:trPr>
        <w:tc>
          <w:tcPr>
            <w:tcW w:type="dxa" w:w="10320"/>
            <w:tcBorders>
              <w:top w:sz="6.0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13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Gene Finding Gene Finding</w:t>
            </w:r>
          </w:p>
        </w:tc>
      </w:tr>
    </w:tbl>
    <w:p>
      <w:pPr>
        <w:autoSpaceDN w:val="0"/>
        <w:autoSpaceDE w:val="0"/>
        <w:widowControl/>
        <w:spacing w:line="1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4"/>
        </w:trPr>
        <w:tc>
          <w:tcPr>
            <w:tcW w:type="dxa" w:w="10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BRAF None detected NTRK2 None detected ERBB2 None detected NTRK3 None detected KRAS KRAS G12V PIK3CA None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90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detected NRAS None detected RET None detected NTRK1 None detected</w:t>
            </w:r>
          </w:p>
        </w:tc>
      </w:tr>
    </w:tbl>
    <w:p>
      <w:pPr>
        <w:autoSpaceDN w:val="0"/>
        <w:autoSpaceDE w:val="0"/>
        <w:widowControl/>
        <w:spacing w:line="2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6"/>
        </w:trPr>
        <w:tc>
          <w:tcPr>
            <w:tcW w:type="dxa" w:w="10320"/>
            <w:tcBorders>
              <w:top w:sz="6.0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13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KRAS G12V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532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Allele Frequency: 16.72%</w:t>
            </w:r>
          </w:p>
        </w:tc>
      </w:tr>
    </w:tbl>
    <w:p>
      <w:pPr>
        <w:autoSpaceDN w:val="0"/>
        <w:autoSpaceDE w:val="0"/>
        <w:widowControl/>
        <w:spacing w:line="2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488"/>
        </w:trPr>
        <w:tc>
          <w:tcPr>
            <w:tcW w:type="dxa" w:w="10320"/>
            <w:tcBorders>
              <w:top w:sz="6.0" w:val="single" w:color="#1F497D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13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bevacizumab + chemotherapy avutometinib + defactinib 1 14</w:t>
            </w:r>
          </w:p>
        </w:tc>
      </w:tr>
    </w:tbl>
    <w:p>
      <w:pPr>
        <w:autoSpaceDN w:val="0"/>
        <w:autoSpaceDE w:val="0"/>
        <w:widowControl/>
        <w:spacing w:line="1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44"/>
        </w:trPr>
        <w:tc>
          <w:tcPr>
            <w:tcW w:type="dxa" w:w="8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* Public data sources included in relevant therapies:  NCCN, ESMO, FDA 1</w:t>
            </w:r>
          </w:p>
        </w:tc>
      </w:tr>
    </w:tbl>
    <w:p>
      <w:pPr>
        <w:autoSpaceDN w:val="0"/>
        <w:autoSpaceDE w:val="0"/>
        <w:widowControl/>
        <w:spacing w:line="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518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 xml:space="preserve"> Alerts informed by public data sources: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 Contraindicated,    Resistance,    Breakthrough,    Fast Track</w:t>
            </w:r>
          </w:p>
        </w:tc>
      </w:tr>
    </w:tbl>
    <w:p>
      <w:pPr>
        <w:autoSpaceDN w:val="0"/>
        <w:autoSpaceDE w:val="0"/>
        <w:widowControl/>
        <w:spacing w:line="2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434"/>
        </w:trPr>
        <w:tc>
          <w:tcPr>
            <w:tcW w:type="dxa" w:w="10484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0" w:after="0"/>
              <w:ind w:left="21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KRAS proto-oncogene, GTPase</w:t>
            </w:r>
          </w:p>
        </w:tc>
      </w:tr>
    </w:tbl>
    <w:p>
      <w:pPr>
        <w:autoSpaceDN w:val="0"/>
        <w:autoSpaceDE w:val="0"/>
        <w:widowControl/>
        <w:spacing w:line="2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4"/>
        </w:trPr>
        <w:tc>
          <w:tcPr>
            <w:tcW w:type="dxa" w:w="10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Background: The KRAS proto-oncogene encodes a GTPase that functions in signal transduction and is a member of the</w:t>
            </w:r>
          </w:p>
        </w:tc>
      </w:tr>
    </w:tbl>
    <w:p>
      <w:pPr>
        <w:autoSpaceDN w:val="0"/>
        <w:autoSpaceDE w:val="0"/>
        <w:widowControl/>
        <w:spacing w:line="295" w:lineRule="auto" w:before="30" w:after="0"/>
        <w:ind w:left="972" w:right="100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RAS superfamily which also includes NRAS and HRAS 1 . RAS proteins mediate the transmission of growth signals from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the cell surface to the nucleus via the PI3K/AKT/MTOR and RAS/RAF/MEK/ERK pathways, which regulate cell division,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differentiation, and survival 2,3,4 . Germline mutations in KRAS lead to several genetic disorders known as RASopathies,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including Noonan syndrome, which results in heart and congenital defects, growth inhibition, and facial dysmorphic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features 5 . Somatic mutations in KRAS are commonly altered in several cancers including non-small cell lung cancer, </w:t>
      </w:r>
      <w:r>
        <w:rPr>
          <w:rFonts w:ascii="Cambria" w:hAnsi="Cambria" w:eastAsia="Cambria"/>
          <w:b w:val="0"/>
          <w:i w:val="0"/>
          <w:color w:val="000000"/>
          <w:sz w:val="19"/>
        </w:rPr>
        <w:t>pancreatic cancer, and multiple myeloma 5 .</w:t>
      </w:r>
    </w:p>
    <w:p>
      <w:pPr>
        <w:autoSpaceDN w:val="0"/>
        <w:autoSpaceDE w:val="0"/>
        <w:widowControl/>
        <w:spacing w:line="300" w:lineRule="auto" w:before="182" w:after="0"/>
        <w:ind w:left="972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Alterations and prevalence: The majority of KRAS mutations consist of point mutations occurring at G12, G13, and Q61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6,7,8 . Mutations at A59, K117, and A146 have also been observed but are less frequent 9,10 . Somatic mutations in KRAS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are observed in 66% of pancreatic adenocarcinoma, 41% of colorectal adenocarcinoma, 30% of lung adenocarcinoma,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19% of uterine corpus endometrial carcinoma, 12% of uterine carcinosarcoma, 9% of stomach adenocarcinoma, 8% of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testicular germ cell tumors, 6% of cholangiocarcinoma, 5% of cervical squamous cell carcinoma, acute myeloid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leukemia, and diffuse large B-cell lymphoma, 4% of bladder urothelial carcinoma, and 2% of skin cutaneous melanoma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and kidney renal papillary cell carcinoma 6,9 . KRAS is amplified in 9% of ovarian serous cystadenocarcinoma and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testicular germ cell tumors, 8% of stomach adenocarcinoma , 7% of esophageal adenocarcinoma and uterine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carcinosarcoma, 6% of lung adenocarcinoma, 4% of pancreatic adenocarcinoma and bladder urothelial carcinoma, 3% of </w:t>
      </w:r>
      <w:r>
        <w:rPr>
          <w:rFonts w:ascii="Cambria" w:hAnsi="Cambria" w:eastAsia="Cambria"/>
          <w:b w:val="0"/>
          <w:i w:val="0"/>
          <w:color w:val="000000"/>
          <w:sz w:val="19"/>
        </w:rPr>
        <w:t>lung squamous cell carcinoma, and 2% of sarcoma, mesothelioma, brain lower grade glioma, and uterine corpus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282"/>
        </w:trPr>
        <w:tc>
          <w:tcPr>
            <w:tcW w:type="dxa" w:w="10484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endometrial carcinoma 6,9 . Alterations in KRAS are also observed in pediatric cancers 9 . Somatic mutations in KRAS are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790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2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observed in 10% of B-lymphoblastic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36.0" w:type="dxa"/>
      </w:tblPr>
      <w:tblGrid>
        <w:gridCol w:w="9038"/>
      </w:tblGrid>
      <w:tr>
        <w:trPr>
          <w:trHeight w:hRule="exact" w:val="480"/>
        </w:trPr>
        <w:tc>
          <w:tcPr>
            <w:tcW w:type="dxa" w:w="10454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19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General Content / Notes</w:t>
            </w:r>
          </w:p>
        </w:tc>
      </w:tr>
    </w:tbl>
    <w:p>
      <w:pPr>
        <w:autoSpaceDN w:val="0"/>
        <w:autoSpaceDE w:val="0"/>
        <w:widowControl/>
        <w:spacing w:line="1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6"/>
        </w:trPr>
        <w:tc>
          <w:tcPr>
            <w:tcW w:type="dxa" w:w="10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Potential relevance: The FDA has approved the small molecule inhibitors, sotorasib 11 (2021) and adagrasib 12 (2022),</w:t>
            </w:r>
          </w:p>
        </w:tc>
      </w:tr>
    </w:tbl>
    <w:p>
      <w:pPr>
        <w:autoSpaceDN w:val="0"/>
        <w:autoSpaceDE w:val="0"/>
        <w:widowControl/>
        <w:spacing w:line="305" w:lineRule="auto" w:before="30" w:after="0"/>
        <w:ind w:left="972" w:right="864" w:firstLine="0"/>
        <w:jc w:val="left"/>
      </w:pP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for the treatment of adult patients with KRAS G12C-mutated locally advanced or metastatic non-small cell lung cancer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(NSCLC). Sotorasib and adagrasib are also useful in certain circumstances for KRAS G12C-mutated pancreatic </w:t>
      </w:r>
      <w:r>
        <w:br/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adenocarcinoma 13 . The FDA has approved adagrasib 12 in combination with cetuximab (2024), and sotorasib 11 in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combination with panitumumab 14 (2025) for KRAS G12C-mutated colorectal cancer (CRC) after prior fluoropyrimidine-,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oxaliplatin-, and irinotecan-based chemotherapy. The EGFR antagonists, cetuximab 15 and panitumumab 14 , are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contraindicated for treatment of colorectal cancer patients with KRAS mutations in exon 2 (codons 12 and 13), exon 3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(codons 59 and 61), and exon 4 (codons 117 and 146) 10 . The FDA has approved the combination of kinase inhibitors,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avutometinib and defactinib 16 (2025), for the treatment of adult patients with KRAS-mutated recurrent low-grade serous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ovarian cancer (LGSOC) after prior systemic therapy. The FDA has granted breakthrough therapy designation (2022) to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the KRAS G12C inhibitor, GDC-6036 17 , for KRAS G12C-mutated NSCLC. The KRAS-G12C/NRAS-G12C dual inhibitor,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elironrasib 18 , and the KRAS G12C inhibitor, D3S-001 19 , were both granted breakthrough therapy designation (2025)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for KRAS G12C-mutated locally advanced or metastatic NSCLC in adults previously treated with chemotherapy and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immunotherapy, excluding KRAS G12C inhibitors. The KRAS- G12C inhibitor, olomorasib 20 , was granted breakthrough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designation (2025) in combination with pembrolizumab 21 for unresectable advanced or metastatic NSCLC with a KRAS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G12C mutation and PD-L1 expression ≥ 50%. The RAF/MEK clamp, avutometinib 22 was also granted fast track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designation (2024) in combination with sotorasib for KRAS G12C-mutated metastatic NSCLC in patients who have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received at least one prior systemic therapy and have not been previously treated with a KRAS G12C inhibitor. The KRAS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G12C inhibitor, BBO-8520 23 , was granted fast track designation in 2025 for previously treated KRAS G12C-mutated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patients with metastatic NSCLC. The RAS(ON) G12D-selective inhibitor, zoldonrasib 24 , was granted breakthrough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designation (2026) for patients with KRAS G12D-mutated locally advanced or metastatic NSCLC who have been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previously treated with anti-PD-1/PD-L1 therapy and platinum-based chemotherapy. The RAS inhibitor, daraxonrasib 25 ,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was granted breakthrough designation (2025) for previously treated metastatic pancreatic ductal adenocarcinoma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(PDAC) with KRAS G12 mutations. The KRAS G12D (ON/OFF) inhibitor, GFH-375 26 , was also granted fast track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designation (2025) for first-line and previously treated KRAS G12D-mutated locally advanced or metastatic PDAC. The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pan-KRAS inhibitor, BBO-11818 27 , was also granted fast track designation (2026) for adult patients with advanced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KRAS- mutant PDAC. The KRAS G12C inhibitor, D3S-001 28 , was granted fast track designation in 2024 for KRAS G12C-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mutated patients with advanced unresectable or metastatic CRC. The PLK1 inhibitor, onvansertib 29 , was granted fast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track designation (2020) in combination with bevacizumab and FOLFIRI for second-line treatment of patients with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KRAS-mutated metastatic CRC. The immuno-oncolytic virus, pelareorep 30 , was also granted fast track designation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(2026) in combination with bevacizumab and FOLFIRI for second-line treatment of patients with KRAS-mutated </w:t>
      </w:r>
      <w:r>
        <w:rPr>
          <w:shd w:val="clear" w:color="auto" w:fill="f1f5f9"/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microsatellite-stable metastatic CRC. Additionally, KRAS mutations are associated with poor prognosis in NSCLC 31 .</w:t>
      </w:r>
    </w:p>
    <w:p>
      <w:pPr>
        <w:autoSpaceDN w:val="0"/>
        <w:autoSpaceDE w:val="0"/>
        <w:widowControl/>
        <w:spacing w:line="242" w:lineRule="auto" w:before="62" w:after="32"/>
        <w:ind w:left="972" w:right="0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>Mutations in the RAS pathway, including KRAS, are ancillary diagnostic markers in pediatric gene fusion-negative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502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rhabdomyosarcoma (RMS) 32 .</w:t>
            </w:r>
          </w:p>
        </w:tc>
      </w:tr>
    </w:tbl>
    <w:p>
      <w:pPr>
        <w:autoSpaceDN w:val="0"/>
        <w:autoSpaceDE w:val="0"/>
        <w:widowControl/>
        <w:spacing w:line="2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434"/>
        </w:trPr>
        <w:tc>
          <w:tcPr>
            <w:tcW w:type="dxa" w:w="10484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0" w:after="0"/>
              <w:ind w:left="21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NCT ID Title Phase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6"/>
        </w:trPr>
        <w:tc>
          <w:tcPr>
            <w:tcW w:type="dxa" w:w="10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NCT06947811 A Multicenter, Open-Label, Single-Arm, Phase Ib/II Clinical Study of Almonertinib Combined With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2"/>
        </w:trPr>
        <w:tc>
          <w:tcPr>
            <w:tcW w:type="dxa" w:w="986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Palbociclib in the Treatment of Patients With KRAS Mutations-Positive Advanced Solid Tumors</w:t>
            </w:r>
          </w:p>
        </w:tc>
      </w:tr>
    </w:tbl>
    <w:p>
      <w:pPr>
        <w:autoSpaceDN w:val="0"/>
        <w:autoSpaceDE w:val="0"/>
        <w:widowControl/>
        <w:spacing w:line="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44"/>
        </w:trPr>
        <w:tc>
          <w:tcPr>
            <w:tcW w:type="dxa" w:w="61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I/II</w:t>
            </w:r>
          </w:p>
        </w:tc>
      </w:tr>
    </w:tbl>
    <w:p>
      <w:pPr>
        <w:autoSpaceDN w:val="0"/>
        <w:autoSpaceDE w:val="0"/>
        <w:widowControl/>
        <w:spacing w:line="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4"/>
        </w:trPr>
        <w:tc>
          <w:tcPr>
            <w:tcW w:type="dxa" w:w="10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NCT07353645 Phase I/II Clinical Study of KRAS Neoantigen Nanovaccine as Adjuvant Therapy for Colorectal Cancer/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4"/>
        </w:trPr>
        <w:tc>
          <w:tcPr>
            <w:tcW w:type="dxa" w:w="792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Pancreatic Cancer With High Risk of Recurrence</w:t>
            </w:r>
          </w:p>
        </w:tc>
      </w:tr>
    </w:tbl>
    <w:p>
      <w:pPr>
        <w:autoSpaceDN w:val="0"/>
        <w:autoSpaceDE w:val="0"/>
        <w:widowControl/>
        <w:spacing w:line="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42"/>
        </w:trPr>
        <w:tc>
          <w:tcPr>
            <w:tcW w:type="dxa" w:w="61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I/II</w:t>
            </w:r>
          </w:p>
        </w:tc>
      </w:tr>
    </w:tbl>
    <w:p>
      <w:pPr>
        <w:autoSpaceDN w:val="0"/>
        <w:autoSpaceDE w:val="0"/>
        <w:widowControl/>
        <w:spacing w:line="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6"/>
        </w:trPr>
        <w:tc>
          <w:tcPr>
            <w:tcW w:type="dxa" w:w="10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NCT05173805 Phase I Clinical Study on the Safety, Tolerance, Pharmacokinetics and Efficacy of YL-15293 in Patients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2"/>
        </w:trPr>
        <w:tc>
          <w:tcPr>
            <w:tcW w:type="dxa" w:w="798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With Advanced Solid Tumor With KRAS Mutation</w:t>
            </w:r>
          </w:p>
        </w:tc>
      </w:tr>
    </w:tbl>
    <w:p>
      <w:pPr>
        <w:autoSpaceDN w:val="0"/>
        <w:autoSpaceDE w:val="0"/>
        <w:widowControl/>
        <w:spacing w:line="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44"/>
        </w:trPr>
        <w:tc>
          <w:tcPr>
            <w:tcW w:type="dxa" w:w="610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I/II</w:t>
            </w:r>
          </w:p>
        </w:tc>
      </w:tr>
    </w:tbl>
    <w:p>
      <w:pPr>
        <w:autoSpaceDN w:val="0"/>
        <w:autoSpaceDE w:val="0"/>
        <w:widowControl/>
        <w:spacing w:line="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314"/>
        </w:trPr>
        <w:tc>
          <w:tcPr>
            <w:tcW w:type="dxa" w:w="1048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NCT07455617 A Phase I Clinical Study to Evaluate the Safety, Tolerability, Immunogenicity, Pharmacokinetics,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9038"/>
      </w:tblGrid>
      <w:tr>
        <w:trPr>
          <w:trHeight w:hRule="exact" w:val="294"/>
        </w:trPr>
        <w:tc>
          <w:tcPr>
            <w:tcW w:type="dxa" w:w="10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0" w:after="0"/>
              <w:ind w:left="492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Pharmacodynamics and Preliminary Anti-tumor Activity of ABO2102 in Participants With KRAS Mutant Solid Tumors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788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780"/>
        </w:trPr>
        <w:tc>
          <w:tcPr>
            <w:tcW w:type="dxa" w:w="10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.999999999999943" w:type="dxa"/>
            </w:tblPr>
            <w:tblGrid>
              <w:gridCol w:w="10484"/>
            </w:tblGrid>
            <w:tr>
              <w:trPr>
                <w:trHeight w:hRule="exact" w:val="460"/>
              </w:trPr>
              <w:tc>
                <w:tcPr>
                  <w:tcW w:type="dxa" w:w="10454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24" w:after="0"/>
                    <w:ind w:left="196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General Content / Notes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36.0" w:type="dxa"/>
      </w:tblPr>
      <w:tblGrid>
        <w:gridCol w:w="9038"/>
      </w:tblGrid>
      <w:tr>
        <w:trPr>
          <w:trHeight w:hRule="exact" w:val="478"/>
        </w:trPr>
        <w:tc>
          <w:tcPr>
            <w:tcW w:type="dxa" w:w="104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4" w:after="0"/>
              <w:ind w:left="23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No NCT ID An open-label, multicenter Phase I clinical study to evaluate the safety, tolerability, pharmacokinetic</w:t>
            </w:r>
          </w:p>
        </w:tc>
      </w:tr>
    </w:tbl>
    <w:p>
      <w:pPr>
        <w:autoSpaceDN w:val="0"/>
        <w:autoSpaceDE w:val="0"/>
        <w:widowControl/>
        <w:spacing w:line="372" w:lineRule="auto" w:before="30" w:after="0"/>
        <w:ind w:left="972" w:right="1440" w:firstLine="0"/>
        <w:jc w:val="left"/>
      </w:pPr>
      <w:r>
        <w:rPr>
          <w:shd w:val="clear" w:color="auto" w:fill="000000"/>
          <w:shd w:val="clear" w:color="auto" w:fill="f1f5f9"/>
          <w:rFonts w:ascii="Cambria" w:hAnsi="Cambria" w:eastAsia="Cambria"/>
          <w:b w:val="0"/>
          <w:i w:val="0"/>
          <w:color w:val="000000"/>
          <w:sz w:val="19"/>
        </w:rPr>
        <w:t xml:space="preserve">characteristics, and immunogenicity of RGL-232 in patients with malignant solid tumors </w:t>
      </w:r>
      <w:r>
        <w:br/>
      </w:r>
      <w:r>
        <w:rPr>
          <w:shd w:val="clear" w:color="auto" w:fill="000000"/>
          <w:shd w:val="clear" w:color="auto" w:fill="f1f5f9"/>
          <w:rFonts w:ascii="Cambria" w:hAnsi="Cambria" w:eastAsia="Cambria"/>
          <w:b w:val="0"/>
          <w:i w:val="0"/>
          <w:color w:val="000000"/>
          <w:sz w:val="19"/>
        </w:rPr>
        <w:t xml:space="preserve">I </w:t>
      </w:r>
      <w:r>
        <w:br/>
      </w:r>
      <w:r>
        <w:rPr>
          <w:shd w:val="clear" w:color="auto" w:fill="000000"/>
          <w:shd w:val="clear" w:color="auto" w:fill="f1f5f9"/>
          <w:rFonts w:ascii="Cambria" w:hAnsi="Cambria" w:eastAsia="Cambria"/>
          <w:b w:val="0"/>
          <w:i w:val="0"/>
          <w:color w:val="000000"/>
          <w:sz w:val="19"/>
        </w:rPr>
        <w:t xml:space="preserve">NCT07004244 Safety and Efficacy of KRAS Vaccine in the Treatment of KRAS-mutant Malignancies I </w:t>
      </w:r>
      <w:r>
        <w:br/>
      </w:r>
      <w:r>
        <w:rPr>
          <w:shd w:val="clear" w:color="auto" w:fill="000000"/>
          <w:shd w:val="clear" w:color="auto" w:fill="f1f5f9"/>
          <w:rFonts w:ascii="Cambria" w:hAnsi="Cambria" w:eastAsia="Cambria"/>
          <w:b w:val="0"/>
          <w:i w:val="0"/>
          <w:color w:val="000000"/>
          <w:sz w:val="19"/>
        </w:rPr>
        <w:t>NCT07435038 A Phase I/II Clinical Study Evaluating the Safety, Tolerability, Pharmacokinetics, and Efficacy of BPI-</w:t>
      </w:r>
      <w:r>
        <w:rPr>
          <w:shd w:val="clear" w:color="auto" w:fill="000000"/>
          <w:shd w:val="clear" w:color="auto" w:fill="f1f5f9"/>
          <w:rFonts w:ascii="Cambria" w:hAnsi="Cambria" w:eastAsia="Cambria"/>
          <w:b w:val="0"/>
          <w:i w:val="0"/>
          <w:color w:val="000000"/>
          <w:sz w:val="19"/>
        </w:rPr>
        <w:t>572270 Capsules in Patients with RAS-mutant Advanced Solid Tumors.</w:t>
      </w:r>
    </w:p>
    <w:p>
      <w:pPr>
        <w:autoSpaceDN w:val="0"/>
        <w:autoSpaceDE w:val="0"/>
        <w:widowControl/>
        <w:spacing w:line="379" w:lineRule="auto" w:before="182" w:after="122"/>
        <w:ind w:left="972" w:right="1008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I/II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NCT06895031 A Multi-center, Open-label, Phase I/II Clinical Study to Evaluate the Safety, Tolerability, Pharmacokinetics,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and Antitumor Activity of JYP0015 in Advanced Solid Tumors With RAS Mutation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I/II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NCT05369312 Phase I Study of BPI-442096 in Advanced Solid Tumor Patients I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NCT06962254 Treatment of Solid Tumors Harboring KRAS Mutation With Imatinib and Trametinib I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NCT05004441 Fruquintinib Combined With mFOLFOX6/FOLFIRI in First-line Treatment for Metastatic Colorectal </w:t>
      </w:r>
      <w:r>
        <w:rPr>
          <w:rFonts w:ascii="Cambria" w:hAnsi="Cambria" w:eastAsia="Cambria"/>
          <w:b w:val="0"/>
          <w:i w:val="0"/>
          <w:color w:val="000000"/>
          <w:sz w:val="19"/>
        </w:rPr>
        <w:t>Cancer:HCCSC C02 Trial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532"/>
        </w:trPr>
        <w:tc>
          <w:tcPr>
            <w:tcW w:type="dxa" w:w="10320"/>
            <w:tcBorders>
              <w:bottom w:sz="6.0" w:val="single" w:color="#1F497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3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9038"/>
      </w:tblGrid>
      <w:tr>
        <w:trPr>
          <w:trHeight w:hRule="exact" w:val="354"/>
        </w:trPr>
        <w:tc>
          <w:tcPr>
            <w:tcW w:type="dxa" w:w="7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47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General Content / Notes</w:t>
            </w:r>
          </w:p>
        </w:tc>
      </w:tr>
    </w:tbl>
    <w:p>
      <w:pPr>
        <w:autoSpaceDN w:val="0"/>
        <w:autoSpaceDE w:val="0"/>
        <w:widowControl/>
        <w:spacing w:line="367" w:lineRule="auto" w:before="300" w:after="0"/>
        <w:ind w:left="972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2. Pylayeva-Gupta et al. RAS oncogenes: weaving a tumorigenic web. Nat. Rev. Cancer. 2011 Oct 13;11(11):761-74. PMID: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21993244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3. Karnoub et al. Ras oncogenes: split personalities. Nat. Rev. Mol. Cell Biol. 2008 Jul;9(7):517-31. PMID: 18568040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4. Scott et al. Therapeutic Approaches to RAS Mutation. Cancer J. 2016 May-Jun;22(3):165-74. doi: 10.1097/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PPO.0000000000000187. PMID: 27341593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5. Johnson et al. Classification of KRAS-Activating Mutations and the Implications for Therapeutic Intervention. Cancer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Discov. 2022 Apr 1;12(4):913-923. PMID: 35373279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6. Weinstein et al. The Cancer Genome Atlas Pan-Cancer analysis project. Nat. Genet. 2013 Oct;45(10):1113-20. PMID: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24071849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7. Román et al. KRAS oncogene in non-small cell lung cancer: clinical perspectives on the treatment of an old target. Mol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Cancer. 2018 Feb 19;17(1):33. doi: 10.1186/s12943-018-0789-x. PMID: 29455666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8. Dinu et al. Prognostic significance of KRAS gene mutations in colorectal cancer--preliminary study. J Med Life. 2014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Oct- Dec;7(4):581-7. PMID: 25713627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>9. Cerami et al. The cBio cancer genomics portal: an open platform for exploring multidimensional cancer genomics data.</w:t>
      </w:r>
    </w:p>
    <w:p>
      <w:pPr>
        <w:autoSpaceDN w:val="0"/>
        <w:autoSpaceDE w:val="0"/>
        <w:widowControl/>
        <w:spacing w:line="391" w:lineRule="auto" w:before="62" w:after="0"/>
        <w:ind w:left="972" w:right="1152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Cancer Discov. 2012 May;2(5):401-4. PMID: 22588877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>10. Allegra et al. Extended RAS Gene Mutation Testing in Metastatic Colorectal Carcinoma to Predict Response to Anti-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Epidermal Growth Factor Receptor Monoclonal Antibody Therapy: American Society of Clinical Oncology Provisional </w:t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Clinical Opinion Update 2015. J. Clin. Oncol. 2016 Jan 10;34(2):179-85. PMID: 26438111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11. https://www.accessdata.fda.gov/drugsatfda_docs/label/2025/214665Orig1s009correctedlbl.pdf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12. https://www.accessdata.fda.gov/drugsatfda_docs/label/2026/216340s009lbl.pdf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13. NCCN Guidelines® - NCCN-Pancreatic Adenocarcinoma [Version 2.2026]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14. https://www.accessdata.fda.gov/drugsatfda_docs/label/2025/125147s213lbl.pdf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 xml:space="preserve">15. https://www.accessdata.fda.gov/drugsatfda_docs/label/2021/125084s279lbl.pdf </w:t>
      </w:r>
      <w:r>
        <w:br/>
      </w:r>
      <w:r>
        <w:rPr>
          <w:rFonts w:ascii="Cambria" w:hAnsi="Cambria" w:eastAsia="Cambria"/>
          <w:b w:val="0"/>
          <w:i w:val="0"/>
          <w:color w:val="000000"/>
          <w:sz w:val="19"/>
        </w:rPr>
        <w:t>16. https://www.accessdata.fda.gov/drugsatfda_docs/label/2025/219616s000lbl.pdf</w:t>
      </w: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84" w:lineRule="auto" w:before="30" w:after="30"/>
        <w:ind w:left="972" w:right="864" w:firstLine="0"/>
        <w:jc w:val="left"/>
      </w:pP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17. https://assets.cwp.roche.com/f/126832/x/5738a7538b/irp230202.pdf </w:t>
      </w:r>
      <w:r>
        <w:br/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18. https://ir.revmed.com/node/11881/pdf </w:t>
      </w:r>
      <w:r>
        <w:br/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19. https://www.prnewswire.com/news-releases/d3-bio-inc-announces-fda-breakthrough-therapy-designation-and-</w:t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orphan-drug- designation-for-d3s-001-for-the-treatment-of-patients-with-kras-g12c-mutated-cancers-302540808.html </w:t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20. https://www.prnewswire.com/news-releases/lillys-olomorasib-receives-us-fdas-breakthrough-therapy-designation-</w:t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for-the- treatment-of-certain-newly-diagnosed-metastatic-kras-g12c-mutant-lung-cancers-302545643.html </w:t>
      </w:r>
      <w:r>
        <w:br/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21. https://www.accessdata.fda.gov/drugsatfda_docs/label/2026/125514s190lbl.pdf </w:t>
      </w:r>
      <w:r>
        <w:br/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22. https://investor.verastem.com/news-releases/news-release-details/verastem-oncology-granted-fast-track-</w:t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designation- combination </w:t>
      </w:r>
      <w:r>
        <w:br/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23. https://www.businesswire.com/news/home/20250109170439/en/ </w:t>
      </w:r>
      <w:r>
        <w:br/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24. https://ir.revmed.com/news-releases/news-release-details/revolution-medicines-announces-fda-breakthrough-</w:t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therapy-1 </w:t>
      </w:r>
      <w:r>
        <w:br/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25. https://ir.revmed.com/news-releases/news-release-details/revolution-medicines-announces-fda-breakthrough-</w:t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therapy </w:t>
      </w:r>
      <w:r>
        <w:br/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26. https://investor.verastem.com/news-releases/news-release-details/verastem-oncology-granted-fast-track-</w:t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designation-vs-7375 </w:t>
      </w:r>
      <w:r>
        <w:br/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27. https://www.targetedonc.com/view/fda-grants-fast-track-designation-to-bbo-11818-in-kras-mutant-pdac </w:t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28. https://www.d3bio.com/press-releases/d3-bios-d3s-001-receives-u-s-fda-fast-track-designation-for-the-treatment-</w:t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of-colorectal- cancer-with-kras-g12c-mutation </w:t>
      </w:r>
      <w:r>
        <w:br/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29. https://cardiffoncology.com/wp-content/uploads/2021/07/Cardiff_Oncology_Investor_Presentation-_July_2021.pdf </w:t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30. https://oncolyticsbiotech.com/press_releases/oncolytics-biotech-receives-fda-fast-track-designation-for-pelareorep-</w:t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 xml:space="preserve">in-2l-kras- mutant-mss-metastatic-colorectal-cancer/ </w:t>
      </w:r>
      <w:r>
        <w:br/>
      </w:r>
      <w:r>
        <w:rPr>
          <w:shd w:val="clear" w:color="auto" w:fill="000000"/>
          <w:rFonts w:ascii="Cambria" w:hAnsi="Cambria" w:eastAsia="Cambria"/>
          <w:b w:val="0"/>
          <w:i w:val="0"/>
          <w:color w:val="000000"/>
          <w:sz w:val="19"/>
        </w:rPr>
        <w:t>31. Slebos et al. K-ras oncogene activation as a prognostic marker in adenocarcinoma of the lung. N. Engl. J. Med. 1990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2.0" w:type="dxa"/>
      </w:tblPr>
      <w:tblGrid>
        <w:gridCol w:w="9038"/>
      </w:tblGrid>
      <w:tr>
        <w:trPr>
          <w:trHeight w:hRule="exact" w:val="790"/>
        </w:trPr>
        <w:tc>
          <w:tcPr>
            <w:tcW w:type="dxa" w:w="10320"/>
            <w:tcBorders>
              <w:bottom w:sz="6.0" w:val="single" w:color="#1F497D"/>
            </w:tcBorders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2" w:after="0"/>
              <w:ind w:left="17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9"/>
              </w:rPr>
              <w:t>Aug 30;323(9):561-5. PMID: 2199829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3014"/>
        </w:trPr>
        <w:tc>
          <w:tcPr>
            <w:tcW w:type="dxa" w:w="11918"/>
            <w:tcBorders/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38.0" w:type="dxa"/>
            </w:tblPr>
            <w:tblGrid>
              <w:gridCol w:w="1986"/>
              <w:gridCol w:w="1986"/>
              <w:gridCol w:w="1986"/>
              <w:gridCol w:w="1986"/>
              <w:gridCol w:w="1986"/>
              <w:gridCol w:w="1986"/>
            </w:tblGrid>
            <w:tr>
              <w:trPr>
                <w:trHeight w:hRule="exact" w:val="420"/>
              </w:trPr>
              <w:tc>
                <w:tcPr>
                  <w:tcW w:type="dxa" w:w="10448"/>
                  <w:gridSpan w:val="6"/>
                  <w:tcBorders>
                    <w:start w:sz="6.0" w:val="single" w:color="#1F497D"/>
                    <w:end w:sz="6.0" w:val="single" w:color="#1F497D"/>
                    <w:bottom w:sz="5.599999999999909" w:val="single" w:color="#1F497D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2" w:after="0"/>
                    <w:ind w:left="186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1F497D"/>
                      <w:sz w:val="19"/>
                    </w:rPr>
                    <w:t>Table 1 (Page 1)</w:t>
                  </w:r>
                </w:p>
              </w:tc>
            </w:tr>
            <w:tr>
              <w:trPr>
                <w:trHeight w:hRule="exact" w:val="974"/>
              </w:trPr>
              <w:tc>
                <w:tcPr>
                  <w:tcW w:type="dxa" w:w="786"/>
                  <w:tcBorders>
                    <w:start w:sz="6.0" w:val="single" w:color="#1F497D"/>
                    <w:top w:sz="5.599999999999909" w:val="single" w:color="#1F497D"/>
                    <w:end w:sz="5.600000000000023" w:val="single" w:color="#1F497D"/>
                    <w:bottom w:sz="6.399999999999636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36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Gene</w:t>
                  </w:r>
                </w:p>
              </w:tc>
              <w:tc>
                <w:tcPr>
                  <w:tcW w:type="dxa" w:w="1320"/>
                  <w:tcBorders>
                    <w:start w:sz="5.600000000000023" w:val="single" w:color="#1F497D"/>
                    <w:top w:sz="5.599999999999909" w:val="single" w:color="#1F497D"/>
                    <w:end w:sz="5.599999999999909" w:val="single" w:color="#1F497D"/>
                    <w:bottom w:sz="6.399999999999636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5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CDS variant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details</w:t>
                  </w:r>
                </w:p>
              </w:tc>
              <w:tc>
                <w:tcPr>
                  <w:tcW w:type="dxa" w:w="1800"/>
                  <w:tcBorders>
                    <w:start w:sz="5.599999999999909" w:val="single" w:color="#1F497D"/>
                    <w:top w:sz="5.599999999999909" w:val="single" w:color="#1F497D"/>
                    <w:end w:sz="5.599999999999909" w:val="single" w:color="#1F497D"/>
                    <w:bottom w:sz="6.399999999999636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36" w:after="0"/>
                    <w:ind w:left="144" w:right="144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Amino acid </w:t>
                  </w:r>
                  <w:r>
                    <w:br/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change/ Exon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No.</w:t>
                  </w:r>
                </w:p>
              </w:tc>
              <w:tc>
                <w:tcPr>
                  <w:tcW w:type="dxa" w:w="2098"/>
                  <w:tcBorders>
                    <w:start w:sz="5.599999999999909" w:val="single" w:color="#1F497D"/>
                    <w:top w:sz="5.599999999999909" w:val="single" w:color="#1F497D"/>
                    <w:end w:sz="5.599999999999909" w:val="single" w:color="#1F497D"/>
                    <w:bottom w:sz="6.399999999999636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36" w:after="0"/>
                    <w:ind w:left="288" w:right="288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Overall depth/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Mutant Allele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Percentage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1F497D"/>
                    <w:top w:sz="5.599999999999909" w:val="single" w:color="#1F497D"/>
                    <w:end w:sz="6.400000000000091" w:val="single" w:color="#1F497D"/>
                    <w:bottom w:sz="6.399999999999636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56" w:after="0"/>
                    <w:ind w:left="144" w:right="144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Function of the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gene in cancer</w:t>
                  </w:r>
                </w:p>
              </w:tc>
              <w:tc>
                <w:tcPr>
                  <w:tcW w:type="dxa" w:w="2778"/>
                  <w:tcBorders>
                    <w:start w:sz="6.400000000000091" w:val="single" w:color="#1F497D"/>
                    <w:top w:sz="5.599999999999909" w:val="single" w:color="#1F497D"/>
                    <w:end w:sz="6.0" w:val="single" w:color="#1F497D"/>
                    <w:bottom w:sz="6.399999999999636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36" w:after="0"/>
                    <w:ind w:left="144" w:right="144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Variant Classification and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its relevance in patient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tumor type</w:t>
                  </w:r>
                </w:p>
              </w:tc>
            </w:tr>
            <w:tr>
              <w:trPr>
                <w:trHeight w:hRule="exact" w:val="746"/>
              </w:trPr>
              <w:tc>
                <w:tcPr>
                  <w:tcW w:type="dxa" w:w="786"/>
                  <w:tcBorders>
                    <w:start w:sz="6.0" w:val="single" w:color="#1F497D"/>
                    <w:top w:sz="6.399999999999636" w:val="single" w:color="#1F497D"/>
                    <w:end w:sz="5.600000000000023" w:val="single" w:color="#1F497D"/>
                    <w:bottom w:sz="5.600000000000364" w:val="single" w:color="#1F497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3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19"/>
                    </w:rPr>
                    <w:t>KRAS</w:t>
                  </w:r>
                </w:p>
              </w:tc>
              <w:tc>
                <w:tcPr>
                  <w:tcW w:type="dxa" w:w="1320"/>
                  <w:tcBorders>
                    <w:start w:sz="5.600000000000023" w:val="single" w:color="#1F497D"/>
                    <w:top w:sz="6.399999999999636" w:val="single" w:color="#1F497D"/>
                    <w:end w:sz="5.599999999999909" w:val="single" w:color="#1F497D"/>
                    <w:bottom w:sz="6.0" w:val="single" w:color="#1F497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34" w:after="0"/>
                    <w:ind w:left="15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19"/>
                    </w:rPr>
                    <w:t>c.35G&gt;T</w:t>
                  </w:r>
                </w:p>
              </w:tc>
              <w:tc>
                <w:tcPr>
                  <w:tcW w:type="dxa" w:w="1800"/>
                  <w:tcBorders>
                    <w:start w:sz="5.599999999999909" w:val="single" w:color="#1F497D"/>
                    <w:top w:sz="6.399999999999636" w:val="single" w:color="#1F497D"/>
                    <w:end w:sz="5.599999999999909" w:val="single" w:color="#1F497D"/>
                    <w:bottom w:sz="6.0" w:val="single" w:color="#1F497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134" w:after="0"/>
                    <w:ind w:left="156" w:right="144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19"/>
                    </w:rPr>
                    <w:t xml:space="preserve">p.Gly12Val/ Exon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19"/>
                    </w:rPr>
                    <w:t>2</w:t>
                  </w:r>
                </w:p>
              </w:tc>
              <w:tc>
                <w:tcPr>
                  <w:tcW w:type="dxa" w:w="2098"/>
                  <w:tcBorders>
                    <w:start w:sz="5.599999999999909" w:val="single" w:color="#1F497D"/>
                    <w:top w:sz="6.399999999999636" w:val="single" w:color="#1F497D"/>
                    <w:end w:sz="5.599999999999909" w:val="single" w:color="#1F497D"/>
                    <w:bottom w:sz="6.0" w:val="single" w:color="#1F497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34" w:after="0"/>
                    <w:ind w:left="16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19"/>
                    </w:rPr>
                    <w:t>1537x/ 16.72%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1F497D"/>
                    <w:top w:sz="6.399999999999636" w:val="single" w:color="#1F497D"/>
                    <w:end w:sz="6.400000000000091" w:val="single" w:color="#1F497D"/>
                    <w:bottom w:sz="6.0" w:val="single" w:color="#1F497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134" w:after="0"/>
                    <w:ind w:left="144" w:right="72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19"/>
                    </w:rPr>
                    <w:t>Gain-of-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19"/>
                    </w:rPr>
                    <w:t>Function</w:t>
                  </w:r>
                </w:p>
              </w:tc>
              <w:tc>
                <w:tcPr>
                  <w:tcW w:type="dxa" w:w="2778"/>
                  <w:tcBorders>
                    <w:start w:sz="6.400000000000091" w:val="single" w:color="#1F497D"/>
                    <w:top w:sz="6.399999999999636" w:val="single" w:color="#1F497D"/>
                    <w:end w:sz="6.0" w:val="single" w:color="#1F497D"/>
                    <w:bottom w:sz="6.0" w:val="single" w:color="#1F497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34" w:after="0"/>
                    <w:ind w:left="15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19"/>
                    </w:rPr>
                    <w:t>Tier I:A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856"/>
        </w:trPr>
        <w:tc>
          <w:tcPr>
            <w:tcW w:type="dxa" w:w="11918"/>
            <w:tcBorders/>
            <w:shd w:fill="f1f5f9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38.0" w:type="dxa"/>
            </w:tblPr>
            <w:tblGrid>
              <w:gridCol w:w="1986"/>
              <w:gridCol w:w="1986"/>
              <w:gridCol w:w="1986"/>
              <w:gridCol w:w="1986"/>
              <w:gridCol w:w="1986"/>
              <w:gridCol w:w="1986"/>
            </w:tblGrid>
            <w:tr>
              <w:trPr>
                <w:trHeight w:hRule="exact" w:val="420"/>
              </w:trPr>
              <w:tc>
                <w:tcPr>
                  <w:tcW w:type="dxa" w:w="10448"/>
                  <w:gridSpan w:val="6"/>
                  <w:tcBorders>
                    <w:start w:sz="6.0" w:val="single" w:color="#1F497D"/>
                    <w:end w:sz="6.0" w:val="single" w:color="#1F497D"/>
                    <w:bottom w:sz="5.600000000000364" w:val="single" w:color="#1F497D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52" w:after="0"/>
                    <w:ind w:left="186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1F497D"/>
                      <w:sz w:val="19"/>
                    </w:rPr>
                    <w:t>Table 2 (Page 1)</w:t>
                  </w:r>
                </w:p>
              </w:tc>
            </w:tr>
            <w:tr>
              <w:trPr>
                <w:trHeight w:hRule="exact" w:val="976"/>
              </w:trPr>
              <w:tc>
                <w:tcPr>
                  <w:tcW w:type="dxa" w:w="770"/>
                  <w:tcBorders>
                    <w:start w:sz="6.0" w:val="single" w:color="#1F497D"/>
                    <w:top w:sz="5.600000000000364" w:val="single" w:color="#1F497D"/>
                    <w:end w:sz="6.399999999999977" w:val="single" w:color="#1F497D"/>
                    <w:bottom w:sz="6.399999999999636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37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Gene</w:t>
                  </w:r>
                </w:p>
              </w:tc>
              <w:tc>
                <w:tcPr>
                  <w:tcW w:type="dxa" w:w="1276"/>
                  <w:tcBorders>
                    <w:start w:sz="6.399999999999977" w:val="single" w:color="#1F497D"/>
                    <w:top w:sz="5.600000000000364" w:val="single" w:color="#1F497D"/>
                    <w:end w:sz="5.599999999999909" w:val="single" w:color="#1F497D"/>
                    <w:bottom w:sz="6.399999999999636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50" w:after="0"/>
                    <w:ind w:left="288" w:right="288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CDS </w:t>
                  </w:r>
                  <w:r>
                    <w:br/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variant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details</w:t>
                  </w:r>
                </w:p>
              </w:tc>
              <w:tc>
                <w:tcPr>
                  <w:tcW w:type="dxa" w:w="1648"/>
                  <w:tcBorders>
                    <w:start w:sz="5.599999999999909" w:val="single" w:color="#1F497D"/>
                    <w:top w:sz="5.600000000000364" w:val="single" w:color="#1F497D"/>
                    <w:end w:sz="6.400000000000091" w:val="single" w:color="#1F497D"/>
                    <w:bottom w:sz="6.399999999999636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50" w:after="0"/>
                    <w:ind w:left="144" w:right="144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Amino acid </w:t>
                  </w:r>
                  <w:r>
                    <w:br/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change/ Exon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No.</w:t>
                  </w:r>
                </w:p>
              </w:tc>
              <w:tc>
                <w:tcPr>
                  <w:tcW w:type="dxa" w:w="2190"/>
                  <w:tcBorders>
                    <w:start w:sz="6.400000000000091" w:val="single" w:color="#1F497D"/>
                    <w:top w:sz="5.600000000000364" w:val="single" w:color="#1F497D"/>
                    <w:end w:sz="5.599999999999909" w:val="single" w:color="#1F497D"/>
                    <w:bottom w:sz="6.399999999999636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50" w:after="0"/>
                    <w:ind w:left="288" w:right="288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Overall depth/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Mutant Allele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Percentage</w:t>
                  </w:r>
                </w:p>
              </w:tc>
              <w:tc>
                <w:tcPr>
                  <w:tcW w:type="dxa" w:w="1696"/>
                  <w:tcBorders>
                    <w:start w:sz="5.599999999999909" w:val="single" w:color="#1F497D"/>
                    <w:top w:sz="5.600000000000364" w:val="single" w:color="#1F497D"/>
                    <w:end w:sz="5.599999999999909" w:val="single" w:color="#1F497D"/>
                    <w:bottom w:sz="6.399999999999636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54" w:after="0"/>
                    <w:ind w:left="144" w:right="144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Function of the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gene in cancer</w:t>
                  </w:r>
                </w:p>
              </w:tc>
              <w:tc>
                <w:tcPr>
                  <w:tcW w:type="dxa" w:w="2868"/>
                  <w:tcBorders>
                    <w:start w:sz="5.599999999999909" w:val="single" w:color="#1F497D"/>
                    <w:top w:sz="5.600000000000364" w:val="single" w:color="#1F497D"/>
                    <w:end w:sz="6.0" w:val="single" w:color="#1F497D"/>
                    <w:bottom w:sz="6.399999999999636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50" w:after="0"/>
                    <w:ind w:left="144" w:right="144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Variant Classification and its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relevance in other tumor </w:t>
                  </w:r>
                  <w:r>
                    <w:br/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type</w:t>
                  </w:r>
                </w:p>
              </w:tc>
            </w:tr>
            <w:tr>
              <w:trPr>
                <w:trHeight w:hRule="exact" w:val="510"/>
              </w:trPr>
              <w:tc>
                <w:tcPr>
                  <w:tcW w:type="dxa" w:w="770"/>
                  <w:tcBorders>
                    <w:start w:sz="6.0" w:val="single" w:color="#1F497D"/>
                    <w:top w:sz="6.399999999999636" w:val="single" w:color="#1F497D"/>
                    <w:end w:sz="6.399999999999977" w:val="single" w:color="#1F497D"/>
                    <w:bottom w:sz="5.600000000000364" w:val="single" w:color="#1F497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3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19"/>
                    </w:rPr>
                    <w:t>None</w:t>
                  </w:r>
                </w:p>
              </w:tc>
              <w:tc>
                <w:tcPr>
                  <w:tcW w:type="dxa" w:w="1276"/>
                  <w:tcBorders>
                    <w:start w:sz="6.399999999999977" w:val="single" w:color="#1F497D"/>
                    <w:top w:sz="6.399999999999636" w:val="single" w:color="#1F497D"/>
                    <w:end w:sz="5.599999999999909" w:val="single" w:color="#1F497D"/>
                    <w:bottom w:sz="6.0" w:val="single" w:color="#1F497D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648"/>
                  <w:tcBorders>
                    <w:start w:sz="5.599999999999909" w:val="single" w:color="#1F497D"/>
                    <w:top w:sz="6.399999999999636" w:val="single" w:color="#1F497D"/>
                    <w:end w:sz="6.400000000000091" w:val="single" w:color="#1F497D"/>
                    <w:bottom w:sz="6.0" w:val="single" w:color="#1F497D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90"/>
                  <w:tcBorders>
                    <w:start w:sz="6.400000000000091" w:val="single" w:color="#1F497D"/>
                    <w:top w:sz="6.399999999999636" w:val="single" w:color="#1F497D"/>
                    <w:end w:sz="5.599999999999909" w:val="single" w:color="#1F497D"/>
                    <w:bottom w:sz="6.0" w:val="single" w:color="#1F497D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696"/>
                  <w:tcBorders>
                    <w:start w:sz="5.599999999999909" w:val="single" w:color="#1F497D"/>
                    <w:top w:sz="6.399999999999636" w:val="single" w:color="#1F497D"/>
                    <w:end w:sz="5.599999999999909" w:val="single" w:color="#1F497D"/>
                    <w:bottom w:sz="6.0" w:val="single" w:color="#1F497D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868"/>
                  <w:tcBorders>
                    <w:start w:sz="5.599999999999909" w:val="single" w:color="#1F497D"/>
                    <w:top w:sz="6.399999999999636" w:val="single" w:color="#1F497D"/>
                    <w:end w:sz="6.0" w:val="single" w:color="#1F497D"/>
                    <w:bottom w:sz="6.0" w:val="single" w:color="#1F497D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39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738.0" w:type="dxa"/>
            </w:tblPr>
            <w:tblGrid>
              <w:gridCol w:w="2384"/>
              <w:gridCol w:w="2384"/>
              <w:gridCol w:w="2384"/>
              <w:gridCol w:w="2384"/>
              <w:gridCol w:w="2384"/>
            </w:tblGrid>
            <w:tr>
              <w:trPr>
                <w:trHeight w:hRule="exact" w:val="419"/>
              </w:trPr>
              <w:tc>
                <w:tcPr>
                  <w:tcW w:type="dxa" w:w="10448"/>
                  <w:gridSpan w:val="5"/>
                  <w:tcBorders>
                    <w:start w:sz="6.0" w:val="single" w:color="#1F497D"/>
                    <w:end w:sz="6.0" w:val="single" w:color="#1F497D"/>
                    <w:bottom w:sz="6.399999999999636" w:val="single" w:color="#1F497D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2" w:after="0"/>
                    <w:ind w:left="186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1F497D"/>
                      <w:sz w:val="19"/>
                    </w:rPr>
                    <w:t>Table 3 (Page 1)</w:t>
                  </w:r>
                </w:p>
              </w:tc>
            </w:tr>
            <w:tr>
              <w:trPr>
                <w:trHeight w:hRule="exact" w:val="750"/>
              </w:trPr>
              <w:tc>
                <w:tcPr>
                  <w:tcW w:type="dxa" w:w="770"/>
                  <w:tcBorders>
                    <w:start w:sz="6.0" w:val="single" w:color="#1F497D"/>
                    <w:top w:sz="6.399999999999636" w:val="single" w:color="#1F497D"/>
                    <w:end w:sz="6.399999999999977" w:val="single" w:color="#1F497D"/>
                    <w:bottom w:sz="5.600000000000364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5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Gene</w:t>
                  </w:r>
                </w:p>
              </w:tc>
              <w:tc>
                <w:tcPr>
                  <w:tcW w:type="dxa" w:w="1484"/>
                  <w:tcBorders>
                    <w:start w:sz="6.399999999999977" w:val="single" w:color="#1F497D"/>
                    <w:top w:sz="6.399999999999636" w:val="single" w:color="#1F497D"/>
                    <w:end w:sz="6.400000000000091" w:val="single" w:color="#1F497D"/>
                    <w:bottom w:sz="5.600000000000364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34" w:after="0"/>
                    <w:ind w:left="144" w:right="144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CDS variant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details</w:t>
                  </w:r>
                </w:p>
              </w:tc>
              <w:tc>
                <w:tcPr>
                  <w:tcW w:type="dxa" w:w="2040"/>
                  <w:tcBorders>
                    <w:start w:sz="6.400000000000091" w:val="single" w:color="#1F497D"/>
                    <w:top w:sz="6.399999999999636" w:val="single" w:color="#1F497D"/>
                    <w:end w:sz="6.400000000000091" w:val="single" w:color="#1F497D"/>
                    <w:bottom w:sz="5.600000000000364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34" w:after="0"/>
                    <w:ind w:left="144" w:right="144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Amino acid </w:t>
                  </w:r>
                  <w:r>
                    <w:br/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change/ Exon No.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1F497D"/>
                    <w:top w:sz="6.399999999999636" w:val="single" w:color="#1F497D"/>
                    <w:end w:sz="5.599999999999909" w:val="single" w:color="#1F497D"/>
                    <w:bottom w:sz="5.600000000000364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34" w:after="0"/>
                    <w:ind w:left="288" w:right="288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Overall depth/ Mutant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Allele Percentage</w:t>
                  </w:r>
                </w:p>
              </w:tc>
              <w:tc>
                <w:tcPr>
                  <w:tcW w:type="dxa" w:w="3424"/>
                  <w:tcBorders>
                    <w:start w:sz="5.599999999999909" w:val="single" w:color="#1F497D"/>
                    <w:top w:sz="6.399999999999636" w:val="single" w:color="#1F497D"/>
                    <w:end w:sz="6.0" w:val="single" w:color="#1F497D"/>
                    <w:bottom w:sz="5.600000000000364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34" w:after="0"/>
                    <w:ind w:left="288" w:right="288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 xml:space="preserve">Function of the gene in patient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tumor/ Other tumor type</w:t>
                  </w:r>
                </w:p>
              </w:tc>
            </w:tr>
            <w:tr>
              <w:trPr>
                <w:trHeight w:hRule="exact" w:val="497"/>
              </w:trPr>
              <w:tc>
                <w:tcPr>
                  <w:tcW w:type="dxa" w:w="770"/>
                  <w:tcBorders>
                    <w:start w:sz="6.0" w:val="single" w:color="#1F497D"/>
                    <w:top w:sz="5.600000000000364" w:val="single" w:color="#1F497D"/>
                    <w:end w:sz="6.399999999999977" w:val="single" w:color="#1F497D"/>
                    <w:bottom w:sz="6.399999999999636" w:val="single" w:color="#1F497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3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19"/>
                    </w:rPr>
                    <w:t>None</w:t>
                  </w:r>
                </w:p>
              </w:tc>
              <w:tc>
                <w:tcPr>
                  <w:tcW w:type="dxa" w:w="1484"/>
                  <w:tcBorders>
                    <w:start w:sz="6.399999999999977" w:val="single" w:color="#1F497D"/>
                    <w:top w:sz="5.600000000000364" w:val="single" w:color="#1F497D"/>
                    <w:end w:sz="6.400000000000091" w:val="single" w:color="#1F497D"/>
                    <w:bottom w:sz="6.0" w:val="single" w:color="#1F497D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040"/>
                  <w:tcBorders>
                    <w:start w:sz="6.400000000000091" w:val="single" w:color="#1F497D"/>
                    <w:top w:sz="5.600000000000364" w:val="single" w:color="#1F497D"/>
                    <w:end w:sz="6.400000000000091" w:val="single" w:color="#1F497D"/>
                    <w:bottom w:sz="6.0" w:val="single" w:color="#1F497D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730"/>
                  <w:tcBorders>
                    <w:start w:sz="6.400000000000091" w:val="single" w:color="#1F497D"/>
                    <w:top w:sz="5.600000000000364" w:val="single" w:color="#1F497D"/>
                    <w:end w:sz="5.599999999999909" w:val="single" w:color="#1F497D"/>
                    <w:bottom w:sz="6.0" w:val="single" w:color="#1F497D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424"/>
                  <w:tcBorders>
                    <w:start w:sz="5.599999999999909" w:val="single" w:color="#1F497D"/>
                    <w:top w:sz="5.600000000000364" w:val="single" w:color="#1F497D"/>
                    <w:end w:sz="6.0" w:val="single" w:color="#1F497D"/>
                    <w:bottom w:sz="6.0" w:val="single" w:color="#1F497D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5310"/>
        </w:trPr>
        <w:tc>
          <w:tcPr>
            <w:tcW w:type="dxa" w:w="11918"/>
            <w:tcBorders/>
            <w:shd w:fill="f1f5f9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560"/>
        </w:trPr>
        <w:tc>
          <w:tcPr>
            <w:tcW w:type="dxa" w:w="11918"/>
            <w:tcBorders/>
            <w:shd w:fill="f1f5f9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6870"/>
        </w:trPr>
        <w:tc>
          <w:tcPr>
            <w:tcW w:type="dxa" w:w="11918"/>
            <w:tcBorders/>
            <w:shd w:fill="f1f5f9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38"/>
      </w:tblGrid>
      <w:tr>
        <w:trPr>
          <w:trHeight w:hRule="exact" w:val="918"/>
        </w:trPr>
        <w:tc>
          <w:tcPr>
            <w:tcW w:type="dxa" w:w="10484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40" w:after="0"/>
              <w:ind w:left="21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Extracted Body Images &amp; Graphical Content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38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2552"/>
        </w:trPr>
        <w:tc>
          <w:tcPr>
            <w:tcW w:type="dxa" w:w="3554"/>
            <w:gridSpan w:val="2"/>
            <w:tcBorders>
              <w:start w:sz="6.0" w:val="single" w:color="#E2E7F0"/>
              <w:end w:sz="6.0" w:val="single" w:color="#E2E7F0"/>
            </w:tcBorders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86610" cy="15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610" cy="15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6"/>
            <w:gridSpan w:val="2"/>
            <w:tcBorders>
              <w:start w:sz="6.0" w:val="single" w:color="#E2E7F0"/>
              <w:end w:sz="6.0" w:val="single" w:color="#E2E7F0"/>
            </w:tcBorders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316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85289" cy="15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5289" cy="15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074"/>
            <w:tcBorders>
              <w:start w:sz="6.0" w:val="single" w:color="#E2E7F0"/>
            </w:tcBorders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2" w:after="0"/>
              <w:ind w:left="31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95450" cy="152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450" cy="15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342"/>
        </w:trPr>
        <w:tc>
          <w:tcPr>
            <w:tcW w:type="dxa" w:w="3554"/>
            <w:gridSpan w:val="2"/>
            <w:tcBorders>
              <w:start w:sz="6.0" w:val="single" w:color="#E2E7F0"/>
              <w:end w:sz="6.0" w:val="single" w:color="#E2E7F0"/>
            </w:tcBorders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64748B"/>
                <w:sz w:val="16"/>
              </w:rPr>
              <w:t>Page 2 • Image (602×439px)</w:t>
            </w:r>
          </w:p>
        </w:tc>
        <w:tc>
          <w:tcPr>
            <w:tcW w:type="dxa" w:w="3106"/>
            <w:gridSpan w:val="2"/>
            <w:tcBorders>
              <w:start w:sz="6.0" w:val="single" w:color="#E2E7F0"/>
              <w:end w:sz="6.0" w:val="single" w:color="#E2E7F0"/>
            </w:tcBorders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6" w:after="0"/>
              <w:ind w:left="620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64748B"/>
                <w:sz w:val="16"/>
              </w:rPr>
              <w:t>Page 5 • Image (936×842px)</w:t>
            </w:r>
          </w:p>
        </w:tc>
        <w:tc>
          <w:tcPr>
            <w:tcW w:type="dxa" w:w="3074"/>
            <w:tcBorders>
              <w:start w:sz="6.0" w:val="single" w:color="#E2E7F0"/>
            </w:tcBorders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6" w:after="0"/>
              <w:ind w:left="63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64748B"/>
                <w:sz w:val="16"/>
              </w:rPr>
              <w:t>Page 6 • Image (936×842px)</w:t>
            </w:r>
          </w:p>
        </w:tc>
      </w:tr>
      <w:tr>
        <w:trPr>
          <w:trHeight w:hRule="exact" w:val="2838"/>
        </w:trPr>
        <w:tc>
          <w:tcPr>
            <w:tcW w:type="dxa" w:w="2926"/>
            <w:tcBorders>
              <w:start w:sz="6.0" w:val="single" w:color="#E2E7F0"/>
              <w:end w:sz="6.0" w:val="single" w:color="#E2E7F0"/>
            </w:tcBorders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6.000000000000085" w:type="dxa"/>
            </w:tblPr>
            <w:tblGrid>
              <w:gridCol w:w="2926"/>
            </w:tblGrid>
            <w:tr>
              <w:trPr>
                <w:trHeight w:hRule="exact" w:val="2540"/>
              </w:trPr>
              <w:tc>
                <w:tcPr>
                  <w:tcW w:type="dxa" w:w="2836"/>
                  <w:tcBorders>
                    <w:top w:sz="6.0" w:val="single" w:color="#E2E7F0"/>
                  </w:tcBorders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96720" cy="1524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96720" cy="1524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18"/>
            <w:gridSpan w:val="2"/>
            <w:tcBorders>
              <w:start w:sz="6.0" w:val="single" w:color="#E2E7F0"/>
              <w:end w:sz="6.0" w:val="single" w:color="#E2E7F0"/>
            </w:tcBorders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30.0" w:type="dxa"/>
            </w:tblPr>
            <w:tblGrid>
              <w:gridCol w:w="3118"/>
            </w:tblGrid>
            <w:tr>
              <w:trPr>
                <w:trHeight w:hRule="exact" w:val="2540"/>
              </w:trPr>
              <w:tc>
                <w:tcPr>
                  <w:tcW w:type="dxa" w:w="2836"/>
                  <w:tcBorders>
                    <w:top w:sz="6.0" w:val="single" w:color="#E2E7F0"/>
                  </w:tcBorders>
                  <w:shd w:fill="fafa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8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96720" cy="1524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96720" cy="1524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690"/>
            <w:gridSpan w:val="2"/>
            <w:tcBorders>
              <w:start w:sz="6.0" w:val="single" w:color="#E2E7F0"/>
            </w:tcBorders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8" w:after="0"/>
              <w:ind w:left="31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96720" cy="152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720" cy="15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328"/>
        </w:trPr>
        <w:tc>
          <w:tcPr>
            <w:tcW w:type="dxa" w:w="3554"/>
            <w:gridSpan w:val="2"/>
            <w:tcBorders>
              <w:start w:sz="6.0" w:val="single" w:color="#E2E7F0"/>
              <w:end w:sz="6.0" w:val="single" w:color="#E2E7F0"/>
            </w:tcBorders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0" w:after="0"/>
              <w:ind w:left="43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64748B"/>
                <w:sz w:val="16"/>
              </w:rPr>
              <w:t>Page 6 • Image (936×842px)</w:t>
            </w:r>
          </w:p>
        </w:tc>
        <w:tc>
          <w:tcPr>
            <w:tcW w:type="dxa" w:w="3106"/>
            <w:gridSpan w:val="2"/>
            <w:tcBorders>
              <w:start w:sz="6.0" w:val="single" w:color="#E2E7F0"/>
              <w:end w:sz="6.0" w:val="single" w:color="#E2E7F0"/>
            </w:tcBorders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0" w:after="0"/>
              <w:ind w:left="0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64748B"/>
                <w:sz w:val="16"/>
              </w:rPr>
              <w:t>Page 7 • Image (936×842px)</w:t>
            </w:r>
          </w:p>
        </w:tc>
        <w:tc>
          <w:tcPr>
            <w:tcW w:type="dxa" w:w="3074"/>
            <w:tcBorders>
              <w:start w:sz="6.0" w:val="single" w:color="#E2E7F0"/>
            </w:tcBorders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0" w:after="0"/>
              <w:ind w:left="8" w:right="0" w:firstLine="0"/>
              <w:jc w:val="left"/>
            </w:pPr>
            <w:r>
              <w:rPr>
                <w:shd w:val="clear" w:color="auto" w:fill="fafafa"/>
                <w:rFonts w:ascii="Arial" w:hAnsi="Arial" w:eastAsia="Arial"/>
                <w:b w:val="0"/>
                <w:i w:val="0"/>
                <w:color w:val="64748B"/>
                <w:sz w:val="16"/>
              </w:rPr>
              <w:t>Page 7 • Image (936×842px)</w:t>
            </w:r>
          </w:p>
        </w:tc>
      </w:tr>
      <w:tr>
        <w:trPr>
          <w:trHeight w:hRule="exact" w:val="2832"/>
        </w:trPr>
        <w:tc>
          <w:tcPr>
            <w:tcW w:type="dxa" w:w="2926"/>
            <w:tcBorders>
              <w:start w:sz="6.0" w:val="single" w:color="#E2E7F0"/>
              <w:end w:sz="6.0" w:val="single" w:color="#E2E7F0"/>
            </w:tcBorders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96720" cy="1524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720" cy="15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  <w:gridSpan w:val="2"/>
            <w:tcBorders>
              <w:start w:sz="6.0" w:val="single" w:color="#E2E7F0"/>
              <w:end w:sz="6.0" w:val="single" w:color="#E2E7F0"/>
            </w:tcBorders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8" w:after="0"/>
              <w:ind w:left="312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96720" cy="152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720" cy="15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90"/>
            <w:gridSpan w:val="2"/>
            <w:tcBorders>
              <w:start w:sz="6.0" w:val="single" w:color="#E2E7F0"/>
            </w:tcBorders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8" w:after="0"/>
              <w:ind w:left="31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96720" cy="1524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720" cy="15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332"/>
        </w:trPr>
        <w:tc>
          <w:tcPr>
            <w:tcW w:type="dxa" w:w="3554"/>
            <w:gridSpan w:val="2"/>
            <w:tcBorders>
              <w:start w:sz="6.0" w:val="single" w:color="#E2E7F0"/>
              <w:end w:sz="6.0" w:val="single" w:color="#E2E7F0"/>
            </w:tcBorders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43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64748B"/>
                <w:sz w:val="16"/>
              </w:rPr>
              <w:t>Page 8 • Image (936×842px)</w:t>
            </w:r>
          </w:p>
        </w:tc>
        <w:tc>
          <w:tcPr>
            <w:tcW w:type="dxa" w:w="3106"/>
            <w:gridSpan w:val="2"/>
            <w:tcBorders>
              <w:start w:sz="6.0" w:val="single" w:color="#E2E7F0"/>
              <w:end w:sz="6.0" w:val="single" w:color="#E2E7F0"/>
            </w:tcBorders>
            <w:shd w:fill="f1f5f9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64748B"/>
                <w:sz w:val="16"/>
              </w:rPr>
              <w:t>Page 8 • Image (936×842px)</w:t>
            </w:r>
          </w:p>
        </w:tc>
        <w:tc>
          <w:tcPr>
            <w:tcW w:type="dxa" w:w="3074"/>
            <w:tcBorders>
              <w:start w:sz="6.0" w:val="single" w:color="#E2E7F0"/>
            </w:tcBorders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64748B"/>
                <w:sz w:val="16"/>
              </w:rPr>
              <w:t>Page 9 • Image (936×842px)</w:t>
            </w:r>
          </w:p>
        </w:tc>
      </w:tr>
    </w:tbl>
    <w:p>
      <w:pPr>
        <w:autoSpaceDN w:val="0"/>
        <w:autoSpaceDE w:val="0"/>
        <w:widowControl/>
        <w:spacing w:line="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82.0" w:type="dxa"/>
      </w:tblPr>
      <w:tblGrid>
        <w:gridCol w:w="9038"/>
      </w:tblGrid>
      <w:tr>
        <w:trPr>
          <w:trHeight w:hRule="exact" w:val="2782"/>
        </w:trPr>
        <w:tc>
          <w:tcPr>
            <w:tcW w:type="dxa" w:w="2836"/>
            <w:tcBorders>
              <w:top w:sz="6.0" w:val="single" w:color="#E2E7F0"/>
            </w:tcBorders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1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96720" cy="1524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720" cy="15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82.0" w:type="dxa"/>
      </w:tblPr>
      <w:tblGrid>
        <w:gridCol w:w="9038"/>
      </w:tblGrid>
      <w:tr>
        <w:trPr>
          <w:trHeight w:hRule="exact" w:val="342"/>
        </w:trPr>
        <w:tc>
          <w:tcPr>
            <w:tcW w:type="dxa" w:w="2836"/>
            <w:tcBorders>
              <w:bottom w:sz="6.0" w:val="single" w:color="#E2E7F0"/>
            </w:tcBorders>
            <w:shd w:fill="f1f5f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64748B"/>
                <w:sz w:val="16"/>
              </w:rPr>
              <w:t>Page 9 • Image (936×842px)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18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