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2600128556</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DULAL NAHA (KOL2604070057)</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07-Apr-2026 12:00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Male/70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20-Apr-2026 12:16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30-Apr-2026 05:55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left"/>
      </w:pPr>
      <w:r>
        <w:rPr>
          <w:rFonts w:ascii="Cambria" w:hAnsi="Cambria"/>
          <w:b/>
          <w:i w:val="0"/>
          <w:color w:val="1F497D"/>
          <w:sz w:val="26"/>
        </w:rPr>
        <w:t>Liquidseq Actionable Genomic Profiling Panel</w:t>
      </w:r>
    </w:p>
    <w:p>
      <w:pPr>
        <w:keepNext/>
        <w:spacing w:before="0" w:after="80"/>
        <w:jc w:val="left"/>
      </w:pPr>
      <w:r>
        <w:rPr>
          <w:rFonts w:ascii="Cambria" w:hAnsi="Cambria"/>
          <w:b/>
          <w:i w:val="0"/>
          <w:color w:val="1F497D"/>
          <w:sz w:val="26"/>
        </w:rPr>
        <w:t>On Illumina Novaseq 6000 Platform</w:t>
      </w:r>
    </w:p>
    <w:p>
      <w:pPr>
        <w:spacing w:before="289" w:after="80" w:line="276" w:lineRule="auto"/>
        <w:jc w:val="left"/>
      </w:pPr>
      <w:r>
        <w:rPr>
          <w:rFonts w:ascii="Cambria" w:hAnsi="Cambria"/>
          <w:color w:val="000000"/>
          <w:sz w:val="20"/>
        </w:rPr>
        <w:t>Clinical Indication: Metastatic Adenocarcinoma</w:t>
      </w:r>
    </w:p>
    <w:p>
      <w:pPr>
        <w:keepNext/>
        <w:spacing w:before="316" w:after="80"/>
        <w:jc w:val="left"/>
      </w:pPr>
      <w:r>
        <w:rPr>
          <w:rFonts w:ascii="Cambria" w:hAnsi="Cambria"/>
          <w:b/>
          <w:i w:val="0"/>
          <w:color w:val="1F497D"/>
          <w:sz w:val="26"/>
        </w:rPr>
        <w:t>Positive (Clinically significant Variant detected)</w:t>
      </w:r>
    </w:p>
    <w:p>
      <w:pPr>
        <w:keepNext/>
        <w:spacing w:before="355" w:after="80"/>
        <w:jc w:val="left"/>
      </w:pPr>
      <w:r>
        <w:rPr>
          <w:rFonts w:ascii="Cambria" w:hAnsi="Cambria"/>
          <w:b/>
          <w:i w:val="0"/>
          <w:color w:val="1F497D"/>
          <w:sz w:val="26"/>
        </w:rPr>
        <w:t>Report Highlights: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Tier I</w:t>
            </w:r>
          </w:p>
        </w:tc>
        <w:tc>
          <w:tcPr>
            <w:tcW w:type="dxa" w:w="1646"/>
            <w:shd w:val="clear" w:color="auto" w:fill="1f497d"/>
            <w:tcMar>
              <w:top w:w="60" w:type="dxa"/>
              <w:bottom w:w="60" w:type="dxa"/>
              <w:start w:w="80" w:type="dxa"/>
              <w:end w:w="80" w:type="dxa"/>
            </w:tcMar>
          </w:tcPr>
          <w:p>
            <w:pPr>
              <w:jc w:val="center"/>
            </w:pPr>
            <w:r>
              <w:rPr>
                <w:rFonts w:ascii="Cambria" w:hAnsi="Cambria"/>
                <w:b/>
                <w:color w:val="FFFFFF"/>
                <w:sz w:val="19"/>
              </w:rPr>
              <w:t>Tier II</w:t>
            </w:r>
          </w:p>
        </w:tc>
        <w:tc>
          <w:tcPr>
            <w:tcW w:type="dxa" w:w="1719"/>
            <w:shd w:val="clear" w:color="auto" w:fill="1f497d"/>
            <w:tcMar>
              <w:top w:w="60" w:type="dxa"/>
              <w:bottom w:w="60" w:type="dxa"/>
              <w:start w:w="80" w:type="dxa"/>
              <w:end w:w="80" w:type="dxa"/>
            </w:tcMar>
          </w:tcPr>
          <w:p>
            <w:pPr>
              <w:jc w:val="center"/>
            </w:pPr>
            <w:r>
              <w:rPr>
                <w:rFonts w:ascii="Cambria" w:hAnsi="Cambria"/>
                <w:b/>
                <w:color w:val="FFFFFF"/>
                <w:sz w:val="19"/>
              </w:rPr>
              <w:t>Tier III</w:t>
            </w:r>
          </w:p>
        </w:tc>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1789"/>
            <w:shd w:val="clear" w:color="auto" w:fill="1f497d"/>
            <w:tcMar>
              <w:top w:w="60" w:type="dxa"/>
              <w:bottom w:w="60" w:type="dxa"/>
              <w:start w:w="80" w:type="dxa"/>
              <w:end w:w="80" w:type="dxa"/>
            </w:tcMar>
          </w:tcPr>
          <w:p>
            <w:pPr>
              <w:jc w:val="center"/>
            </w:pPr>
            <w:r>
              <w:rPr>
                <w:rFonts w:ascii="Cambria" w:hAnsi="Cambria"/>
                <w:b/>
                <w:color w:val="FFFFFF"/>
                <w:sz w:val="19"/>
              </w:rPr>
              <w:t>Therapies</w:t>
            </w:r>
          </w:p>
        </w:tc>
        <w:tc>
          <w:tcPr>
            <w:tcW w:type="dxa" w:w="2172"/>
            <w:shd w:val="clear" w:color="auto" w:fill="1f497d"/>
            <w:tcMar>
              <w:top w:w="60" w:type="dxa"/>
              <w:bottom w:w="60" w:type="dxa"/>
              <w:start w:w="80" w:type="dxa"/>
              <w:end w:w="80" w:type="dxa"/>
            </w:tcMar>
          </w:tcPr>
          <w:p>
            <w:pPr>
              <w:jc w:val="center"/>
            </w:pPr>
            <w:r>
              <w:rPr>
                <w:rFonts w:ascii="Cambria" w:hAnsi="Cambria"/>
                <w:b/>
                <w:color w:val="FFFFFF"/>
                <w:sz w:val="19"/>
              </w:rPr>
              <w:t>Clinical Trials</w:t>
            </w:r>
          </w:p>
        </w:tc>
      </w:tr>
      <w:tr>
        <w:trPr>
          <w:cantSplit w:val="true"/>
        </w:trPr>
        <w:tc>
          <w:tcPr>
            <w:tcW w:type="dxa" w:w="1570"/>
            <w:tcMar>
              <w:top w:w="60" w:type="dxa"/>
              <w:bottom w:w="60" w:type="dxa"/>
              <w:start w:w="80" w:type="dxa"/>
              <w:end w:w="80" w:type="dxa"/>
            </w:tcMar>
          </w:tcPr>
          <w:p>
            <w:r>
              <w:rPr>
                <w:rFonts w:ascii="Cambria" w:hAnsi="Cambria"/>
                <w:color w:val="000000"/>
                <w:sz w:val="19"/>
              </w:rPr>
              <w:t>0</w:t>
            </w:r>
          </w:p>
        </w:tc>
        <w:tc>
          <w:tcPr>
            <w:tcW w:type="dxa" w:w="1646"/>
            <w:tcMar>
              <w:top w:w="60" w:type="dxa"/>
              <w:bottom w:w="60" w:type="dxa"/>
              <w:start w:w="80" w:type="dxa"/>
              <w:end w:w="80" w:type="dxa"/>
            </w:tcMar>
          </w:tcPr>
          <w:p>
            <w:r>
              <w:rPr>
                <w:rFonts w:ascii="Cambria" w:hAnsi="Cambria"/>
                <w:color w:val="000000"/>
                <w:sz w:val="19"/>
              </w:rPr>
              <w:t>1</w:t>
            </w:r>
          </w:p>
        </w:tc>
        <w:tc>
          <w:tcPr>
            <w:tcW w:type="dxa" w:w="1719"/>
            <w:tcMar>
              <w:top w:w="60" w:type="dxa"/>
              <w:bottom w:w="60" w:type="dxa"/>
              <w:start w:w="80" w:type="dxa"/>
              <w:end w:w="80" w:type="dxa"/>
            </w:tcMar>
          </w:tcPr>
          <w:p>
            <w:r>
              <w:rPr>
                <w:rFonts w:ascii="Cambria" w:hAnsi="Cambria"/>
                <w:color w:val="000000"/>
                <w:sz w:val="19"/>
              </w:rPr>
              <w:t>0</w:t>
            </w:r>
          </w:p>
        </w:tc>
        <w:tc>
          <w:tcPr>
            <w:tcW w:type="dxa" w:w="1570"/>
            <w:tcMar>
              <w:top w:w="60" w:type="dxa"/>
              <w:bottom w:w="60" w:type="dxa"/>
              <w:start w:w="80" w:type="dxa"/>
              <w:end w:w="80" w:type="dxa"/>
            </w:tcMar>
          </w:tcPr>
          <w:p>
            <w:r>
              <w:rPr>
                <w:rFonts w:ascii="Cambria" w:hAnsi="Cambria"/>
                <w:b/>
                <w:color w:val="008000"/>
                <w:sz w:val="19"/>
              </w:rPr>
              <w:t>Stable</w:t>
            </w:r>
          </w:p>
        </w:tc>
        <w:tc>
          <w:tcPr>
            <w:tcW w:type="dxa" w:w="1789"/>
            <w:tcMar>
              <w:top w:w="60" w:type="dxa"/>
              <w:bottom w:w="60" w:type="dxa"/>
              <w:start w:w="80" w:type="dxa"/>
              <w:end w:w="80" w:type="dxa"/>
            </w:tcMar>
          </w:tcPr>
          <w:p>
            <w:r>
              <w:rPr>
                <w:rFonts w:ascii="Cambria" w:hAnsi="Cambria"/>
                <w:color w:val="000000"/>
                <w:sz w:val="19"/>
              </w:rPr>
              <w:t>0</w:t>
            </w:r>
          </w:p>
        </w:tc>
        <w:tc>
          <w:tcPr>
            <w:tcW w:type="dxa" w:w="2172"/>
            <w:tcMar>
              <w:top w:w="60" w:type="dxa"/>
              <w:bottom w:w="60" w:type="dxa"/>
              <w:start w:w="80" w:type="dxa"/>
              <w:end w:w="80" w:type="dxa"/>
            </w:tcMar>
          </w:tcPr>
          <w:p>
            <w:r>
              <w:rPr>
                <w:rFonts w:ascii="Cambria" w:hAnsi="Cambria"/>
                <w:color w:val="000000"/>
                <w:sz w:val="19"/>
              </w:rPr>
              <w:t>43</w:t>
            </w:r>
          </w:p>
        </w:tc>
      </w:tr>
    </w:tbl>
    <w:p>
      <w:pPr>
        <w:spacing w:before="0" w:after="120" w:line="20" w:lineRule="exact"/>
      </w:pPr>
      <w:r>
        <w:rPr>
          <w:sz w:val="2"/>
        </w:rPr>
      </w:r>
    </w:p>
    <w:p>
      <w:pPr>
        <w:keepNext/>
        <w:spacing w:before="262" w:after="80"/>
        <w:jc w:val="left"/>
      </w:pPr>
      <w:r>
        <w:rPr>
          <w:rFonts w:ascii="Cambria" w:hAnsi="Cambria"/>
          <w:b/>
          <w:i w:val="0"/>
          <w:color w:val="1F497D"/>
          <w:sz w:val="26"/>
        </w:rPr>
        <w:t>Key Findings:</w:t>
      </w:r>
    </w:p>
    <w:p>
      <w:pPr>
        <w:spacing w:before="0" w:after="213"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3"/>
        <w:gridCol w:w="2093"/>
        <w:gridCol w:w="2093"/>
        <w:gridCol w:w="2093"/>
        <w:gridCol w:w="2093"/>
      </w:tblGrid>
      <w:tr>
        <w:trPr>
          <w:tblHeader w:val="true"/>
          <w:cantSplit w:val="true"/>
        </w:trPr>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2607"/>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2607"/>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Exon</w:t>
            </w:r>
          </w:p>
        </w:tc>
        <w:tc>
          <w:tcPr>
            <w:tcW w:type="dxa" w:w="2260"/>
            <w:shd w:val="clear" w:color="auto" w:fill="1f497d"/>
            <w:tcMar>
              <w:top w:w="60" w:type="dxa"/>
              <w:bottom w:w="60" w:type="dxa"/>
              <w:start w:w="80" w:type="dxa"/>
              <w:end w:w="80" w:type="dxa"/>
            </w:tcMar>
          </w:tcPr>
          <w:p>
            <w:pPr>
              <w:jc w:val="center"/>
            </w:pPr>
            <w:r>
              <w:rPr>
                <w:rFonts w:ascii="Cambria" w:hAnsi="Cambria"/>
                <w:b/>
                <w:color w:val="FFFFFF"/>
                <w:sz w:val="19"/>
              </w:rPr>
              <w:t>Coverage/VAF</w:t>
            </w:r>
          </w:p>
        </w:tc>
      </w:tr>
      <w:tr>
        <w:trPr>
          <w:cantSplit w:val="true"/>
        </w:trPr>
        <w:tc>
          <w:tcPr>
            <w:tcW w:type="dxa" w:w="1496"/>
            <w:tcMar>
              <w:top w:w="60" w:type="dxa"/>
              <w:bottom w:w="60" w:type="dxa"/>
              <w:start w:w="80" w:type="dxa"/>
              <w:end w:w="80" w:type="dxa"/>
            </w:tcMar>
          </w:tcPr>
          <w:p>
            <w:r>
              <w:rPr>
                <w:rFonts w:ascii="Cambria" w:hAnsi="Cambria"/>
                <w:color w:val="000000"/>
                <w:sz w:val="19"/>
              </w:rPr>
              <w:t>IIC</w:t>
            </w:r>
          </w:p>
        </w:tc>
        <w:tc>
          <w:tcPr>
            <w:tcW w:type="dxa" w:w="2607"/>
            <w:tcMar>
              <w:top w:w="60" w:type="dxa"/>
              <w:bottom w:w="60" w:type="dxa"/>
              <w:start w:w="80" w:type="dxa"/>
              <w:end w:w="80" w:type="dxa"/>
            </w:tcMar>
          </w:tcPr>
          <w:p>
            <w:r>
              <w:rPr>
                <w:rFonts w:ascii="Cambria" w:hAnsi="Cambria"/>
                <w:color w:val="000000"/>
                <w:sz w:val="19"/>
              </w:rPr>
              <w:t>TP53</w:t>
              <w:br/>
              <w:t>NM 000546.6</w:t>
              <w:br/>
              <w:t>_</w:t>
            </w:r>
          </w:p>
        </w:tc>
        <w:tc>
          <w:tcPr>
            <w:tcW w:type="dxa" w:w="2607"/>
            <w:tcMar>
              <w:top w:w="60" w:type="dxa"/>
              <w:bottom w:w="60" w:type="dxa"/>
              <w:start w:w="80" w:type="dxa"/>
              <w:end w:w="80" w:type="dxa"/>
            </w:tcMar>
          </w:tcPr>
          <w:p>
            <w:r>
              <w:rPr>
                <w:rFonts w:ascii="Cambria" w:hAnsi="Cambria"/>
                <w:color w:val="000000"/>
                <w:sz w:val="19"/>
              </w:rPr>
              <w:t>c.405C&gt;A</w:t>
              <w:br/>
              <w:t>p.(C135*)</w:t>
            </w:r>
          </w:p>
        </w:tc>
        <w:tc>
          <w:tcPr>
            <w:tcW w:type="dxa" w:w="1496"/>
            <w:tcMar>
              <w:top w:w="60" w:type="dxa"/>
              <w:bottom w:w="60" w:type="dxa"/>
              <w:start w:w="80" w:type="dxa"/>
              <w:end w:w="80" w:type="dxa"/>
            </w:tcMar>
          </w:tcPr>
          <w:p>
            <w:r>
              <w:rPr>
                <w:rFonts w:ascii="Cambria" w:hAnsi="Cambria"/>
                <w:color w:val="000000"/>
                <w:sz w:val="19"/>
              </w:rPr>
              <w:t>5</w:t>
            </w:r>
          </w:p>
        </w:tc>
        <w:tc>
          <w:tcPr>
            <w:tcW w:type="dxa" w:w="2260"/>
            <w:tcMar>
              <w:top w:w="60" w:type="dxa"/>
              <w:bottom w:w="60" w:type="dxa"/>
              <w:start w:w="80" w:type="dxa"/>
              <w:end w:w="80" w:type="dxa"/>
            </w:tcMar>
          </w:tcPr>
          <w:p>
            <w:r>
              <w:rPr>
                <w:rFonts w:ascii="Cambria" w:hAnsi="Cambria"/>
                <w:color w:val="000000"/>
                <w:sz w:val="19"/>
              </w:rPr>
              <w:t>691x /</w:t>
              <w:br/>
              <w:t>93.13%</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AMP-ASCO-CAP guidelines. **Public data sources included in relevant targeted therapies, guidelines: EMA, FDA, ESMO, NCCN.</w:t>
      </w:r>
    </w:p>
    <w:p>
      <w:pPr>
        <w:keepNext/>
        <w:spacing w:before="256" w:after="80"/>
        <w:jc w:val="left"/>
      </w:pPr>
      <w:r>
        <w:rPr>
          <w:rFonts w:ascii="Cambria" w:hAnsi="Cambria"/>
          <w:b/>
          <w:i w:val="0"/>
          <w:color w:val="1F497D"/>
          <w:sz w:val="26"/>
        </w:rPr>
        <w:t>Multi-Gene Biomarkers Results:</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89"/>
        <w:gridCol w:w="3489"/>
        <w:gridCol w:w="3489"/>
      </w:tblGrid>
      <w:tr>
        <w:trPr>
          <w:tblHeader w:val="true"/>
          <w:cantSplit w:val="true"/>
        </w:trPr>
        <w:tc>
          <w:tcPr>
            <w:tcW w:type="dxa" w:w="4328"/>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1962"/>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4176"/>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4328"/>
            <w:tcMar>
              <w:top w:w="60" w:type="dxa"/>
              <w:bottom w:w="60" w:type="dxa"/>
              <w:start w:w="80" w:type="dxa"/>
              <w:end w:w="80" w:type="dxa"/>
            </w:tcMar>
          </w:tcPr>
          <w:p>
            <w:r>
              <w:rPr>
                <w:rFonts w:ascii="Cambria" w:hAnsi="Cambria"/>
                <w:color w:val="000000"/>
                <w:sz w:val="19"/>
              </w:rPr>
              <w:t>Microsatellite Instability (MSI)</w:t>
            </w:r>
          </w:p>
        </w:tc>
        <w:tc>
          <w:tcPr>
            <w:tcW w:type="dxa" w:w="1962"/>
            <w:tcMar>
              <w:top w:w="60" w:type="dxa"/>
              <w:bottom w:w="60" w:type="dxa"/>
              <w:start w:w="80" w:type="dxa"/>
              <w:end w:w="80" w:type="dxa"/>
            </w:tcMar>
          </w:tcPr>
          <w:p>
            <w:r>
              <w:rPr>
                <w:rFonts w:ascii="Cambria" w:hAnsi="Cambria"/>
                <w:b/>
                <w:color w:val="008000"/>
                <w:sz w:val="19"/>
              </w:rPr>
              <w:t>Stable</w:t>
            </w:r>
          </w:p>
        </w:tc>
        <w:tc>
          <w:tcPr>
            <w:tcW w:type="dxa" w:w="4176"/>
            <w:tcMar>
              <w:top w:w="60" w:type="dxa"/>
              <w:bottom w:w="60" w:type="dxa"/>
              <w:start w:w="80" w:type="dxa"/>
              <w:end w:w="80" w:type="dxa"/>
            </w:tcMar>
          </w:tcPr>
          <w:p>
            <w:r>
              <w:rPr>
                <w:rFonts w:ascii="Cambria" w:hAnsi="Cambria"/>
                <w:b/>
                <w:color w:val="008000"/>
                <w:sz w:val="19"/>
              </w:rPr>
              <w:t>Stable Microsatellite detected</w:t>
            </w:r>
          </w:p>
        </w:tc>
      </w:tr>
    </w:tbl>
    <w:p>
      <w:pPr>
        <w:spacing w:before="0" w:after="120" w:line="20" w:lineRule="exact"/>
      </w:pPr>
      <w:r>
        <w:rPr>
          <w:sz w:val="2"/>
        </w:rPr>
      </w:r>
    </w:p>
    <w:p>
      <w:pPr>
        <w:spacing w:before="0" w:after="80" w:line="276" w:lineRule="auto"/>
        <w:jc w:val="left"/>
      </w:pPr>
      <w:r>
        <w:rPr>
          <w:rFonts w:ascii="Cambria" w:hAnsi="Cambria"/>
          <w:color w:val="000000"/>
          <w:sz w:val="20"/>
        </w:rPr>
        <w:t># Correlation of the genetic findings with the clinical condition of the patient is required to arrive at accurate diagnosis, prognosis or therapeutic decisions.</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32"/>
          <w:headerReference w:type="even" r:id="rId33"/>
          <w:footerReference w:type="first" r:id="rId34"/>
          <w:footerReference w:type="even" r:id="rId35"/>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1F497D"/>
          <w:sz w:val="26"/>
        </w:rPr>
        <w:t>Clinical Significance:</w:t>
      </w:r>
    </w:p>
    <w:p>
      <w:pPr>
        <w:spacing w:before="0" w:after="214"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89"/>
        <w:gridCol w:w="3489"/>
        <w:gridCol w:w="3489"/>
      </w:tblGrid>
      <w:tr>
        <w:trPr>
          <w:tblHeader w:val="true"/>
          <w:cantSplit w:val="true"/>
        </w:trPr>
        <w:tc>
          <w:tcPr>
            <w:tcW w:type="dxa" w:w="3756"/>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3295"/>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341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3756"/>
            <w:tcMar>
              <w:top w:w="60" w:type="dxa"/>
              <w:bottom w:w="60" w:type="dxa"/>
              <w:start w:w="80" w:type="dxa"/>
              <w:end w:w="80" w:type="dxa"/>
            </w:tcMar>
          </w:tcPr>
          <w:p>
            <w:r>
              <w:rPr>
                <w:rFonts w:ascii="Cambria" w:hAnsi="Cambria"/>
                <w:color w:val="000000"/>
                <w:sz w:val="19"/>
              </w:rPr>
              <w:t>Variant</w:t>
            </w:r>
          </w:p>
        </w:tc>
        <w:tc>
          <w:tcPr>
            <w:tcW w:type="dxa" w:w="3295"/>
            <w:tcMar>
              <w:top w:w="60" w:type="dxa"/>
              <w:bottom w:w="60" w:type="dxa"/>
              <w:start w:w="80" w:type="dxa"/>
              <w:end w:w="80" w:type="dxa"/>
            </w:tcMar>
          </w:tcPr>
          <w:p>
            <w:r>
              <w:rPr>
                <w:rFonts w:ascii="Cambria" w:hAnsi="Cambria"/>
                <w:color w:val="000000"/>
                <w:sz w:val="19"/>
              </w:rPr>
              <w:t>Therapy</w:t>
            </w:r>
          </w:p>
        </w:tc>
        <w:tc>
          <w:tcPr>
            <w:tcW w:type="dxa" w:w="3414"/>
            <w:tcMar>
              <w:top w:w="60" w:type="dxa"/>
              <w:bottom w:w="60" w:type="dxa"/>
              <w:start w:w="80" w:type="dxa"/>
              <w:end w:w="80" w:type="dxa"/>
            </w:tcMar>
          </w:tcPr>
          <w:p>
            <w:r>
              <w:rPr>
                <w:rFonts w:ascii="Cambria" w:hAnsi="Cambria"/>
                <w:color w:val="000000"/>
                <w:sz w:val="19"/>
              </w:rPr>
            </w:r>
          </w:p>
        </w:tc>
      </w:tr>
      <w:tr>
        <w:trPr>
          <w:cantSplit w:val="true"/>
        </w:trPr>
        <w:tc>
          <w:tcPr>
            <w:tcW w:type="dxa" w:w="3756"/>
            <w:shd w:val="clear" w:color="auto" w:fill="f8fafc"/>
            <w:tcMar>
              <w:top w:w="60" w:type="dxa"/>
              <w:bottom w:w="60" w:type="dxa"/>
              <w:start w:w="80" w:type="dxa"/>
              <w:end w:w="80" w:type="dxa"/>
            </w:tcMar>
          </w:tcPr>
          <w:p>
            <w:r>
              <w:rPr>
                <w:rFonts w:ascii="Cambria" w:hAnsi="Cambria"/>
                <w:color w:val="000000"/>
                <w:sz w:val="19"/>
              </w:rPr>
            </w:r>
          </w:p>
        </w:tc>
        <w:tc>
          <w:tcPr>
            <w:tcW w:type="dxa" w:w="3295"/>
            <w:shd w:val="clear" w:color="auto" w:fill="f8fafc"/>
            <w:tcMar>
              <w:top w:w="60" w:type="dxa"/>
              <w:bottom w:w="60" w:type="dxa"/>
              <w:start w:w="80" w:type="dxa"/>
              <w:end w:w="80" w:type="dxa"/>
            </w:tcMar>
          </w:tcPr>
          <w:p>
            <w:r>
              <w:rPr>
                <w:rFonts w:ascii="Cambria" w:hAnsi="Cambria"/>
                <w:color w:val="000000"/>
                <w:sz w:val="19"/>
              </w:rPr>
              <w:t>In This Cancer</w:t>
            </w:r>
          </w:p>
        </w:tc>
        <w:tc>
          <w:tcPr>
            <w:tcW w:type="dxa" w:w="3414"/>
            <w:shd w:val="clear" w:color="auto" w:fill="f8fafc"/>
            <w:tcMar>
              <w:top w:w="60" w:type="dxa"/>
              <w:bottom w:w="60" w:type="dxa"/>
              <w:start w:w="80" w:type="dxa"/>
              <w:end w:w="80" w:type="dxa"/>
            </w:tcMar>
          </w:tcPr>
          <w:p>
            <w:r>
              <w:rPr>
                <w:rFonts w:ascii="Cambria" w:hAnsi="Cambria"/>
                <w:color w:val="000000"/>
                <w:sz w:val="19"/>
              </w:rPr>
              <w:t>In Other Cancer</w:t>
            </w:r>
          </w:p>
        </w:tc>
      </w:tr>
      <w:tr>
        <w:trPr>
          <w:cantSplit w:val="true"/>
        </w:trPr>
        <w:tc>
          <w:tcPr>
            <w:tcW w:type="dxa" w:w="3756"/>
            <w:tcMar>
              <w:top w:w="60" w:type="dxa"/>
              <w:bottom w:w="60" w:type="dxa"/>
              <w:start w:w="80" w:type="dxa"/>
              <w:end w:w="80" w:type="dxa"/>
            </w:tcMar>
          </w:tcPr>
          <w:p>
            <w:r>
              <w:rPr>
                <w:rFonts w:ascii="Cambria" w:hAnsi="Cambria"/>
                <w:color w:val="000000"/>
                <w:sz w:val="19"/>
              </w:rPr>
              <w:t>IIC</w:t>
              <w:br/>
              <w:t>TP53</w:t>
              <w:br/>
              <w:t>p.(C135*)</w:t>
            </w:r>
          </w:p>
        </w:tc>
        <w:tc>
          <w:tcPr>
            <w:tcW w:type="dxa" w:w="3295"/>
            <w:tcMar>
              <w:top w:w="60" w:type="dxa"/>
              <w:bottom w:w="60" w:type="dxa"/>
              <w:start w:w="80" w:type="dxa"/>
              <w:end w:w="80" w:type="dxa"/>
            </w:tcMar>
          </w:tcPr>
          <w:p>
            <w:r>
              <w:rPr>
                <w:rFonts w:ascii="Cambria" w:hAnsi="Cambria"/>
                <w:color w:val="000000"/>
                <w:sz w:val="19"/>
              </w:rPr>
              <w:t>▪None*</w:t>
            </w:r>
          </w:p>
        </w:tc>
        <w:tc>
          <w:tcPr>
            <w:tcW w:type="dxa" w:w="3414"/>
            <w:tcMar>
              <w:top w:w="60" w:type="dxa"/>
              <w:bottom w:w="60" w:type="dxa"/>
              <w:start w:w="80" w:type="dxa"/>
              <w:end w:w="80" w:type="dxa"/>
            </w:tcMar>
          </w:tcPr>
          <w:p>
            <w:r>
              <w:rPr>
                <w:rFonts w:ascii="Cambria" w:hAnsi="Cambria"/>
                <w:color w:val="000000"/>
                <w:sz w:val="19"/>
              </w:rPr>
              <w:t>▪None*</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89"/>
        <w:gridCol w:w="3489"/>
        <w:gridCol w:w="3489"/>
      </w:tblGrid>
      <w:tr>
        <w:trPr>
          <w:tblHeader w:val="true"/>
          <w:cantSplit w:val="true"/>
        </w:trPr>
        <w:tc>
          <w:tcPr>
            <w:tcW w:type="dxa" w:w="2927"/>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3769"/>
            <w:shd w:val="clear" w:color="auto" w:fill="1f497d"/>
            <w:tcMar>
              <w:top w:w="60" w:type="dxa"/>
              <w:bottom w:w="60" w:type="dxa"/>
              <w:start w:w="80" w:type="dxa"/>
              <w:end w:w="80" w:type="dxa"/>
            </w:tcMar>
          </w:tcPr>
          <w:p>
            <w:pPr>
              <w:jc w:val="center"/>
            </w:pPr>
            <w:r>
              <w:rPr>
                <w:rFonts w:ascii="Cambria" w:hAnsi="Cambria"/>
                <w:b/>
                <w:color w:val="FFFFFF"/>
                <w:sz w:val="19"/>
              </w:rPr>
              <w:t>Diagnostic Significance</w:t>
            </w:r>
          </w:p>
        </w:tc>
        <w:tc>
          <w:tcPr>
            <w:tcW w:type="dxa" w:w="3769"/>
            <w:shd w:val="clear" w:color="auto" w:fill="1f497d"/>
            <w:tcMar>
              <w:top w:w="60" w:type="dxa"/>
              <w:bottom w:w="60" w:type="dxa"/>
              <w:start w:w="80" w:type="dxa"/>
              <w:end w:w="80" w:type="dxa"/>
            </w:tcMar>
          </w:tcPr>
          <w:p>
            <w:pPr>
              <w:jc w:val="center"/>
            </w:pPr>
            <w:r>
              <w:rPr>
                <w:rFonts w:ascii="Cambria" w:hAnsi="Cambria"/>
                <w:b/>
                <w:color w:val="FFFFFF"/>
                <w:sz w:val="19"/>
              </w:rPr>
              <w:t>Prognostic Significance</w:t>
            </w:r>
          </w:p>
        </w:tc>
      </w:tr>
      <w:tr>
        <w:trPr>
          <w:cantSplit w:val="true"/>
        </w:trPr>
        <w:tc>
          <w:tcPr>
            <w:tcW w:type="dxa" w:w="2927"/>
            <w:tcMar>
              <w:top w:w="60" w:type="dxa"/>
              <w:bottom w:w="60" w:type="dxa"/>
              <w:start w:w="80" w:type="dxa"/>
              <w:end w:w="80" w:type="dxa"/>
            </w:tcMar>
          </w:tcPr>
          <w:p>
            <w:r>
              <w:rPr>
                <w:rFonts w:ascii="Cambria" w:hAnsi="Cambria"/>
                <w:color w:val="000000"/>
                <w:sz w:val="19"/>
              </w:rPr>
              <w:t>TP53</w:t>
              <w:br/>
              <w:t>p.(C135*)</w:t>
            </w:r>
          </w:p>
        </w:tc>
        <w:tc>
          <w:tcPr>
            <w:tcW w:type="dxa" w:w="3769"/>
            <w:tcMar>
              <w:top w:w="60" w:type="dxa"/>
              <w:bottom w:w="60" w:type="dxa"/>
              <w:start w:w="80" w:type="dxa"/>
              <w:end w:w="80" w:type="dxa"/>
            </w:tcMar>
          </w:tcPr>
          <w:p>
            <w:r>
              <w:rPr>
                <w:rFonts w:ascii="Cambria" w:hAnsi="Cambria"/>
                <w:color w:val="000000"/>
                <w:sz w:val="19"/>
              </w:rPr>
              <w:t>None*</w:t>
            </w:r>
          </w:p>
        </w:tc>
        <w:tc>
          <w:tcPr>
            <w:tcW w:type="dxa" w:w="3769"/>
            <w:tcMar>
              <w:top w:w="60" w:type="dxa"/>
              <w:bottom w:w="60" w:type="dxa"/>
              <w:start w:w="80" w:type="dxa"/>
              <w:end w:w="80" w:type="dxa"/>
            </w:tcMar>
          </w:tcPr>
          <w:p>
            <w:r>
              <w:rPr>
                <w:rFonts w:ascii="Cambria" w:hAnsi="Cambria"/>
                <w:color w:val="000000"/>
                <w:sz w:val="19"/>
              </w:rPr>
              <w:t>None*</w:t>
            </w:r>
          </w:p>
        </w:tc>
      </w:tr>
    </w:tbl>
    <w:p>
      <w:pPr>
        <w:spacing w:before="0" w:after="120" w:line="20" w:lineRule="exact"/>
      </w:pPr>
      <w:r>
        <w:rPr>
          <w:sz w:val="2"/>
        </w:rPr>
      </w:r>
    </w:p>
    <w:p>
      <w:pPr>
        <w:keepNext/>
        <w:spacing w:before="262" w:after="80"/>
        <w:jc w:val="left"/>
      </w:pPr>
      <w:r>
        <w:rPr>
          <w:rFonts w:ascii="Cambria" w:hAnsi="Cambria"/>
          <w:b/>
          <w:i w:val="0"/>
          <w:color w:val="1F497D"/>
          <w:sz w:val="26"/>
        </w:rPr>
        <w:t>Biomarker Description:</w:t>
      </w:r>
    </w:p>
    <w:p>
      <w:pPr>
        <w:spacing w:before="0" w:after="212"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578"/>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8888"/>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578"/>
            <w:tcMar>
              <w:top w:w="60" w:type="dxa"/>
              <w:bottom w:w="60" w:type="dxa"/>
              <w:start w:w="80" w:type="dxa"/>
              <w:end w:w="80" w:type="dxa"/>
            </w:tcMar>
          </w:tcPr>
          <w:p>
            <w:r>
              <w:rPr>
                <w:rFonts w:ascii="Cambria" w:hAnsi="Cambria"/>
                <w:color w:val="000000"/>
                <w:sz w:val="19"/>
              </w:rPr>
              <w:t>TP53</w:t>
              <w:br/>
              <w:t>NM 000546.6</w:t>
              <w:br/>
              <w:t>_</w:t>
              <w:br/>
              <w:t>chr17:7578525</w:t>
              <w:br/>
              <w:t>c.405C&gt;A</w:t>
              <w:br/>
              <w:t>p.(C135*)</w:t>
            </w:r>
          </w:p>
        </w:tc>
        <w:tc>
          <w:tcPr>
            <w:tcW w:type="dxa" w:w="8888"/>
            <w:tcMar>
              <w:top w:w="60" w:type="dxa"/>
              <w:bottom w:w="60" w:type="dxa"/>
              <w:start w:w="80" w:type="dxa"/>
              <w:end w:w="80" w:type="dxa"/>
            </w:tcMar>
          </w:tcPr>
          <w:p>
            <w:r>
              <w:rPr>
                <w:rFonts w:ascii="Cambria" w:hAnsi="Cambria"/>
                <w:b/>
                <w:color w:val="C00000"/>
                <w:sz w:val="19"/>
              </w:rPr>
              <w:t>The TP53 gene encodes the tumor suppressor protein p53, which binds to DNA and activates</w:t>
              <w:br/>
              <w:t>transcription in response to diverse cellular stresses to induce cell cycle arrest, apoptosis, or</w:t>
              <w:br/>
              <w:t>DNA repair[1]. In unstressed cells, TP53 is kept inactive by targeted degradation via MDM2, a</w:t>
              <w:br/>
              <w:t>substrate recognition factor for ubiquitin-dependent proteolysis[2]. Alterations in TP53 are</w:t>
              <w:br/>
              <w:t>required for oncogenesis as they result in loss of protein function and gain of transforming</w:t>
              <w:br/>
              <w:t>potential[3]. Germline mutations in TP53 are the underlying cause of Li-Fraumeni syndrome, a</w:t>
              <w:br/>
              <w:t>complex hereditary cancer predisposition disorder associated with early-onset cancers[4,5].</w:t>
              <w:br/>
              <w:t>TP53 is the most frequently mutated gene in the cancer genome with approximately half of all</w:t>
              <w:br/>
              <w:t>cancers experiencing TP53 mutations. Ovarian, head and neck, esophageal, and lung squamous</w:t>
              <w:br/>
              <w:t>cancers have particularly high TP53 mutation rates (60-90%)[6,7,8,9,10,11]. Approximately</w:t>
              <w:br/>
              <w:t>two-thirds of TP53 mutations are missense mutations and several recurrent missense</w:t>
              <w:br/>
              <w:t>mutations are common, including substitutions at codons R158, R175, Y220, R248, R273, and</w:t>
              <w:br/>
              <w:t>R282[6,7]. Invariably, recurrent missense mutations in TP53 inactivate its ability to bind DNA</w:t>
              <w:br/>
              <w:t>and activate transcription of target genes[12,13,14,15]. Alterations in TP53 are also observed</w:t>
              <w:br/>
              <w:t>in pediatric cancers[6,7]. Somatic mutations are observed in 53% of non-Hodgkin lymphoma,</w:t>
              <w:br/>
              <w:t>24% of soft tissue sarcoma, 19% of glioma, 13% of bone cancer, 9% of B-lymphoblastic</w:t>
              <w:br/>
              <w:t>leukemia/lymphoma, 4% of embryonal tumors, 3% of Wilms tumor and leukemia, 2% of T-</w:t>
              <w:br/>
              <w:t>lymphoblastic leukemia/lymphoma, and less than 1% of peripheral nervous system cancers (5</w:t>
              <w:br/>
              <w:t>in 1158 cases )[6,7]. Biallelic loss of TP53 is observed in 10% of bone cancer, 2% of Wilms</w:t>
            </w:r>
          </w:p>
        </w:tc>
      </w:tr>
    </w:tbl>
    <w:p>
      <w:pPr>
        <w:spacing w:before="0" w:after="120" w:line="20" w:lineRule="exact"/>
      </w:pPr>
      <w:r>
        <w:rPr>
          <w:sz w:val="2"/>
        </w:rPr>
      </w:r>
    </w:p>
    <w:p>
      <w:pPr>
        <w:spacing w:before="167" w:after="120"/>
        <w:jc w:val="center"/>
      </w:pPr>
      <w:r>
        <w:drawing>
          <wp:inline xmlns:a="http://schemas.openxmlformats.org/drawingml/2006/main" xmlns:pic="http://schemas.openxmlformats.org/drawingml/2006/picture">
            <wp:extent cx="1536700" cy="6731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4"/>
          <w:footerReference w:type="default" r:id="rId1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093"/>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372"/>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093"/>
            <w:tcMar>
              <w:top w:w="60" w:type="dxa"/>
              <w:bottom w:w="60" w:type="dxa"/>
              <w:start w:w="80" w:type="dxa"/>
              <w:end w:w="80" w:type="dxa"/>
            </w:tcMar>
          </w:tcPr>
          <w:p>
            <w:r>
              <w:rPr>
                <w:rFonts w:ascii="Cambria" w:hAnsi="Cambria"/>
                <w:color w:val="000000"/>
                <w:sz w:val="19"/>
              </w:rPr>
            </w:r>
          </w:p>
        </w:tc>
        <w:tc>
          <w:tcPr>
            <w:tcW w:type="dxa" w:w="9372"/>
            <w:tcMar>
              <w:top w:w="60" w:type="dxa"/>
              <w:bottom w:w="60" w:type="dxa"/>
              <w:start w:w="80" w:type="dxa"/>
              <w:end w:w="80" w:type="dxa"/>
            </w:tcMar>
          </w:tcPr>
          <w:p>
            <w:r>
              <w:rPr>
                <w:rFonts w:ascii="Cambria" w:hAnsi="Cambria"/>
                <w:b/>
                <w:color w:val="C00000"/>
                <w:sz w:val="19"/>
              </w:rPr>
              <w:t>tumor, and less than 1% of B-lymphoblastic leukemia/lymphoma (2 in 731 cases) and</w:t>
              <w:br/>
              <w:t>leukemia (1 in 250 cases)[6,7].</w:t>
              <w:br/>
              <w:t>The small molecule p53 reactivator, PC14586[16] (2020), received a fast track designation by</w:t>
              <w:br/>
              <w:t>the FDA for advanced tumors harboring a TP53 Y220C mutation. The FDA has granted fast</w:t>
              <w:br/>
              <w:t>track designation to the p53 reactivator, eprenetapopt[17], (2019) and breakthrough</w:t>
              <w:br/>
              <w:t>designation[18] (2020) in combination with azacitidine or azacitidine and venetoclax for acute</w:t>
              <w:br/>
              <w:t>myeloid leukemia patients (AML) and myelodysplastic syndrome (MDS) harboring a TP53</w:t>
              <w:br/>
              <w:t>mutation, respectively. In addition to investigational therapies aimed at restoring wild-type</w:t>
              <w:br/>
              <w:t>TP53 activity, compounds that induce synthetic lethality are also under clinical</w:t>
              <w:br/>
              <w:t>evaluation[19,20]. TP53 mutation are a diagnostic marker of SHH-activated, TP53-mutant</w:t>
              <w:br/>
              <w:t>medulloblastoma[21]. TP53 mutations confer poor prognosis and poor risk in multiple blood</w:t>
              <w:br/>
              <w:t>cancers including AML, MDS, myeloproliferative neoplasms (MPN), and chronic lymphocytic</w:t>
              <w:br/>
              <w:t>leukemia (CLL), and acute lymphoblastic leukemia (ALL)[22,23,24,25,26,27]. In mantle cell</w:t>
              <w:br/>
              <w:t>lymphoma, TP53 mutations are associated with poor prognosis when treated with</w:t>
              <w:br/>
              <w:t>conventional therapy including hematopoietic cell transplant[28]. Mono- and bi-allelic</w:t>
              <w:br/>
              <w:t>mutations in TP53 confer unique characteristics in MDS, with multi-hit patients also</w:t>
              <w:br/>
              <w:t>experiencing associations with complex karyotype, few co-occurring mutations, and high-risk</w:t>
              <w:br/>
              <w:t>disease presentation as well as predicted death and leukemic transformation independent of</w:t>
              <w:br/>
              <w:t>the IPSS-R staging system[29].</w:t>
            </w:r>
          </w:p>
        </w:tc>
      </w:tr>
    </w:tbl>
    <w:p>
      <w:pPr>
        <w:spacing w:before="0" w:after="120" w:line="20" w:lineRule="exact"/>
      </w:pPr>
      <w:r>
        <w:rPr>
          <w:sz w:val="2"/>
        </w:rPr>
      </w:r>
    </w:p>
    <w:p>
      <w:pPr>
        <w:keepNext/>
        <w:spacing w:before="262" w:after="80"/>
        <w:jc w:val="left"/>
      </w:pPr>
      <w:r>
        <w:rPr>
          <w:rFonts w:ascii="Cambria" w:hAnsi="Cambria"/>
          <w:b/>
          <w:i w:val="0"/>
          <w:color w:val="1F497D"/>
          <w:sz w:val="26"/>
        </w:rPr>
        <w:t>Therapy &amp; Clinical Trials:</w:t>
      </w:r>
    </w:p>
    <w:p>
      <w:pPr>
        <w:keepNext/>
        <w:spacing w:before="360" w:after="60"/>
        <w:jc w:val="left"/>
      </w:pPr>
      <w:r>
        <w:rPr>
          <w:rFonts w:ascii="Cambria" w:hAnsi="Cambria"/>
          <w:b/>
          <w:i w:val="0"/>
          <w:color w:val="008080"/>
          <w:sz w:val="22"/>
        </w:rPr>
        <w:t>TP53 p.(C135*) c.405C&gt;A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2892"/>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910"/>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398"/>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07"/>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398"/>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61"/>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2892"/>
            <w:tcMar>
              <w:top w:w="60" w:type="dxa"/>
              <w:bottom w:w="60" w:type="dxa"/>
              <w:start w:w="80" w:type="dxa"/>
              <w:end w:w="80" w:type="dxa"/>
            </w:tcMar>
          </w:tcPr>
          <w:p>
            <w:r>
              <w:rPr>
                <w:rFonts w:ascii="Cambria" w:hAnsi="Cambria"/>
                <w:color w:val="000000"/>
                <w:sz w:val="19"/>
              </w:rPr>
              <w:t>niraparib</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atezolizumab</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2892"/>
            <w:tcMar>
              <w:top w:w="60" w:type="dxa"/>
              <w:bottom w:w="60" w:type="dxa"/>
              <w:start w:w="80" w:type="dxa"/>
              <w:end w:w="80" w:type="dxa"/>
            </w:tcMar>
          </w:tcPr>
          <w:p>
            <w:r>
              <w:rPr>
                <w:rFonts w:ascii="Cambria" w:hAnsi="Cambria"/>
                <w:color w:val="000000"/>
                <w:sz w:val="19"/>
              </w:rPr>
              <w:t>azenosertib</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ART-6043, olaparib, niraparib</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2892"/>
            <w:tcMar>
              <w:top w:w="60" w:type="dxa"/>
              <w:bottom w:w="60" w:type="dxa"/>
              <w:start w:w="80" w:type="dxa"/>
              <w:end w:w="80" w:type="dxa"/>
            </w:tcMar>
          </w:tcPr>
          <w:p>
            <w:r>
              <w:rPr>
                <w:rFonts w:ascii="Cambria" w:hAnsi="Cambria"/>
                <w:color w:val="000000"/>
                <w:sz w:val="19"/>
              </w:rPr>
              <w:t>ATRN-119</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niraparib, GSK-101</w:t>
            </w:r>
          </w:p>
        </w:tc>
        <w:tc>
          <w:tcPr>
            <w:tcW w:type="dxa" w:w="1910"/>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2892"/>
            <w:tcMar>
              <w:top w:w="60" w:type="dxa"/>
              <w:bottom w:w="60" w:type="dxa"/>
              <w:start w:w="80" w:type="dxa"/>
              <w:end w:w="80" w:type="dxa"/>
            </w:tcMar>
          </w:tcPr>
          <w:p>
            <w:r>
              <w:rPr>
                <w:rFonts w:ascii="Cambria" w:hAnsi="Cambria"/>
                <w:color w:val="000000"/>
                <w:sz w:val="19"/>
              </w:rPr>
              <w:t>VB-15010</w:t>
            </w:r>
          </w:p>
        </w:tc>
        <w:tc>
          <w:tcPr>
            <w:tcW w:type="dxa" w:w="1910"/>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307"/>
            <w:tcMar>
              <w:top w:w="60" w:type="dxa"/>
              <w:bottom w:w="60" w:type="dxa"/>
              <w:start w:w="80" w:type="dxa"/>
              <w:end w:w="80" w:type="dxa"/>
            </w:tcMar>
          </w:tcPr>
          <w:p>
            <w:r>
              <w:rPr>
                <w:rFonts w:ascii="Cambria" w:hAnsi="Cambria"/>
                <w:color w:val="000000"/>
                <w:sz w:val="19"/>
              </w:rPr>
              <w:t>X</w:t>
            </w:r>
          </w:p>
        </w:tc>
        <w:tc>
          <w:tcPr>
            <w:tcW w:type="dxa" w:w="1398"/>
            <w:tcMar>
              <w:top w:w="60" w:type="dxa"/>
              <w:bottom w:w="60" w:type="dxa"/>
              <w:start w:w="80" w:type="dxa"/>
              <w:end w:w="80" w:type="dxa"/>
            </w:tcMar>
          </w:tcPr>
          <w:p>
            <w:r>
              <w:rPr>
                <w:rFonts w:ascii="Cambria" w:hAnsi="Cambria"/>
                <w:color w:val="000000"/>
                <w:sz w:val="19"/>
              </w:rPr>
              <w:t>X</w:t>
            </w:r>
          </w:p>
        </w:tc>
        <w:tc>
          <w:tcPr>
            <w:tcW w:type="dxa" w:w="1561"/>
            <w:tcMar>
              <w:top w:w="60" w:type="dxa"/>
              <w:bottom w:w="60" w:type="dxa"/>
              <w:start w:w="80" w:type="dxa"/>
              <w:end w:w="80" w:type="dxa"/>
            </w:tcMar>
          </w:tcPr>
          <w:p>
            <w:r>
              <w:rPr>
                <w:rFonts w:ascii="Cambria" w:hAnsi="Cambria"/>
                <w:color w:val="000000"/>
                <w:sz w:val="19"/>
              </w:rPr>
              <w:t>I/II</w:t>
            </w:r>
          </w:p>
        </w:tc>
      </w:tr>
      <w:tr>
        <w:trPr>
          <w:cantSplit w:val="true"/>
        </w:trPr>
        <w:tc>
          <w:tcPr>
            <w:tcW w:type="dxa" w:w="2892"/>
            <w:shd w:val="clear" w:color="auto" w:fill="f8fafc"/>
            <w:tcMar>
              <w:top w:w="60" w:type="dxa"/>
              <w:bottom w:w="60" w:type="dxa"/>
              <w:start w:w="80" w:type="dxa"/>
              <w:end w:w="80" w:type="dxa"/>
            </w:tcMar>
          </w:tcPr>
          <w:p>
            <w:r>
              <w:rPr>
                <w:rFonts w:ascii="Cambria" w:hAnsi="Cambria"/>
                <w:color w:val="000000"/>
                <w:sz w:val="19"/>
              </w:rPr>
              <w:t>GenSci-122</w:t>
              <w:br/>
              <w:t>Pag</w:t>
            </w:r>
          </w:p>
        </w:tc>
        <w:tc>
          <w:tcPr>
            <w:tcW w:type="dxa" w:w="1910"/>
            <w:shd w:val="clear" w:color="auto" w:fill="f8fafc"/>
            <w:tcMar>
              <w:top w:w="60" w:type="dxa"/>
              <w:bottom w:w="60" w:type="dxa"/>
              <w:start w:w="80" w:type="dxa"/>
              <w:end w:w="80" w:type="dxa"/>
            </w:tcMar>
          </w:tcPr>
          <w:p>
            <w:r>
              <w:rPr>
                <w:rFonts w:ascii="Cambria" w:hAnsi="Cambria"/>
                <w:color w:val="000000"/>
                <w:sz w:val="19"/>
              </w:rPr>
              <w:t>X</w:t>
              <w:br/>
              <w:t>e 3 of 10</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307"/>
            <w:shd w:val="clear" w:color="auto" w:fill="f8fafc"/>
            <w:tcMar>
              <w:top w:w="60" w:type="dxa"/>
              <w:bottom w:w="60" w:type="dxa"/>
              <w:start w:w="80" w:type="dxa"/>
              <w:end w:w="80" w:type="dxa"/>
            </w:tcMar>
          </w:tcPr>
          <w:p>
            <w:r>
              <w:rPr>
                <w:rFonts w:ascii="Cambria" w:hAnsi="Cambria"/>
                <w:color w:val="000000"/>
                <w:sz w:val="19"/>
              </w:rPr>
              <w:t>X</w:t>
            </w:r>
          </w:p>
        </w:tc>
        <w:tc>
          <w:tcPr>
            <w:tcW w:type="dxa" w:w="1398"/>
            <w:shd w:val="clear" w:color="auto" w:fill="f8fafc"/>
            <w:tcMar>
              <w:top w:w="60" w:type="dxa"/>
              <w:bottom w:w="60" w:type="dxa"/>
              <w:start w:w="80" w:type="dxa"/>
              <w:end w:w="80" w:type="dxa"/>
            </w:tcMar>
          </w:tcPr>
          <w:p>
            <w:r>
              <w:rPr>
                <w:rFonts w:ascii="Cambria" w:hAnsi="Cambria"/>
                <w:color w:val="000000"/>
                <w:sz w:val="19"/>
              </w:rPr>
              <w:t>X</w:t>
            </w:r>
          </w:p>
        </w:tc>
        <w:tc>
          <w:tcPr>
            <w:tcW w:type="dxa" w:w="1561"/>
            <w:shd w:val="clear" w:color="auto" w:fill="f8fafc"/>
            <w:tcMar>
              <w:top w:w="60" w:type="dxa"/>
              <w:bottom w:w="60" w:type="dxa"/>
              <w:start w:w="80" w:type="dxa"/>
              <w:end w:w="80" w:type="dxa"/>
            </w:tcMar>
          </w:tcPr>
          <w:p>
            <w:r>
              <w:rPr>
                <w:rFonts w:ascii="Cambria" w:hAnsi="Cambria"/>
                <w:color w:val="000000"/>
                <w:sz w:val="19"/>
              </w:rPr>
              <w:t>I</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6"/>
          <w:footerReference w:type="default" r:id="rId17"/>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3910"/>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239"/>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314"/>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239"/>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314"/>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450"/>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910"/>
            <w:tcMar>
              <w:top w:w="60" w:type="dxa"/>
              <w:bottom w:w="60" w:type="dxa"/>
              <w:start w:w="80" w:type="dxa"/>
              <w:end w:w="80" w:type="dxa"/>
            </w:tcMar>
          </w:tcPr>
          <w:p>
            <w:r>
              <w:rPr>
                <w:rFonts w:ascii="Cambria" w:hAnsi="Cambria"/>
                <w:color w:val="000000"/>
                <w:sz w:val="19"/>
              </w:rPr>
              <w:t>GH-2616</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HRS-1167</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HS-10502</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SIM-0501</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talazoparib, palbociclib, axitinib, crizotinib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XL-309, olaparib</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910"/>
            <w:tcMar>
              <w:top w:w="60" w:type="dxa"/>
              <w:bottom w:w="60" w:type="dxa"/>
              <w:start w:w="80" w:type="dxa"/>
              <w:end w:w="80" w:type="dxa"/>
            </w:tcMar>
          </w:tcPr>
          <w:p>
            <w:r>
              <w:rPr>
                <w:rFonts w:ascii="Cambria" w:hAnsi="Cambria"/>
                <w:color w:val="000000"/>
                <w:sz w:val="19"/>
              </w:rPr>
              <w:t>pembrolizumab, chemotherapy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IV</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hormone therapy,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910"/>
            <w:tcMar>
              <w:top w:w="60" w:type="dxa"/>
              <w:bottom w:w="60" w:type="dxa"/>
              <w:start w:w="80" w:type="dxa"/>
              <w:end w:w="80" w:type="dxa"/>
            </w:tcMar>
          </w:tcPr>
          <w:p>
            <w:r>
              <w:rPr>
                <w:rFonts w:ascii="Cambria" w:hAnsi="Cambria"/>
                <w:color w:val="000000"/>
                <w:sz w:val="19"/>
              </w:rPr>
              <w:t>olaparib, chemotherapy, radiation 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saruparib, hormone 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910"/>
            <w:tcMar>
              <w:top w:w="60" w:type="dxa"/>
              <w:bottom w:w="60" w:type="dxa"/>
              <w:start w:w="80" w:type="dxa"/>
              <w:end w:w="80" w:type="dxa"/>
            </w:tcMar>
          </w:tcPr>
          <w:p>
            <w:r>
              <w:rPr>
                <w:rFonts w:ascii="Cambria" w:hAnsi="Cambria"/>
                <w:color w:val="000000"/>
                <w:sz w:val="19"/>
              </w:rPr>
              <w:t>niraparib, radiation 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II/III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olaparib +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II/III</w:t>
            </w:r>
          </w:p>
        </w:tc>
      </w:tr>
      <w:tr>
        <w:trPr>
          <w:cantSplit w:val="true"/>
        </w:trPr>
        <w:tc>
          <w:tcPr>
            <w:tcW w:type="dxa" w:w="3910"/>
            <w:tcMar>
              <w:top w:w="60" w:type="dxa"/>
              <w:bottom w:w="60" w:type="dxa"/>
              <w:start w:w="80" w:type="dxa"/>
              <w:end w:w="80" w:type="dxa"/>
            </w:tcMar>
          </w:tcPr>
          <w:p>
            <w:r>
              <w:rPr>
                <w:rFonts w:ascii="Cambria" w:hAnsi="Cambria"/>
                <w:color w:val="000000"/>
                <w:sz w:val="19"/>
              </w:rPr>
              <w:t>abiraterone + niraparib, hormone therapy, radiation therapy,</w:t>
              <w:br/>
              <w:t>steroid</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camrelizumab, fluzoparib,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eflornithine</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hormone therapy, hormone therapy + chemotherapy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lunresertib, trastuzumab, chemotherapy, camonsertib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niraparib, dostarlimab</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olaparib</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r>
        <w:trPr>
          <w:cantSplit w:val="true"/>
        </w:trPr>
        <w:tc>
          <w:tcPr>
            <w:tcW w:type="dxa" w:w="3910"/>
            <w:shd w:val="clear" w:color="auto" w:fill="f8fafc"/>
            <w:tcMar>
              <w:top w:w="60" w:type="dxa"/>
              <w:bottom w:w="60" w:type="dxa"/>
              <w:start w:w="80" w:type="dxa"/>
              <w:end w:w="80" w:type="dxa"/>
            </w:tcMar>
          </w:tcPr>
          <w:p>
            <w:r>
              <w:rPr>
                <w:rFonts w:ascii="Cambria" w:hAnsi="Cambria"/>
                <w:color w:val="000000"/>
                <w:sz w:val="19"/>
              </w:rPr>
              <w:t>olaparib + hormone therapy</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239"/>
            <w:shd w:val="clear" w:color="auto" w:fill="f8fafc"/>
            <w:tcMar>
              <w:top w:w="60" w:type="dxa"/>
              <w:bottom w:w="60" w:type="dxa"/>
              <w:start w:w="80" w:type="dxa"/>
              <w:end w:w="80" w:type="dxa"/>
            </w:tcMar>
          </w:tcPr>
          <w:p>
            <w:r>
              <w:rPr>
                <w:rFonts w:ascii="Cambria" w:hAnsi="Cambria"/>
                <w:color w:val="000000"/>
                <w:sz w:val="19"/>
              </w:rPr>
              <w:t>X</w:t>
            </w:r>
          </w:p>
        </w:tc>
        <w:tc>
          <w:tcPr>
            <w:tcW w:type="dxa" w:w="1314"/>
            <w:shd w:val="clear" w:color="auto" w:fill="f8fafc"/>
            <w:tcMar>
              <w:top w:w="60" w:type="dxa"/>
              <w:bottom w:w="60" w:type="dxa"/>
              <w:start w:w="80" w:type="dxa"/>
              <w:end w:w="80" w:type="dxa"/>
            </w:tcMar>
          </w:tcPr>
          <w:p>
            <w:r>
              <w:rPr>
                <w:rFonts w:ascii="Cambria" w:hAnsi="Cambria"/>
                <w:color w:val="000000"/>
                <w:sz w:val="19"/>
              </w:rPr>
              <w:t>X</w:t>
            </w:r>
          </w:p>
        </w:tc>
        <w:tc>
          <w:tcPr>
            <w:tcW w:type="dxa" w:w="1450"/>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910"/>
            <w:tcMar>
              <w:top w:w="60" w:type="dxa"/>
              <w:bottom w:w="60" w:type="dxa"/>
              <w:start w:w="80" w:type="dxa"/>
              <w:end w:w="80" w:type="dxa"/>
            </w:tcMar>
          </w:tcPr>
          <w:p>
            <w:r>
              <w:rPr>
                <w:rFonts w:ascii="Cambria" w:hAnsi="Cambria"/>
                <w:color w:val="000000"/>
                <w:sz w:val="19"/>
              </w:rPr>
              <w:t>olaparib, chemotherapy</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239"/>
            <w:tcMar>
              <w:top w:w="60" w:type="dxa"/>
              <w:bottom w:w="60" w:type="dxa"/>
              <w:start w:w="80" w:type="dxa"/>
              <w:end w:w="80" w:type="dxa"/>
            </w:tcMar>
          </w:tcPr>
          <w:p>
            <w:r>
              <w:rPr>
                <w:rFonts w:ascii="Cambria" w:hAnsi="Cambria"/>
                <w:color w:val="000000"/>
                <w:sz w:val="19"/>
              </w:rPr>
              <w:t>X</w:t>
            </w:r>
          </w:p>
        </w:tc>
        <w:tc>
          <w:tcPr>
            <w:tcW w:type="dxa" w:w="1314"/>
            <w:tcMar>
              <w:top w:w="60" w:type="dxa"/>
              <w:bottom w:w="60" w:type="dxa"/>
              <w:start w:w="80" w:type="dxa"/>
              <w:end w:w="80" w:type="dxa"/>
            </w:tcMar>
          </w:tcPr>
          <w:p>
            <w:r>
              <w:rPr>
                <w:rFonts w:ascii="Cambria" w:hAnsi="Cambria"/>
                <w:color w:val="000000"/>
                <w:sz w:val="19"/>
              </w:rPr>
              <w:t>X</w:t>
            </w:r>
          </w:p>
        </w:tc>
        <w:tc>
          <w:tcPr>
            <w:tcW w:type="dxa" w:w="1450"/>
            <w:tcMar>
              <w:top w:w="60" w:type="dxa"/>
              <w:bottom w:w="60" w:type="dxa"/>
              <w:start w:w="80" w:type="dxa"/>
              <w:end w:w="80" w:type="dxa"/>
            </w:tcMar>
          </w:tcPr>
          <w:p>
            <w:r>
              <w:rPr>
                <w:rFonts w:ascii="Cambria" w:hAnsi="Cambria"/>
                <w:color w:val="000000"/>
                <w:sz w:val="19"/>
              </w:rPr>
              <w:t>II</w:t>
            </w:r>
          </w:p>
        </w:tc>
      </w:tr>
    </w:tbl>
    <w:p>
      <w:pPr>
        <w:spacing w:before="0" w:after="120" w:line="20" w:lineRule="exact"/>
      </w:pPr>
      <w:r>
        <w:rPr>
          <w:sz w:val="2"/>
        </w:rPr>
      </w:r>
    </w:p>
    <w:p>
      <w:pPr>
        <w:spacing w:before="211" w:after="120"/>
        <w:jc w:val="center"/>
      </w:pPr>
      <w:r>
        <w:drawing>
          <wp:inline xmlns:a="http://schemas.openxmlformats.org/drawingml/2006/main" xmlns:pic="http://schemas.openxmlformats.org/drawingml/2006/picture">
            <wp:extent cx="1536700" cy="67310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8"/>
          <w:footerReference w:type="default" r:id="rId19"/>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3400"/>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323"/>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17"/>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23"/>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17"/>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87"/>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400"/>
            <w:tcMar>
              <w:top w:w="60" w:type="dxa"/>
              <w:bottom w:w="60" w:type="dxa"/>
              <w:start w:w="80" w:type="dxa"/>
              <w:end w:w="80" w:type="dxa"/>
            </w:tcMar>
          </w:tcPr>
          <w:p>
            <w:r>
              <w:rPr>
                <w:rFonts w:ascii="Cambria" w:hAnsi="Cambria"/>
                <w:color w:val="000000"/>
                <w:sz w:val="19"/>
              </w:rPr>
              <w:t>olaparib, durvalumab</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olaparib, pembrolizumab</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w:t>
            </w:r>
          </w:p>
        </w:tc>
      </w:tr>
      <w:tr>
        <w:trPr>
          <w:cantSplit w:val="true"/>
        </w:trPr>
        <w:tc>
          <w:tcPr>
            <w:tcW w:type="dxa" w:w="3400"/>
            <w:tcMar>
              <w:top w:w="60" w:type="dxa"/>
              <w:bottom w:w="60" w:type="dxa"/>
              <w:start w:w="80" w:type="dxa"/>
              <w:end w:w="80" w:type="dxa"/>
            </w:tcMar>
          </w:tcPr>
          <w:p>
            <w:r>
              <w:rPr>
                <w:rFonts w:ascii="Cambria" w:hAnsi="Cambria"/>
                <w:color w:val="000000"/>
                <w:sz w:val="19"/>
              </w:rPr>
              <w:t>sintilimab, chemotherapy</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fluzoparib, camrelizumab, chemotherapy</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400"/>
            <w:tcMar>
              <w:top w:w="60" w:type="dxa"/>
              <w:bottom w:w="60" w:type="dxa"/>
              <w:start w:w="80" w:type="dxa"/>
              <w:end w:w="80" w:type="dxa"/>
            </w:tcMar>
          </w:tcPr>
          <w:p>
            <w:r>
              <w:rPr>
                <w:rFonts w:ascii="Cambria" w:hAnsi="Cambria"/>
                <w:color w:val="000000"/>
                <w:sz w:val="19"/>
              </w:rPr>
              <w:t>IMP-1734</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I/II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tislelizumab, radiation therapy</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I/II</w:t>
            </w:r>
          </w:p>
        </w:tc>
      </w:tr>
      <w:tr>
        <w:trPr>
          <w:cantSplit w:val="true"/>
        </w:trPr>
        <w:tc>
          <w:tcPr>
            <w:tcW w:type="dxa" w:w="3400"/>
            <w:tcMar>
              <w:top w:w="60" w:type="dxa"/>
              <w:bottom w:w="60" w:type="dxa"/>
              <w:start w:w="80" w:type="dxa"/>
              <w:end w:w="80" w:type="dxa"/>
            </w:tcMar>
          </w:tcPr>
          <w:p>
            <w:r>
              <w:rPr>
                <w:rFonts w:ascii="Cambria" w:hAnsi="Cambria"/>
                <w:color w:val="000000"/>
                <w:sz w:val="19"/>
              </w:rPr>
              <w:t>A2A-252</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GB-3010</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w:t>
            </w:r>
          </w:p>
        </w:tc>
      </w:tr>
      <w:tr>
        <w:trPr>
          <w:cantSplit w:val="true"/>
        </w:trPr>
        <w:tc>
          <w:tcPr>
            <w:tcW w:type="dxa" w:w="3400"/>
            <w:tcMar>
              <w:top w:w="60" w:type="dxa"/>
              <w:bottom w:w="60" w:type="dxa"/>
              <w:start w:w="80" w:type="dxa"/>
              <w:end w:w="80" w:type="dxa"/>
            </w:tcMar>
          </w:tcPr>
          <w:p>
            <w:r>
              <w:rPr>
                <w:rFonts w:ascii="Cambria" w:hAnsi="Cambria"/>
                <w:color w:val="000000"/>
                <w:sz w:val="19"/>
              </w:rPr>
              <w:t>lunresertib, camonsertib, Debio-0123</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323"/>
            <w:tcMar>
              <w:top w:w="60" w:type="dxa"/>
              <w:bottom w:w="60" w:type="dxa"/>
              <w:start w:w="80" w:type="dxa"/>
              <w:end w:w="80" w:type="dxa"/>
            </w:tcMar>
          </w:tcPr>
          <w:p>
            <w:r>
              <w:rPr>
                <w:rFonts w:ascii="Cambria" w:hAnsi="Cambria"/>
                <w:color w:val="000000"/>
                <w:sz w:val="19"/>
              </w:rPr>
              <w:t>X</w:t>
            </w:r>
          </w:p>
        </w:tc>
        <w:tc>
          <w:tcPr>
            <w:tcW w:type="dxa" w:w="1417"/>
            <w:tcMar>
              <w:top w:w="60" w:type="dxa"/>
              <w:bottom w:w="60" w:type="dxa"/>
              <w:start w:w="80" w:type="dxa"/>
              <w:end w:w="80" w:type="dxa"/>
            </w:tcMar>
          </w:tcPr>
          <w:p>
            <w:r>
              <w:rPr>
                <w:rFonts w:ascii="Cambria" w:hAnsi="Cambria"/>
                <w:color w:val="000000"/>
                <w:sz w:val="19"/>
              </w:rPr>
              <w:t>X</w:t>
            </w:r>
          </w:p>
        </w:tc>
        <w:tc>
          <w:tcPr>
            <w:tcW w:type="dxa" w:w="1587"/>
            <w:tcMar>
              <w:top w:w="60" w:type="dxa"/>
              <w:bottom w:w="60" w:type="dxa"/>
              <w:start w:w="80" w:type="dxa"/>
              <w:end w:w="80" w:type="dxa"/>
            </w:tcMar>
          </w:tcPr>
          <w:p>
            <w:r>
              <w:rPr>
                <w:rFonts w:ascii="Cambria" w:hAnsi="Cambria"/>
                <w:color w:val="000000"/>
                <w:sz w:val="19"/>
              </w:rPr>
              <w:t>I</w:t>
            </w:r>
          </w:p>
        </w:tc>
      </w:tr>
      <w:tr>
        <w:trPr>
          <w:cantSplit w:val="true"/>
        </w:trPr>
        <w:tc>
          <w:tcPr>
            <w:tcW w:type="dxa" w:w="3400"/>
            <w:shd w:val="clear" w:color="auto" w:fill="f8fafc"/>
            <w:tcMar>
              <w:top w:w="60" w:type="dxa"/>
              <w:bottom w:w="60" w:type="dxa"/>
              <w:start w:w="80" w:type="dxa"/>
              <w:end w:w="80" w:type="dxa"/>
            </w:tcMar>
          </w:tcPr>
          <w:p>
            <w:r>
              <w:rPr>
                <w:rFonts w:ascii="Cambria" w:hAnsi="Cambria"/>
                <w:color w:val="000000"/>
                <w:sz w:val="19"/>
              </w:rPr>
              <w:t>SC0245</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323"/>
            <w:shd w:val="clear" w:color="auto" w:fill="f8fafc"/>
            <w:tcMar>
              <w:top w:w="60" w:type="dxa"/>
              <w:bottom w:w="60" w:type="dxa"/>
              <w:start w:w="80" w:type="dxa"/>
              <w:end w:w="80" w:type="dxa"/>
            </w:tcMar>
          </w:tcPr>
          <w:p>
            <w:r>
              <w:rPr>
                <w:rFonts w:ascii="Cambria" w:hAnsi="Cambria"/>
                <w:color w:val="000000"/>
                <w:sz w:val="19"/>
              </w:rPr>
              <w:t>X</w:t>
            </w:r>
          </w:p>
        </w:tc>
        <w:tc>
          <w:tcPr>
            <w:tcW w:type="dxa" w:w="1417"/>
            <w:shd w:val="clear" w:color="auto" w:fill="f8fafc"/>
            <w:tcMar>
              <w:top w:w="60" w:type="dxa"/>
              <w:bottom w:w="60" w:type="dxa"/>
              <w:start w:w="80" w:type="dxa"/>
              <w:end w:w="80" w:type="dxa"/>
            </w:tcMar>
          </w:tcPr>
          <w:p>
            <w:r>
              <w:rPr>
                <w:rFonts w:ascii="Cambria" w:hAnsi="Cambria"/>
                <w:color w:val="000000"/>
                <w:sz w:val="19"/>
              </w:rPr>
              <w:t>X</w:t>
            </w:r>
          </w:p>
        </w:tc>
        <w:tc>
          <w:tcPr>
            <w:tcW w:type="dxa" w:w="1587"/>
            <w:shd w:val="clear" w:color="auto" w:fill="f8fafc"/>
            <w:tcMar>
              <w:top w:w="60" w:type="dxa"/>
              <w:bottom w:w="60" w:type="dxa"/>
              <w:start w:w="80" w:type="dxa"/>
              <w:end w:w="80" w:type="dxa"/>
            </w:tcMar>
          </w:tcPr>
          <w:p>
            <w:r>
              <w:rPr>
                <w:rFonts w:ascii="Cambria" w:hAnsi="Cambria"/>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 Evidence. ⚠️ :</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58" w:after="60"/>
        <w:jc w:val="left"/>
      </w:pPr>
      <w:r>
        <w:rPr>
          <w:rFonts w:ascii="Cambria" w:hAnsi="Cambria"/>
          <w:b/>
          <w:i w:val="0"/>
          <w:color w:val="008080"/>
          <w:sz w:val="22"/>
        </w:rPr>
        <w:t>Test Description</w:t>
      </w:r>
    </w:p>
    <w:p>
      <w:pPr>
        <w:spacing w:before="90" w:after="80" w:line="276" w:lineRule="auto"/>
        <w:jc w:val="left"/>
      </w:pPr>
      <w:r>
        <w:rPr>
          <w:rFonts w:ascii="Cambria" w:hAnsi="Cambria"/>
          <w:color w:val="000000"/>
          <w:sz w:val="20"/>
        </w:rPr>
        <w:t>Liquidseq Actionable Genomic Profiling Panel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0"/>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360" w:after="80" w:line="276" w:lineRule="auto"/>
        <w:jc w:val="left"/>
      </w:pPr>
      <w:r>
        <w:rPr>
          <w:rFonts w:ascii="Cambria" w:hAnsi="Cambria"/>
          <w:color w:val="000000"/>
          <w:sz w:val="20"/>
        </w:rPr>
        <w:t>The performance of the panel was verified using both commercially sourced reference controls and cell-free DNA (cfTNA)samples.</w:t>
      </w:r>
    </w:p>
    <w:p>
      <w:pPr>
        <w:spacing w:before="360" w:after="80" w:line="276" w:lineRule="auto"/>
        <w:jc w:val="left"/>
      </w:pPr>
      <w:r>
        <w:rPr>
          <w:rFonts w:ascii="Cambria" w:hAnsi="Cambria"/>
          <w:color w:val="000000"/>
          <w:sz w:val="20"/>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p>
      <w:pPr>
        <w:spacing w:before="296"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0"/>
          <w:footerReference w:type="default" r:id="rId21"/>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&gt;25,000x   on   Illumina   Novaseq-   next   generation   sequ</w:t>
            </w:r>
          </w:p>
        </w:tc>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analyzed   using   a   customized   and   validated   bioinformatics   pipeline   capable   of   det</w:t>
            </w:r>
          </w:p>
        </w:tc>
      </w:tr>
    </w:tbl>
    <w:p>
      <w:pPr>
        <w:spacing w:before="0" w:after="80" w:line="20" w:lineRule="exact"/>
      </w:pPr>
      <w:r>
        <w:rPr>
          <w:sz w:val="2"/>
        </w:rPr>
      </w:r>
    </w:p>
    <w:p>
      <w:pPr>
        <w:spacing w:before="80" w:after="80" w:line="276" w:lineRule="auto"/>
        <w:jc w:val="left"/>
      </w:pPr>
      <w:r>
        <w:rPr>
          <w:rFonts w:ascii="Cambria" w:hAnsi="Cambria"/>
          <w:color w:val="000000"/>
          <w:sz w:val="20"/>
        </w:rPr>
        <w:t>Limit of Detection (LOD): The LOD for SNVs and Short InDels is 0.1% Variant allele Frequency (VAF) and for Fusions is 05 supporting reads.</w:t>
      </w:r>
    </w:p>
    <w:p>
      <w:pPr>
        <w:keepNext/>
        <w:spacing w:before="360" w:after="60"/>
        <w:jc w:val="left"/>
      </w:pPr>
      <w:r>
        <w:rPr>
          <w:rFonts w:ascii="Cambria" w:hAnsi="Cambria"/>
          <w:b/>
          <w:i w:val="0"/>
          <w:color w:val="008080"/>
          <w:sz w:val="22"/>
        </w:rPr>
        <w:t>Notes</w:t>
      </w:r>
    </w:p>
    <w:p>
      <w:pPr>
        <w:spacing w:before="90" w:after="80" w:line="276" w:lineRule="auto"/>
        <w:jc w:val="left"/>
      </w:pPr>
      <w:r>
        <w:rPr>
          <w:rFonts w:ascii="Cambria" w:hAnsi="Cambria"/>
          <w:color w:val="000000"/>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Cambria" w:hAnsi="Cambria"/>
          <w:color w:val="000000"/>
          <w:sz w:val="20"/>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w:t>
      </w:r>
    </w:p>
    <w:p>
      <w:pPr>
        <w:spacing w:before="360" w:after="80" w:line="276" w:lineRule="auto"/>
        <w:jc w:val="left"/>
      </w:pPr>
      <w:r>
        <w:rPr>
          <w:rFonts w:ascii="Cambria" w:hAnsi="Cambria"/>
          <w:color w:val="000000"/>
          <w:sz w:val="20"/>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0"/>
        </w:rPr>
        <w:t>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0"/>
        </w:rPr>
        <w:t>The assay is designed and validated for somatic variant detection, it does not differentiate between somatic and germline variants. If indicated, germline testing and genetic counselling are recommended.</w:t>
      </w:r>
    </w:p>
    <w:p>
      <w:pPr>
        <w:spacing w:before="360" w:after="120"/>
        <w:jc w:val="center"/>
      </w:pPr>
      <w:r>
        <w:drawing>
          <wp:inline xmlns:a="http://schemas.openxmlformats.org/drawingml/2006/main" xmlns:pic="http://schemas.openxmlformats.org/drawingml/2006/picture">
            <wp:extent cx="1536700" cy="67310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2"/>
          <w:footerReference w:type="default" r:id="rId23"/>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360" w:after="80" w:line="276" w:lineRule="auto"/>
        <w:jc w:val="left"/>
      </w:pPr>
      <w:r>
        <w:rPr>
          <w:rFonts w:ascii="Cambria" w:hAnsi="Cambria"/>
          <w:color w:val="000000"/>
          <w:sz w:val="20"/>
        </w:rPr>
        <w:t>Variants with lower allele frequencies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0"/>
        </w:rPr>
        <w:t>CNVs/gene amplifications reported, Confirmation using orthogonal methods such as DDPCR is recommended when clinically indicated.</w:t>
      </w:r>
    </w:p>
    <w:p>
      <w:pPr>
        <w:spacing w:before="360" w:after="80" w:line="276" w:lineRule="auto"/>
        <w:jc w:val="left"/>
      </w:pPr>
      <w:r>
        <w:rPr>
          <w:rFonts w:ascii="Cambria" w:hAnsi="Cambria"/>
          <w:color w:val="000000"/>
          <w:sz w:val="20"/>
        </w:rPr>
        <w:t>Variants in non-coding regions or deep intronic sequences are not assessed in this assay.</w:t>
      </w:r>
    </w:p>
    <w:p>
      <w:pPr>
        <w:spacing w:before="80" w:after="80" w:line="276" w:lineRule="auto"/>
        <w:jc w:val="left"/>
      </w:pPr>
      <w:r>
        <w:rPr>
          <w:rFonts w:ascii="Cambria" w:hAnsi="Cambria"/>
          <w:color w:val="000000"/>
          <w:sz w:val="20"/>
        </w:rPr>
        <w:t>This assay is under the scope of NABL as Liquidseq Actionable Panel.</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r>
              <w:rPr>
                <w:rFonts w:ascii="Cambria" w:hAnsi="Cambria"/>
                <w:color w:val="000000"/>
                <w:sz w:val="19"/>
              </w:rPr>
              <w:t>AKT1</w:t>
            </w:r>
          </w:p>
        </w:tc>
        <w:tc>
          <w:tcPr>
            <w:tcW w:type="dxa" w:w="2004"/>
            <w:tcMar>
              <w:top w:w="60" w:type="dxa"/>
              <w:bottom w:w="60" w:type="dxa"/>
              <w:start w:w="80" w:type="dxa"/>
              <w:end w:w="80" w:type="dxa"/>
            </w:tcMar>
          </w:tcPr>
          <w:p>
            <w:r>
              <w:rPr>
                <w:rFonts w:ascii="Cambria" w:hAnsi="Cambria"/>
                <w:color w:val="000000"/>
                <w:sz w:val="19"/>
              </w:rPr>
              <w:t>ALK</w:t>
            </w:r>
          </w:p>
        </w:tc>
        <w:tc>
          <w:tcPr>
            <w:tcW w:type="dxa" w:w="2004"/>
            <w:tcMar>
              <w:top w:w="60" w:type="dxa"/>
              <w:bottom w:w="60" w:type="dxa"/>
              <w:start w:w="80" w:type="dxa"/>
              <w:end w:w="80" w:type="dxa"/>
            </w:tcMar>
          </w:tcPr>
          <w:p>
            <w:r>
              <w:rPr>
                <w:rFonts w:ascii="Cambria" w:hAnsi="Cambria"/>
                <w:color w:val="000000"/>
                <w:sz w:val="19"/>
              </w:rPr>
              <w:t>APC</w:t>
            </w:r>
          </w:p>
        </w:tc>
        <w:tc>
          <w:tcPr>
            <w:tcW w:type="dxa" w:w="2004"/>
            <w:tcMar>
              <w:top w:w="60" w:type="dxa"/>
              <w:bottom w:w="60" w:type="dxa"/>
              <w:start w:w="80" w:type="dxa"/>
              <w:end w:w="80" w:type="dxa"/>
            </w:tcMar>
          </w:tcPr>
          <w:p>
            <w:r>
              <w:rPr>
                <w:rFonts w:ascii="Cambria" w:hAnsi="Cambria"/>
                <w:color w:val="000000"/>
                <w:sz w:val="19"/>
              </w:rPr>
              <w:t>ATM</w:t>
            </w:r>
          </w:p>
        </w:tc>
        <w:tc>
          <w:tcPr>
            <w:tcW w:type="dxa" w:w="2004"/>
            <w:tcMar>
              <w:top w:w="60" w:type="dxa"/>
              <w:bottom w:w="60" w:type="dxa"/>
              <w:start w:w="80" w:type="dxa"/>
              <w:end w:w="80" w:type="dxa"/>
            </w:tcMar>
          </w:tcPr>
          <w:p>
            <w:r>
              <w:rPr>
                <w:rFonts w:ascii="Cambria" w:hAnsi="Cambria"/>
                <w:color w:val="000000"/>
                <w:sz w:val="19"/>
              </w:rPr>
              <w:t>BRAF</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BRCA1</w:t>
            </w:r>
          </w:p>
        </w:tc>
        <w:tc>
          <w:tcPr>
            <w:tcW w:type="dxa" w:w="2004"/>
            <w:shd w:val="clear" w:color="auto" w:fill="f8fafc"/>
            <w:tcMar>
              <w:top w:w="60" w:type="dxa"/>
              <w:bottom w:w="60" w:type="dxa"/>
              <w:start w:w="80" w:type="dxa"/>
              <w:end w:w="80" w:type="dxa"/>
            </w:tcMar>
          </w:tcPr>
          <w:p>
            <w:r>
              <w:rPr>
                <w:rFonts w:ascii="Cambria" w:hAnsi="Cambria"/>
                <w:color w:val="000000"/>
                <w:sz w:val="19"/>
              </w:rPr>
              <w:t>BRCA2</w:t>
            </w:r>
          </w:p>
        </w:tc>
        <w:tc>
          <w:tcPr>
            <w:tcW w:type="dxa" w:w="2004"/>
            <w:shd w:val="clear" w:color="auto" w:fill="f8fafc"/>
            <w:tcMar>
              <w:top w:w="60" w:type="dxa"/>
              <w:bottom w:w="60" w:type="dxa"/>
              <w:start w:w="80" w:type="dxa"/>
              <w:end w:w="80" w:type="dxa"/>
            </w:tcMar>
          </w:tcPr>
          <w:p>
            <w:r>
              <w:rPr>
                <w:rFonts w:ascii="Cambria" w:hAnsi="Cambria"/>
                <w:color w:val="000000"/>
                <w:sz w:val="19"/>
              </w:rPr>
              <w:t>CTNNB1</w:t>
            </w:r>
          </w:p>
        </w:tc>
        <w:tc>
          <w:tcPr>
            <w:tcW w:type="dxa" w:w="2004"/>
            <w:shd w:val="clear" w:color="auto" w:fill="f8fafc"/>
            <w:tcMar>
              <w:top w:w="60" w:type="dxa"/>
              <w:bottom w:w="60" w:type="dxa"/>
              <w:start w:w="80" w:type="dxa"/>
              <w:end w:w="80" w:type="dxa"/>
            </w:tcMar>
          </w:tcPr>
          <w:p>
            <w:r>
              <w:rPr>
                <w:rFonts w:ascii="Cambria" w:hAnsi="Cambria"/>
                <w:color w:val="000000"/>
                <w:sz w:val="19"/>
              </w:rPr>
              <w:t>EGFR</w:t>
            </w:r>
          </w:p>
        </w:tc>
        <w:tc>
          <w:tcPr>
            <w:tcW w:type="dxa" w:w="2004"/>
            <w:shd w:val="clear" w:color="auto" w:fill="f8fafc"/>
            <w:tcMar>
              <w:top w:w="60" w:type="dxa"/>
              <w:bottom w:w="60" w:type="dxa"/>
              <w:start w:w="80" w:type="dxa"/>
              <w:end w:w="80" w:type="dxa"/>
            </w:tcMar>
          </w:tcPr>
          <w:p>
            <w:r>
              <w:rPr>
                <w:rFonts w:ascii="Cambria" w:hAnsi="Cambria"/>
                <w:color w:val="000000"/>
                <w:sz w:val="19"/>
              </w:rPr>
              <w:t>ERBB2</w:t>
            </w:r>
          </w:p>
        </w:tc>
      </w:tr>
      <w:tr>
        <w:trPr>
          <w:cantSplit w:val="true"/>
        </w:trPr>
        <w:tc>
          <w:tcPr>
            <w:tcW w:type="dxa" w:w="2451"/>
            <w:tcMar>
              <w:top w:w="60" w:type="dxa"/>
              <w:bottom w:w="60" w:type="dxa"/>
              <w:start w:w="80" w:type="dxa"/>
              <w:end w:w="80" w:type="dxa"/>
            </w:tcMar>
          </w:tcPr>
          <w:p>
            <w:r>
              <w:rPr>
                <w:rFonts w:ascii="Cambria" w:hAnsi="Cambria"/>
                <w:color w:val="000000"/>
                <w:sz w:val="19"/>
              </w:rPr>
              <w:t>ERBB3</w:t>
            </w:r>
          </w:p>
        </w:tc>
        <w:tc>
          <w:tcPr>
            <w:tcW w:type="dxa" w:w="2004"/>
            <w:tcMar>
              <w:top w:w="60" w:type="dxa"/>
              <w:bottom w:w="60" w:type="dxa"/>
              <w:start w:w="80" w:type="dxa"/>
              <w:end w:w="80" w:type="dxa"/>
            </w:tcMar>
          </w:tcPr>
          <w:p>
            <w:r>
              <w:rPr>
                <w:rFonts w:ascii="Cambria" w:hAnsi="Cambria"/>
                <w:color w:val="000000"/>
                <w:sz w:val="19"/>
              </w:rPr>
              <w:t>ESR1</w:t>
            </w:r>
          </w:p>
        </w:tc>
        <w:tc>
          <w:tcPr>
            <w:tcW w:type="dxa" w:w="2004"/>
            <w:tcMar>
              <w:top w:w="60" w:type="dxa"/>
              <w:bottom w:w="60" w:type="dxa"/>
              <w:start w:w="80" w:type="dxa"/>
              <w:end w:w="80" w:type="dxa"/>
            </w:tcMar>
          </w:tcPr>
          <w:p>
            <w:r>
              <w:rPr>
                <w:rFonts w:ascii="Cambria" w:hAnsi="Cambria"/>
                <w:color w:val="000000"/>
                <w:sz w:val="19"/>
              </w:rPr>
              <w:t>FOXL2</w:t>
            </w:r>
          </w:p>
        </w:tc>
        <w:tc>
          <w:tcPr>
            <w:tcW w:type="dxa" w:w="2004"/>
            <w:tcMar>
              <w:top w:w="60" w:type="dxa"/>
              <w:bottom w:w="60" w:type="dxa"/>
              <w:start w:w="80" w:type="dxa"/>
              <w:end w:w="80" w:type="dxa"/>
            </w:tcMar>
          </w:tcPr>
          <w:p>
            <w:r>
              <w:rPr>
                <w:rFonts w:ascii="Cambria" w:hAnsi="Cambria"/>
                <w:color w:val="000000"/>
                <w:sz w:val="19"/>
              </w:rPr>
              <w:t>GNA11</w:t>
            </w:r>
          </w:p>
        </w:tc>
        <w:tc>
          <w:tcPr>
            <w:tcW w:type="dxa" w:w="2004"/>
            <w:tcMar>
              <w:top w:w="60" w:type="dxa"/>
              <w:bottom w:w="60" w:type="dxa"/>
              <w:start w:w="80" w:type="dxa"/>
              <w:end w:w="80" w:type="dxa"/>
            </w:tcMar>
          </w:tcPr>
          <w:p>
            <w:r>
              <w:rPr>
                <w:rFonts w:ascii="Cambria" w:hAnsi="Cambria"/>
                <w:color w:val="000000"/>
                <w:sz w:val="19"/>
              </w:rPr>
              <w:t>GNAQ</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HRAS</w:t>
            </w:r>
          </w:p>
        </w:tc>
        <w:tc>
          <w:tcPr>
            <w:tcW w:type="dxa" w:w="2004"/>
            <w:shd w:val="clear" w:color="auto" w:fill="f8fafc"/>
            <w:tcMar>
              <w:top w:w="60" w:type="dxa"/>
              <w:bottom w:w="60" w:type="dxa"/>
              <w:start w:w="80" w:type="dxa"/>
              <w:end w:w="80" w:type="dxa"/>
            </w:tcMar>
          </w:tcPr>
          <w:p>
            <w:r>
              <w:rPr>
                <w:rFonts w:ascii="Cambria" w:hAnsi="Cambria"/>
                <w:color w:val="000000"/>
                <w:sz w:val="19"/>
              </w:rPr>
              <w:t>IDH1</w:t>
            </w:r>
          </w:p>
        </w:tc>
        <w:tc>
          <w:tcPr>
            <w:tcW w:type="dxa" w:w="2004"/>
            <w:shd w:val="clear" w:color="auto" w:fill="f8fafc"/>
            <w:tcMar>
              <w:top w:w="60" w:type="dxa"/>
              <w:bottom w:w="60" w:type="dxa"/>
              <w:start w:w="80" w:type="dxa"/>
              <w:end w:w="80" w:type="dxa"/>
            </w:tcMar>
          </w:tcPr>
          <w:p>
            <w:r>
              <w:rPr>
                <w:rFonts w:ascii="Cambria" w:hAnsi="Cambria"/>
                <w:color w:val="000000"/>
                <w:sz w:val="19"/>
              </w:rPr>
              <w:t>IDH2</w:t>
            </w:r>
          </w:p>
        </w:tc>
        <w:tc>
          <w:tcPr>
            <w:tcW w:type="dxa" w:w="2004"/>
            <w:shd w:val="clear" w:color="auto" w:fill="f8fafc"/>
            <w:tcMar>
              <w:top w:w="60" w:type="dxa"/>
              <w:bottom w:w="60" w:type="dxa"/>
              <w:start w:w="80" w:type="dxa"/>
              <w:end w:w="80" w:type="dxa"/>
            </w:tcMar>
          </w:tcPr>
          <w:p>
            <w:r>
              <w:rPr>
                <w:rFonts w:ascii="Cambria" w:hAnsi="Cambria"/>
                <w:color w:val="000000"/>
                <w:sz w:val="19"/>
              </w:rPr>
              <w:t>KIT</w:t>
            </w:r>
          </w:p>
        </w:tc>
        <w:tc>
          <w:tcPr>
            <w:tcW w:type="dxa" w:w="2004"/>
            <w:shd w:val="clear" w:color="auto" w:fill="f8fafc"/>
            <w:tcMar>
              <w:top w:w="60" w:type="dxa"/>
              <w:bottom w:w="60" w:type="dxa"/>
              <w:start w:w="80" w:type="dxa"/>
              <w:end w:w="80" w:type="dxa"/>
            </w:tcMar>
          </w:tcPr>
          <w:p>
            <w:r>
              <w:rPr>
                <w:rFonts w:ascii="Cambria" w:hAnsi="Cambria"/>
                <w:color w:val="000000"/>
                <w:sz w:val="19"/>
              </w:rPr>
              <w:t>KRAS</w:t>
            </w:r>
          </w:p>
        </w:tc>
      </w:tr>
      <w:tr>
        <w:trPr>
          <w:cantSplit w:val="true"/>
        </w:trPr>
        <w:tc>
          <w:tcPr>
            <w:tcW w:type="dxa" w:w="2451"/>
            <w:tcMar>
              <w:top w:w="60" w:type="dxa"/>
              <w:bottom w:w="60" w:type="dxa"/>
              <w:start w:w="80" w:type="dxa"/>
              <w:end w:w="80" w:type="dxa"/>
            </w:tcMar>
          </w:tcPr>
          <w:p>
            <w:r>
              <w:rPr>
                <w:rFonts w:ascii="Cambria" w:hAnsi="Cambria"/>
                <w:color w:val="000000"/>
                <w:sz w:val="19"/>
              </w:rPr>
              <w:t>MET</w:t>
            </w:r>
          </w:p>
        </w:tc>
        <w:tc>
          <w:tcPr>
            <w:tcW w:type="dxa" w:w="2004"/>
            <w:tcMar>
              <w:top w:w="60" w:type="dxa"/>
              <w:bottom w:w="60" w:type="dxa"/>
              <w:start w:w="80" w:type="dxa"/>
              <w:end w:w="80" w:type="dxa"/>
            </w:tcMar>
          </w:tcPr>
          <w:p>
            <w:r>
              <w:rPr>
                <w:rFonts w:ascii="Cambria" w:hAnsi="Cambria"/>
                <w:color w:val="000000"/>
                <w:sz w:val="19"/>
              </w:rPr>
              <w:t>NRAS</w:t>
            </w:r>
          </w:p>
        </w:tc>
        <w:tc>
          <w:tcPr>
            <w:tcW w:type="dxa" w:w="2004"/>
            <w:tcMar>
              <w:top w:w="60" w:type="dxa"/>
              <w:bottom w:w="60" w:type="dxa"/>
              <w:start w:w="80" w:type="dxa"/>
              <w:end w:w="80" w:type="dxa"/>
            </w:tcMar>
          </w:tcPr>
          <w:p>
            <w:r>
              <w:rPr>
                <w:rFonts w:ascii="Cambria" w:hAnsi="Cambria"/>
                <w:color w:val="000000"/>
                <w:sz w:val="19"/>
              </w:rPr>
              <w:t>PDGFRA</w:t>
            </w:r>
          </w:p>
        </w:tc>
        <w:tc>
          <w:tcPr>
            <w:tcW w:type="dxa" w:w="2004"/>
            <w:tcMar>
              <w:top w:w="60" w:type="dxa"/>
              <w:bottom w:w="60" w:type="dxa"/>
              <w:start w:w="80" w:type="dxa"/>
              <w:end w:w="80" w:type="dxa"/>
            </w:tcMar>
          </w:tcPr>
          <w:p>
            <w:r>
              <w:rPr>
                <w:rFonts w:ascii="Cambria" w:hAnsi="Cambria"/>
                <w:color w:val="000000"/>
                <w:sz w:val="19"/>
              </w:rPr>
              <w:t>PIK3CA</w:t>
            </w:r>
          </w:p>
        </w:tc>
        <w:tc>
          <w:tcPr>
            <w:tcW w:type="dxa" w:w="2004"/>
            <w:tcMar>
              <w:top w:w="60" w:type="dxa"/>
              <w:bottom w:w="60" w:type="dxa"/>
              <w:start w:w="80" w:type="dxa"/>
              <w:end w:w="80" w:type="dxa"/>
            </w:tcMar>
          </w:tcPr>
          <w:p>
            <w:r>
              <w:rPr>
                <w:rFonts w:ascii="Cambria" w:hAnsi="Cambria"/>
                <w:color w:val="000000"/>
                <w:sz w:val="19"/>
              </w:rPr>
              <w:t>POLE</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RAF1</w:t>
            </w:r>
          </w:p>
        </w:tc>
        <w:tc>
          <w:tcPr>
            <w:tcW w:type="dxa" w:w="2004"/>
            <w:shd w:val="clear" w:color="auto" w:fill="f8fafc"/>
            <w:tcMar>
              <w:top w:w="60" w:type="dxa"/>
              <w:bottom w:w="60" w:type="dxa"/>
              <w:start w:w="80" w:type="dxa"/>
              <w:end w:w="80" w:type="dxa"/>
            </w:tcMar>
          </w:tcPr>
          <w:p>
            <w:r>
              <w:rPr>
                <w:rFonts w:ascii="Cambria" w:hAnsi="Cambria"/>
                <w:color w:val="000000"/>
                <w:sz w:val="19"/>
              </w:rPr>
              <w:t>RET</w:t>
            </w:r>
          </w:p>
        </w:tc>
        <w:tc>
          <w:tcPr>
            <w:tcW w:type="dxa" w:w="2004"/>
            <w:shd w:val="clear" w:color="auto" w:fill="f8fafc"/>
            <w:tcMar>
              <w:top w:w="60" w:type="dxa"/>
              <w:bottom w:w="60" w:type="dxa"/>
              <w:start w:w="80" w:type="dxa"/>
              <w:end w:w="80" w:type="dxa"/>
            </w:tcMar>
          </w:tcPr>
          <w:p>
            <w:r>
              <w:rPr>
                <w:rFonts w:ascii="Cambria" w:hAnsi="Cambria"/>
                <w:color w:val="000000"/>
                <w:sz w:val="19"/>
              </w:rPr>
              <w:t>TP53</w:t>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279"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r>
              <w:rPr>
                <w:rFonts w:ascii="Cambria" w:hAnsi="Cambria"/>
                <w:color w:val="000000"/>
                <w:sz w:val="19"/>
              </w:rPr>
              <w:t>ALK</w:t>
            </w:r>
          </w:p>
        </w:tc>
        <w:tc>
          <w:tcPr>
            <w:tcW w:type="dxa" w:w="2004"/>
            <w:tcMar>
              <w:top w:w="60" w:type="dxa"/>
              <w:bottom w:w="60" w:type="dxa"/>
              <w:start w:w="80" w:type="dxa"/>
              <w:end w:w="80" w:type="dxa"/>
            </w:tcMar>
          </w:tcPr>
          <w:p>
            <w:r>
              <w:rPr>
                <w:rFonts w:ascii="Cambria" w:hAnsi="Cambria"/>
                <w:color w:val="000000"/>
                <w:sz w:val="19"/>
              </w:rPr>
              <w:t>MET</w:t>
            </w:r>
          </w:p>
        </w:tc>
        <w:tc>
          <w:tcPr>
            <w:tcW w:type="dxa" w:w="2004"/>
            <w:tcMar>
              <w:top w:w="60" w:type="dxa"/>
              <w:bottom w:w="60" w:type="dxa"/>
              <w:start w:w="80" w:type="dxa"/>
              <w:end w:w="80" w:type="dxa"/>
            </w:tcMar>
          </w:tcPr>
          <w:p>
            <w:r>
              <w:rPr>
                <w:rFonts w:ascii="Cambria" w:hAnsi="Cambria"/>
                <w:color w:val="000000"/>
                <w:sz w:val="19"/>
              </w:rPr>
              <w:t>NTRK1</w:t>
            </w:r>
          </w:p>
        </w:tc>
        <w:tc>
          <w:tcPr>
            <w:tcW w:type="dxa" w:w="2004"/>
            <w:tcMar>
              <w:top w:w="60" w:type="dxa"/>
              <w:bottom w:w="60" w:type="dxa"/>
              <w:start w:w="80" w:type="dxa"/>
              <w:end w:w="80" w:type="dxa"/>
            </w:tcMar>
          </w:tcPr>
          <w:p>
            <w:r>
              <w:rPr>
                <w:rFonts w:ascii="Cambria" w:hAnsi="Cambria"/>
                <w:color w:val="000000"/>
                <w:sz w:val="19"/>
              </w:rPr>
              <w:t>NTRK2</w:t>
            </w:r>
          </w:p>
        </w:tc>
        <w:tc>
          <w:tcPr>
            <w:tcW w:type="dxa" w:w="2004"/>
            <w:tcMar>
              <w:top w:w="60" w:type="dxa"/>
              <w:bottom w:w="60" w:type="dxa"/>
              <w:start w:w="80" w:type="dxa"/>
              <w:end w:w="80" w:type="dxa"/>
            </w:tcMar>
          </w:tcPr>
          <w:p>
            <w:r>
              <w:rPr>
                <w:rFonts w:ascii="Cambria" w:hAnsi="Cambria"/>
                <w:color w:val="000000"/>
                <w:sz w:val="19"/>
              </w:rPr>
              <w:t>NTRK3</w:t>
            </w:r>
          </w:p>
        </w:tc>
      </w:tr>
      <w:tr>
        <w:trPr>
          <w:cantSplit w:val="true"/>
        </w:trPr>
        <w:tc>
          <w:tcPr>
            <w:tcW w:type="dxa" w:w="2451"/>
            <w:shd w:val="clear" w:color="auto" w:fill="f8fafc"/>
            <w:tcMar>
              <w:top w:w="60" w:type="dxa"/>
              <w:bottom w:w="60" w:type="dxa"/>
              <w:start w:w="80" w:type="dxa"/>
              <w:end w:w="80" w:type="dxa"/>
            </w:tcMar>
          </w:tcPr>
          <w:p>
            <w:r>
              <w:rPr>
                <w:rFonts w:ascii="Cambria" w:hAnsi="Cambria"/>
                <w:color w:val="000000"/>
                <w:sz w:val="19"/>
              </w:rPr>
              <w:t>ROS1</w:t>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c>
          <w:tcPr>
            <w:tcW w:type="dxa" w:w="2004"/>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28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5668"/>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4798"/>
            <w:shd w:val="clear" w:color="auto" w:fill="1f497d"/>
            <w:tcMar>
              <w:top w:w="60" w:type="dxa"/>
              <w:bottom w:w="60" w:type="dxa"/>
              <w:start w:w="80" w:type="dxa"/>
              <w:end w:w="80" w:type="dxa"/>
            </w:tcMar>
          </w:tcPr>
          <w:p>
            <w:pPr>
              <w:jc w:val="center"/>
            </w:pPr>
            <w:r>
              <w:rPr>
                <w:rFonts w:ascii="Cambria" w:hAnsi="Cambria"/>
                <w:b/>
                <w:color w:val="FFFFFF"/>
                <w:sz w:val="19"/>
              </w:rPr>
              <w:t>% of Unstable Loci</w:t>
            </w:r>
          </w:p>
        </w:tc>
      </w:tr>
      <w:tr>
        <w:trPr>
          <w:cantSplit w:val="true"/>
        </w:trPr>
        <w:tc>
          <w:tcPr>
            <w:tcW w:type="dxa" w:w="5668"/>
            <w:tcMar>
              <w:top w:w="60" w:type="dxa"/>
              <w:bottom w:w="60" w:type="dxa"/>
              <w:start w:w="80" w:type="dxa"/>
              <w:end w:w="80" w:type="dxa"/>
            </w:tcMar>
          </w:tcPr>
          <w:p>
            <w:r>
              <w:rPr>
                <w:rFonts w:ascii="Cambria" w:hAnsi="Cambria"/>
                <w:b/>
                <w:color w:val="008000"/>
                <w:sz w:val="19"/>
              </w:rPr>
              <w:t>MSI - Stable</w:t>
            </w:r>
          </w:p>
        </w:tc>
        <w:tc>
          <w:tcPr>
            <w:tcW w:type="dxa" w:w="4798"/>
            <w:tcMar>
              <w:top w:w="60" w:type="dxa"/>
              <w:bottom w:w="60" w:type="dxa"/>
              <w:start w:w="80" w:type="dxa"/>
              <w:end w:w="80" w:type="dxa"/>
            </w:tcMar>
          </w:tcPr>
          <w:p>
            <w:r>
              <w:rPr>
                <w:rFonts w:ascii="Cambria" w:hAnsi="Cambria"/>
                <w:color w:val="000000"/>
                <w:sz w:val="19"/>
              </w:rPr>
              <w:t>0-19%</w:t>
            </w:r>
          </w:p>
        </w:tc>
      </w:tr>
      <w:tr>
        <w:trPr>
          <w:cantSplit w:val="true"/>
        </w:trPr>
        <w:tc>
          <w:tcPr>
            <w:tcW w:type="dxa" w:w="5668"/>
            <w:shd w:val="clear" w:color="auto" w:fill="f8fafc"/>
            <w:tcMar>
              <w:top w:w="60" w:type="dxa"/>
              <w:bottom w:w="60" w:type="dxa"/>
              <w:start w:w="80" w:type="dxa"/>
              <w:end w:w="80" w:type="dxa"/>
            </w:tcMar>
          </w:tcPr>
          <w:p>
            <w:r>
              <w:rPr>
                <w:rFonts w:ascii="Cambria" w:hAnsi="Cambria"/>
                <w:color w:val="000000"/>
                <w:sz w:val="19"/>
              </w:rPr>
              <w:t>MSI - Low / Intermediate</w:t>
            </w:r>
          </w:p>
        </w:tc>
        <w:tc>
          <w:tcPr>
            <w:tcW w:type="dxa" w:w="4798"/>
            <w:shd w:val="clear" w:color="auto" w:fill="f8fafc"/>
            <w:tcMar>
              <w:top w:w="60" w:type="dxa"/>
              <w:bottom w:w="60" w:type="dxa"/>
              <w:start w:w="80" w:type="dxa"/>
              <w:end w:w="80" w:type="dxa"/>
            </w:tcMar>
          </w:tcPr>
          <w:p>
            <w:r>
              <w:rPr>
                <w:rFonts w:ascii="Cambria" w:hAnsi="Cambria"/>
                <w:color w:val="000000"/>
                <w:sz w:val="19"/>
              </w:rPr>
              <w:t>20-30%</w:t>
            </w:r>
          </w:p>
        </w:tc>
      </w:tr>
      <w:tr>
        <w:trPr>
          <w:cantSplit w:val="true"/>
        </w:trPr>
        <w:tc>
          <w:tcPr>
            <w:tcW w:type="dxa" w:w="5668"/>
            <w:tcMar>
              <w:top w:w="60" w:type="dxa"/>
              <w:bottom w:w="60" w:type="dxa"/>
              <w:start w:w="80" w:type="dxa"/>
              <w:end w:w="80" w:type="dxa"/>
            </w:tcMar>
          </w:tcPr>
          <w:p>
            <w:r>
              <w:rPr>
                <w:rFonts w:ascii="Cambria" w:hAnsi="Cambria"/>
                <w:b/>
                <w:color w:val="C00000"/>
                <w:sz w:val="19"/>
              </w:rPr>
              <w:t>MSI - High</w:t>
            </w:r>
          </w:p>
        </w:tc>
        <w:tc>
          <w:tcPr>
            <w:tcW w:type="dxa" w:w="4798"/>
            <w:tcMar>
              <w:top w:w="60" w:type="dxa"/>
              <w:bottom w:w="60" w:type="dxa"/>
              <w:start w:w="80" w:type="dxa"/>
              <w:end w:w="80" w:type="dxa"/>
            </w:tcMar>
          </w:tcPr>
          <w:p>
            <w:r>
              <w:rPr>
                <w:rFonts w:ascii="Cambria" w:hAnsi="Cambria"/>
                <w:color w:val="000000"/>
                <w:sz w:val="19"/>
              </w:rPr>
              <w:t>&gt;30%</w:t>
            </w:r>
          </w:p>
        </w:tc>
      </w:tr>
    </w:tbl>
    <w:p>
      <w:pPr>
        <w:spacing w:before="0" w:after="120" w:line="20" w:lineRule="exact"/>
      </w:pPr>
      <w:r>
        <w:rPr>
          <w:sz w:val="2"/>
        </w:rPr>
      </w:r>
    </w:p>
    <w:p>
      <w:pPr>
        <w:spacing w:before="0" w:after="282"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505"/>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61"/>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505"/>
            <w:tcMar>
              <w:top w:w="60" w:type="dxa"/>
              <w:bottom w:w="60" w:type="dxa"/>
              <w:start w:w="80" w:type="dxa"/>
              <w:end w:w="80" w:type="dxa"/>
            </w:tcMar>
          </w:tcPr>
          <w:p>
            <w:r>
              <w:rPr>
                <w:rFonts w:ascii="Cambria" w:hAnsi="Cambria"/>
                <w:color w:val="000000"/>
                <w:sz w:val="19"/>
              </w:rPr>
              <w:t>Tier IA</w:t>
            </w:r>
          </w:p>
        </w:tc>
        <w:tc>
          <w:tcPr>
            <w:tcW w:type="dxa" w:w="8961"/>
            <w:tcMar>
              <w:top w:w="60" w:type="dxa"/>
              <w:bottom w:w="60" w:type="dxa"/>
              <w:start w:w="80" w:type="dxa"/>
              <w:end w:w="80" w:type="dxa"/>
            </w:tcMar>
          </w:tcPr>
          <w:p>
            <w:r>
              <w:rPr>
                <w:rFonts w:ascii="Cambria" w:hAnsi="Cambria"/>
                <w:color w:val="000000"/>
                <w:sz w:val="19"/>
              </w:rPr>
              <w:t>Variants of Strong Clinical Significance: Biomarkers that predict response or resistance to US FDA-</w:t>
              <w:br/>
              <w:t>approved therapies for a specific type of tumor or have been included in professional guidelines as</w:t>
              <w:br/>
              <w:t>therapeutic, diagnostic, and/or prognostic biomarkers for specific types of tumors.</w:t>
            </w:r>
          </w:p>
        </w:tc>
      </w:tr>
      <w:tr>
        <w:trPr>
          <w:cantSplit w:val="true"/>
        </w:trPr>
        <w:tc>
          <w:tcPr>
            <w:tcW w:type="dxa" w:w="1505"/>
            <w:shd w:val="clear" w:color="auto" w:fill="f8fafc"/>
            <w:tcMar>
              <w:top w:w="60" w:type="dxa"/>
              <w:bottom w:w="60" w:type="dxa"/>
              <w:start w:w="80" w:type="dxa"/>
              <w:end w:w="80" w:type="dxa"/>
            </w:tcMar>
          </w:tcPr>
          <w:p>
            <w:r>
              <w:rPr>
                <w:rFonts w:ascii="Cambria" w:hAnsi="Cambria"/>
                <w:color w:val="000000"/>
                <w:sz w:val="19"/>
              </w:rPr>
              <w:t>Tier IB</w:t>
            </w:r>
          </w:p>
        </w:tc>
        <w:tc>
          <w:tcPr>
            <w:tcW w:type="dxa" w:w="8961"/>
            <w:shd w:val="clear" w:color="auto" w:fill="f8fafc"/>
            <w:tcMar>
              <w:top w:w="60" w:type="dxa"/>
              <w:bottom w:w="60" w:type="dxa"/>
              <w:start w:w="80" w:type="dxa"/>
              <w:end w:w="80" w:type="dxa"/>
            </w:tcMar>
          </w:tcPr>
          <w:p>
            <w:r>
              <w:rPr>
                <w:rFonts w:ascii="Cambria" w:hAnsi="Cambria"/>
                <w:color w:val="000000"/>
                <w:sz w:val="19"/>
              </w:rPr>
              <w:t>Variants of Strong Clinical Significance: Biomarkers that predict response or resistance to a therapy</w:t>
              <w:br/>
              <w:t>based on well-powered studies with consensus from experts in the field, or have diagnostic and/or</w:t>
            </w:r>
          </w:p>
        </w:tc>
      </w:tr>
    </w:tbl>
    <w:p>
      <w:pPr>
        <w:spacing w:before="0" w:after="120" w:line="20" w:lineRule="exact"/>
      </w:pPr>
      <w:r>
        <w:rPr>
          <w:sz w:val="2"/>
        </w:rPr>
      </w:r>
    </w:p>
    <w:p>
      <w:pPr>
        <w:spacing w:before="117" w:after="120"/>
        <w:jc w:val="center"/>
      </w:pPr>
      <w:r>
        <w:drawing>
          <wp:inline xmlns:a="http://schemas.openxmlformats.org/drawingml/2006/main" xmlns:pic="http://schemas.openxmlformats.org/drawingml/2006/picture">
            <wp:extent cx="1536700" cy="673100"/>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0" name="Picture 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1" name="Picture 2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4"/>
          <w:footerReference w:type="default" r:id="rId2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471"/>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4"/>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471"/>
            <w:tcMar>
              <w:top w:w="60" w:type="dxa"/>
              <w:bottom w:w="60" w:type="dxa"/>
              <w:start w:w="80" w:type="dxa"/>
              <w:end w:w="80" w:type="dxa"/>
            </w:tcMar>
          </w:tcPr>
          <w:p>
            <w:r>
              <w:rPr>
                <w:rFonts w:ascii="Cambria" w:hAnsi="Cambria"/>
                <w:color w:val="000000"/>
                <w:sz w:val="19"/>
              </w:rPr>
            </w:r>
          </w:p>
        </w:tc>
        <w:tc>
          <w:tcPr>
            <w:tcW w:type="dxa" w:w="8994"/>
            <w:tcMar>
              <w:top w:w="60" w:type="dxa"/>
              <w:bottom w:w="60" w:type="dxa"/>
              <w:start w:w="80" w:type="dxa"/>
              <w:end w:w="80" w:type="dxa"/>
            </w:tcMar>
          </w:tcPr>
          <w:p>
            <w:r>
              <w:rPr>
                <w:rFonts w:ascii="Cambria" w:hAnsi="Cambria"/>
                <w:color w:val="000000"/>
                <w:sz w:val="19"/>
              </w:rPr>
              <w:t>prognostic significance of certain diseases based on well-powered studies with expert consensus.</w:t>
            </w:r>
          </w:p>
        </w:tc>
      </w:tr>
      <w:tr>
        <w:trPr>
          <w:cantSplit w:val="true"/>
        </w:trPr>
        <w:tc>
          <w:tcPr>
            <w:tcW w:type="dxa" w:w="1471"/>
            <w:shd w:val="clear" w:color="auto" w:fill="f8fafc"/>
            <w:tcMar>
              <w:top w:w="60" w:type="dxa"/>
              <w:bottom w:w="60" w:type="dxa"/>
              <w:start w:w="80" w:type="dxa"/>
              <w:end w:w="80" w:type="dxa"/>
            </w:tcMar>
          </w:tcPr>
          <w:p>
            <w:r>
              <w:rPr>
                <w:rFonts w:ascii="Cambria" w:hAnsi="Cambria"/>
                <w:color w:val="000000"/>
                <w:sz w:val="19"/>
              </w:rPr>
              <w:t>Tier IIC</w:t>
            </w:r>
          </w:p>
        </w:tc>
        <w:tc>
          <w:tcPr>
            <w:tcW w:type="dxa" w:w="8994"/>
            <w:shd w:val="clear" w:color="auto" w:fill="f8fafc"/>
            <w:tcMar>
              <w:top w:w="60" w:type="dxa"/>
              <w:bottom w:w="60" w:type="dxa"/>
              <w:start w:w="80" w:type="dxa"/>
              <w:end w:w="80" w:type="dxa"/>
            </w:tcMar>
          </w:tcPr>
          <w:p>
            <w:r>
              <w:rPr>
                <w:rFonts w:ascii="Cambria" w:hAnsi="Cambria"/>
                <w:color w:val="000000"/>
                <w:sz w:val="19"/>
              </w:rPr>
              <w:t>Variants of Potential Clinical Significance: biomarkers that predict response or resistance to</w:t>
              <w:br/>
              <w:t>therapies approved by FDA or professional societies for a different tumor type (i.e., off-label use of a</w:t>
              <w:br/>
              <w:t>drug), serve as inclusion criteria for clinical trials, or have diagnostic and/or prognostic significance</w:t>
              <w:br/>
              <w:t>based on the results of multiple small studies.</w:t>
            </w:r>
          </w:p>
        </w:tc>
      </w:tr>
      <w:tr>
        <w:trPr>
          <w:cantSplit w:val="true"/>
        </w:trPr>
        <w:tc>
          <w:tcPr>
            <w:tcW w:type="dxa" w:w="1471"/>
            <w:tcMar>
              <w:top w:w="60" w:type="dxa"/>
              <w:bottom w:w="60" w:type="dxa"/>
              <w:start w:w="80" w:type="dxa"/>
              <w:end w:w="80" w:type="dxa"/>
            </w:tcMar>
          </w:tcPr>
          <w:p>
            <w:r>
              <w:rPr>
                <w:rFonts w:ascii="Cambria" w:hAnsi="Cambria"/>
                <w:color w:val="000000"/>
                <w:sz w:val="19"/>
              </w:rPr>
              <w:t>Tier IID</w:t>
            </w:r>
          </w:p>
        </w:tc>
        <w:tc>
          <w:tcPr>
            <w:tcW w:type="dxa" w:w="8994"/>
            <w:tcMar>
              <w:top w:w="60" w:type="dxa"/>
              <w:bottom w:w="60" w:type="dxa"/>
              <w:start w:w="80" w:type="dxa"/>
              <w:end w:w="80" w:type="dxa"/>
            </w:tcMar>
          </w:tcPr>
          <w:p>
            <w:r>
              <w:rPr>
                <w:rFonts w:ascii="Cambria" w:hAnsi="Cambria"/>
                <w:color w:val="000000"/>
                <w:sz w:val="19"/>
              </w:rPr>
              <w:t>Variants of Potential Clinical Significance: Biomarkers that show plausible therapeutic significance</w:t>
              <w:br/>
              <w:t>based on preclinical studies or may assist disease diagnosis and/or prognosis themselves or along</w:t>
              <w:br/>
              <w:t>with other biomarkers based on small studies or multiple case reports with no consensus.</w:t>
            </w:r>
          </w:p>
        </w:tc>
      </w:tr>
      <w:tr>
        <w:trPr>
          <w:cantSplit w:val="true"/>
        </w:trPr>
        <w:tc>
          <w:tcPr>
            <w:tcW w:type="dxa" w:w="1471"/>
            <w:shd w:val="clear" w:color="auto" w:fill="f8fafc"/>
            <w:tcMar>
              <w:top w:w="60" w:type="dxa"/>
              <w:bottom w:w="60" w:type="dxa"/>
              <w:start w:w="80" w:type="dxa"/>
              <w:end w:w="80" w:type="dxa"/>
            </w:tcMar>
          </w:tcPr>
          <w:p>
            <w:r>
              <w:rPr>
                <w:rFonts w:ascii="Cambria" w:hAnsi="Cambria"/>
                <w:color w:val="000000"/>
                <w:sz w:val="19"/>
              </w:rPr>
              <w:t>Tier III</w:t>
            </w:r>
          </w:p>
        </w:tc>
        <w:tc>
          <w:tcPr>
            <w:tcW w:type="dxa" w:w="8994"/>
            <w:shd w:val="clear" w:color="auto" w:fill="f8fafc"/>
            <w:tcMar>
              <w:top w:w="60" w:type="dxa"/>
              <w:bottom w:w="60" w:type="dxa"/>
              <w:start w:w="80" w:type="dxa"/>
              <w:end w:w="80" w:type="dxa"/>
            </w:tcMar>
          </w:tcPr>
          <w:p>
            <w:r>
              <w:rPr>
                <w:rFonts w:ascii="Cambria" w:hAnsi="Cambria"/>
                <w:color w:val="000000"/>
                <w:sz w:val="19"/>
              </w:rPr>
              <w:t>Variants of Unknown clinical significance (VUS): Not observed at a significant allele frequency in the</w:t>
              <w:br/>
              <w:t>general or specific subpopulation or pancancer or tumor specific variant databases. No convincing</w:t>
              <w:br/>
              <w:t>published evidence of cancer Association</w:t>
            </w:r>
          </w:p>
        </w:tc>
      </w:tr>
    </w:tbl>
    <w:p>
      <w:pPr>
        <w:spacing w:before="0" w:after="120" w:line="20" w:lineRule="exact"/>
      </w:pPr>
      <w:r>
        <w:rPr>
          <w:sz w:val="2"/>
        </w:rPr>
      </w:r>
    </w:p>
    <w:p>
      <w:pPr>
        <w:keepNext/>
        <w:spacing w:before="240" w:after="60"/>
        <w:jc w:val="left"/>
      </w:pPr>
      <w:r>
        <w:rPr>
          <w:rFonts w:ascii="Cambria" w:hAnsi="Cambria"/>
          <w:b/>
          <w:i w:val="0"/>
          <w:color w:val="008080"/>
          <w:sz w:val="22"/>
        </w:rPr>
        <w:t>References:</w:t>
      </w:r>
    </w:p>
    <w:p>
      <w:pPr>
        <w:spacing w:before="120" w:after="80" w:line="276" w:lineRule="auto"/>
        <w:jc w:val="left"/>
      </w:pPr>
      <w:r>
        <w:rPr>
          <w:rFonts w:ascii="Cambria" w:hAnsi="Cambria"/>
          <w:color w:val="000000"/>
          <w:sz w:val="20"/>
        </w:rPr>
        <w:t>1. O&amp;#x27;Leary et al. Reference sequence (RefSeq) database at NCBI: current status, taxonomic expansion, and functional annotation. Nucleic Acids Res. 2016 Jan 4;44(D1):D733-45. PMID: 26553804</w:t>
      </w:r>
    </w:p>
    <w:p>
      <w:pPr>
        <w:spacing w:before="115" w:after="80" w:line="276" w:lineRule="auto"/>
        <w:jc w:val="left"/>
      </w:pPr>
      <w:r>
        <w:rPr>
          <w:rFonts w:ascii="Cambria" w:hAnsi="Cambria"/>
          <w:color w:val="000000"/>
          <w:sz w:val="20"/>
        </w:rPr>
        <w:t>Nag et al. The MDM2-p53 pathway revisited. J Biomed Res. 2013 Jul;27(4):254-71. PMID: 23885265</w:t>
      </w:r>
    </w:p>
    <w:p>
      <w:pPr>
        <w:spacing w:before="115" w:after="80" w:line="276" w:lineRule="auto"/>
        <w:jc w:val="left"/>
      </w:pPr>
      <w:r>
        <w:rPr>
          <w:rFonts w:ascii="Cambria" w:hAnsi="Cambria"/>
          <w:color w:val="000000"/>
          <w:sz w:val="20"/>
        </w:rPr>
        <w:t>Muller et al. Mutant p53 in cancer: new functions and therapeutic opportunities. Cancer Cell. 2014 Mar 17;25(3):304-17.</w:t>
      </w:r>
    </w:p>
    <w:p>
      <w:pPr>
        <w:spacing w:before="0" w:after="80" w:line="276" w:lineRule="auto"/>
        <w:jc w:val="left"/>
      </w:pPr>
      <w:r>
        <w:rPr>
          <w:rFonts w:ascii="Cambria" w:hAnsi="Cambria"/>
          <w:color w:val="000000"/>
          <w:sz w:val="20"/>
        </w:rPr>
        <w:t>PMID: 24651012</w:t>
      </w:r>
    </w:p>
    <w:p>
      <w:pPr>
        <w:spacing w:before="115" w:after="80" w:line="276" w:lineRule="auto"/>
        <w:jc w:val="left"/>
      </w:pPr>
      <w:r>
        <w:rPr>
          <w:rFonts w:ascii="Cambria" w:hAnsi="Cambria"/>
          <w:color w:val="000000"/>
          <w:sz w:val="20"/>
        </w:rPr>
        <w:t>Olivier et al. TP53 mutations in human cancers: origins, consequences, and clinical use. Cold Spring Harb Perspect Biol. 2010</w:t>
      </w:r>
    </w:p>
    <w:p>
      <w:pPr>
        <w:spacing w:before="0" w:after="80" w:line="276" w:lineRule="auto"/>
        <w:jc w:val="left"/>
      </w:pPr>
      <w:r>
        <w:rPr>
          <w:rFonts w:ascii="Cambria" w:hAnsi="Cambria"/>
          <w:color w:val="000000"/>
          <w:sz w:val="20"/>
        </w:rPr>
        <w:t>Jan;2(1):a001008. PMID: 20182602</w:t>
      </w:r>
    </w:p>
    <w:p>
      <w:pPr>
        <w:spacing w:before="115" w:after="80" w:line="276" w:lineRule="auto"/>
        <w:jc w:val="left"/>
      </w:pPr>
      <w:r>
        <w:rPr>
          <w:rFonts w:ascii="Cambria" w:hAnsi="Cambria"/>
          <w:color w:val="000000"/>
          <w:sz w:val="20"/>
        </w:rPr>
        <w:t>Guha et al. Inherited TP53 Mutations and the Li-Fraumeni Syndrome. Cold Spring Harb Perspect Med. 2017 Apr 3;7(4). PMID:</w:t>
      </w:r>
    </w:p>
    <w:p>
      <w:pPr>
        <w:keepNext/>
        <w:spacing w:before="0" w:after="60"/>
        <w:jc w:val="left"/>
      </w:pPr>
      <w:r>
        <w:rPr>
          <w:rFonts w:ascii="Cambria" w:hAnsi="Cambria"/>
          <w:b/>
          <w:i w:val="0"/>
          <w:color w:val="008080"/>
          <w:sz w:val="22"/>
        </w:rPr>
        <w:t>28270529</w:t>
      </w:r>
    </w:p>
    <w:p>
      <w:pPr>
        <w:spacing w:before="115" w:after="80" w:line="276" w:lineRule="auto"/>
        <w:jc w:val="left"/>
      </w:pPr>
      <w:r>
        <w:rPr>
          <w:rFonts w:ascii="Cambria" w:hAnsi="Cambria"/>
          <w:color w:val="000000"/>
          <w:sz w:val="20"/>
        </w:rPr>
        <w:t>Cerami et al. The cBio cancer genomics portal: an open platform for exploring multidimensional cancer genomics data. Cancer</w:t>
      </w:r>
    </w:p>
    <w:p>
      <w:pPr>
        <w:spacing w:before="0" w:after="80" w:line="276" w:lineRule="auto"/>
        <w:jc w:val="left"/>
      </w:pPr>
      <w:r>
        <w:rPr>
          <w:rFonts w:ascii="Cambria" w:hAnsi="Cambria"/>
          <w:color w:val="000000"/>
          <w:sz w:val="20"/>
        </w:rPr>
        <w:t>Discov. 2012 May;2(5):401-4. PMID: 22588877</w:t>
      </w:r>
    </w:p>
    <w:p>
      <w:pPr>
        <w:spacing w:before="115" w:after="80" w:line="276" w:lineRule="auto"/>
        <w:jc w:val="left"/>
      </w:pPr>
      <w:r>
        <w:rPr>
          <w:rFonts w:ascii="Cambria" w:hAnsi="Cambria"/>
          <w:color w:val="000000"/>
          <w:sz w:val="20"/>
        </w:rPr>
        <w:t>Weinstein et al. The Cancer Genome Atlas Pan-Cancer analysis project. Nat. Genet. 2013 Oct;45(10):1113-20. PMID: 24071849</w:t>
      </w:r>
    </w:p>
    <w:p>
      <w:pPr>
        <w:spacing w:before="115" w:after="80" w:line="276" w:lineRule="auto"/>
        <w:jc w:val="left"/>
      </w:pPr>
      <w:r>
        <w:rPr>
          <w:rFonts w:ascii="Cambria" w:hAnsi="Cambria"/>
          <w:color w:val="000000"/>
          <w:sz w:val="20"/>
        </w:rPr>
        <w:t>Peter et al. Comprehensive genomic characterization of squamous cell lung cancers. Nature. 2012 Sep 27;489(7417):519-25.</w:t>
      </w:r>
    </w:p>
    <w:p>
      <w:pPr>
        <w:spacing w:before="0" w:after="80" w:line="276" w:lineRule="auto"/>
        <w:jc w:val="left"/>
      </w:pPr>
      <w:r>
        <w:rPr>
          <w:rFonts w:ascii="Cambria" w:hAnsi="Cambria"/>
          <w:color w:val="000000"/>
          <w:sz w:val="20"/>
        </w:rPr>
        <w:t>PMID: 22960745</w:t>
      </w:r>
    </w:p>
    <w:p>
      <w:pPr>
        <w:spacing w:before="115" w:after="80" w:line="276" w:lineRule="auto"/>
        <w:jc w:val="left"/>
      </w:pPr>
      <w:r>
        <w:rPr>
          <w:rFonts w:ascii="Cambria" w:hAnsi="Cambria"/>
          <w:color w:val="000000"/>
          <w:sz w:val="20"/>
        </w:rPr>
        <w:t>Cancer Genome Atlas Network. Comprehensive genomic characterization of head and neck squamous cell carcinomas. Nature.</w:t>
      </w:r>
    </w:p>
    <w:p>
      <w:pPr>
        <w:spacing w:before="0" w:after="80" w:line="276" w:lineRule="auto"/>
        <w:jc w:val="left"/>
      </w:pPr>
      <w:r>
        <w:rPr>
          <w:rFonts w:ascii="Cambria" w:hAnsi="Cambria"/>
          <w:color w:val="000000"/>
          <w:sz w:val="20"/>
        </w:rPr>
        <w:t>2015 Jan 29;517(7536):576-82. PMID: 25631445</w:t>
      </w:r>
    </w:p>
    <w:p>
      <w:pPr>
        <w:spacing w:before="115" w:after="80" w:line="276" w:lineRule="auto"/>
        <w:jc w:val="left"/>
      </w:pPr>
      <w:r>
        <w:rPr>
          <w:rFonts w:ascii="Cambria" w:hAnsi="Cambria"/>
          <w:color w:val="000000"/>
          <w:sz w:val="20"/>
        </w:rPr>
        <w:t>Campbell et al. Distinct patterns of somatic genome alterations in lung adenocarcinomas and squamous cell carcinomas. Nat.</w:t>
      </w:r>
    </w:p>
    <w:p>
      <w:pPr>
        <w:spacing w:before="0" w:after="80" w:line="276" w:lineRule="auto"/>
        <w:jc w:val="left"/>
      </w:pPr>
      <w:r>
        <w:rPr>
          <w:rFonts w:ascii="Cambria" w:hAnsi="Cambria"/>
          <w:color w:val="000000"/>
          <w:sz w:val="20"/>
        </w:rPr>
        <w:t>Genet. 2016 Jun;48(6):607-16. PMID: 27158780</w:t>
      </w:r>
    </w:p>
    <w:p>
      <w:pPr>
        <w:spacing w:before="360" w:after="120"/>
        <w:jc w:val="center"/>
      </w:pPr>
      <w:r>
        <w:drawing>
          <wp:inline xmlns:a="http://schemas.openxmlformats.org/drawingml/2006/main" xmlns:pic="http://schemas.openxmlformats.org/drawingml/2006/picture">
            <wp:extent cx="1536700" cy="673100"/>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6"/>
          <w:footerReference w:type="default" r:id="rId2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Cancer Genome Atlas Research Network. Integrated genomic characterization of oesophageal carcinoma. Nature. 2017 Jan</w:t>
      </w:r>
    </w:p>
    <w:p>
      <w:pPr>
        <w:spacing w:before="0" w:after="80" w:line="276" w:lineRule="auto"/>
        <w:jc w:val="left"/>
      </w:pPr>
      <w:r>
        <w:rPr>
          <w:rFonts w:ascii="Cambria" w:hAnsi="Cambria"/>
          <w:color w:val="000000"/>
          <w:sz w:val="20"/>
        </w:rPr>
        <w:t>12;541(7636):169-175. doi: 10.1038/nature20805. Epub 2017 Jan 4. PMID: 28052061</w:t>
      </w:r>
    </w:p>
    <w:p>
      <w:pPr>
        <w:spacing w:before="115" w:after="80" w:line="276" w:lineRule="auto"/>
        <w:jc w:val="left"/>
      </w:pPr>
      <w:r>
        <w:rPr>
          <w:rFonts w:ascii="Cambria" w:hAnsi="Cambria"/>
          <w:color w:val="000000"/>
          <w:sz w:val="20"/>
        </w:rPr>
        <w:t>Olivier et al. The IARC TP53 database: new online mutation analysis and recommendations to users. Hum. Mutat. 2002</w:t>
      </w:r>
    </w:p>
    <w:p>
      <w:pPr>
        <w:spacing w:before="0" w:after="80" w:line="276" w:lineRule="auto"/>
        <w:jc w:val="left"/>
      </w:pPr>
      <w:r>
        <w:rPr>
          <w:rFonts w:ascii="Cambria" w:hAnsi="Cambria"/>
          <w:color w:val="000000"/>
          <w:sz w:val="20"/>
        </w:rPr>
        <w:t>Jun;19(6):607-14. PMID: 12007217</w:t>
      </w:r>
    </w:p>
    <w:p>
      <w:pPr>
        <w:spacing w:before="115" w:after="80" w:line="276" w:lineRule="auto"/>
        <w:jc w:val="left"/>
      </w:pPr>
      <w:r>
        <w:rPr>
          <w:rFonts w:ascii="Cambria" w:hAnsi="Cambria"/>
          <w:color w:val="000000"/>
          <w:sz w:val="20"/>
        </w:rPr>
        <w:t>Rivlin et al. Mutations in the p53 Tumor Suppressor Gene: Important Milestones at the Various Steps of Tumorigenesis. Genes</w:t>
      </w:r>
    </w:p>
    <w:p>
      <w:pPr>
        <w:spacing w:before="0" w:after="80" w:line="276" w:lineRule="auto"/>
        <w:jc w:val="left"/>
      </w:pPr>
      <w:r>
        <w:rPr>
          <w:rFonts w:ascii="Cambria" w:hAnsi="Cambria"/>
          <w:color w:val="000000"/>
          <w:sz w:val="20"/>
        </w:rPr>
        <w:t>Cancer. 2011 Apr;2(4):466-74. PMID: 21779514</w:t>
      </w:r>
    </w:p>
    <w:p>
      <w:pPr>
        <w:spacing w:before="115" w:after="80" w:line="276" w:lineRule="auto"/>
        <w:jc w:val="left"/>
      </w:pPr>
      <w:r>
        <w:rPr>
          <w:rFonts w:ascii="Cambria" w:hAnsi="Cambria"/>
          <w:color w:val="000000"/>
          <w:sz w:val="20"/>
        </w:rPr>
        <w:t>Petitjean et al. TP53 mutations in human cancers: functional selection and impact on cancer prognosis and outcomes.</w:t>
      </w:r>
    </w:p>
    <w:p>
      <w:pPr>
        <w:spacing w:before="0" w:after="80" w:line="276" w:lineRule="auto"/>
        <w:jc w:val="left"/>
      </w:pPr>
      <w:r>
        <w:rPr>
          <w:rFonts w:ascii="Cambria" w:hAnsi="Cambria"/>
          <w:color w:val="000000"/>
          <w:sz w:val="20"/>
        </w:rPr>
        <w:t>Oncogene. 2007 Apr 2;26(15):2157-65. PMID: 17401424</w:t>
      </w:r>
    </w:p>
    <w:p>
      <w:pPr>
        <w:spacing w:before="115" w:after="80" w:line="276" w:lineRule="auto"/>
        <w:jc w:val="left"/>
      </w:pPr>
      <w:r>
        <w:rPr>
          <w:rFonts w:ascii="Cambria" w:hAnsi="Cambria"/>
          <w:color w:val="000000"/>
          <w:sz w:val="20"/>
        </w:rPr>
        <w:t>Soussi et al. Recommendations for analyzing and reporting TP53 gene variants in the high-throughput sequencing era. Hum.</w:t>
      </w:r>
    </w:p>
    <w:p>
      <w:pPr>
        <w:spacing w:before="0" w:after="80" w:line="276" w:lineRule="auto"/>
        <w:jc w:val="left"/>
      </w:pPr>
      <w:r>
        <w:rPr>
          <w:rFonts w:ascii="Cambria" w:hAnsi="Cambria"/>
          <w:color w:val="000000"/>
          <w:sz w:val="20"/>
        </w:rPr>
        <w:t>Mutat. 2014 Jun;35(6):766-78. PMID: 24729566</w:t>
      </w:r>
    </w:p>
    <w:p>
      <w:pPr>
        <w:spacing w:before="115" w:after="80" w:line="276" w:lineRule="auto"/>
        <w:jc w:val="left"/>
      </w:pPr>
      <w:r>
        <w:rPr>
          <w:rFonts w:ascii="Cambria" w:hAnsi="Cambria"/>
          <w:color w:val="000000"/>
          <w:sz w:val="20"/>
        </w:rPr>
        <w:t>https://www.globenewswire.com/news-release/2020/10/13/2107498/0/en/PMV-Pharma-Granted-FDA-Fast-Track-</w:t>
      </w:r>
    </w:p>
    <w:p>
      <w:pPr>
        <w:spacing w:before="0" w:after="80" w:line="276" w:lineRule="auto"/>
        <w:jc w:val="left"/>
      </w:pPr>
      <w:r>
        <w:rPr>
          <w:rFonts w:ascii="Cambria" w:hAnsi="Cambria"/>
          <w:color w:val="000000"/>
          <w:sz w:val="20"/>
        </w:rPr>
        <w:t>Designation-of-PC14586-for-the-Treatment-of-Advanced-Cancer-Patients-that-have-Tumors-with-a-p53-Y220C- Mutation.html</w:t>
      </w:r>
    </w:p>
    <w:p>
      <w:pPr>
        <w:spacing w:before="115" w:after="80" w:line="276" w:lineRule="auto"/>
        <w:jc w:val="left"/>
      </w:pPr>
      <w:r>
        <w:rPr>
          <w:rFonts w:ascii="Cambria" w:hAnsi="Cambria"/>
          <w:color w:val="000000"/>
          <w:sz w:val="20"/>
        </w:rPr>
        <w:t>https://ir.aprea.com//news-releases/news-release-details/aprea-therapeutics-receives-fda-fast-track-designation</w:t>
      </w:r>
    </w:p>
    <w:p>
      <w:pPr>
        <w:spacing w:before="115" w:after="80" w:line="276" w:lineRule="auto"/>
        <w:jc w:val="left"/>
      </w:pPr>
      <w:r>
        <w:rPr>
          <w:rFonts w:ascii="Cambria" w:hAnsi="Cambria"/>
          <w:color w:val="000000"/>
          <w:sz w:val="20"/>
        </w:rPr>
        <w:t>http://vp280.alertir.com/en/pressreleases/karolinska-development%27s-portfolio-company-aprea-therapeutics-receives-</w:t>
      </w:r>
    </w:p>
    <w:p>
      <w:pPr>
        <w:keepNext/>
        <w:spacing w:before="0" w:after="60"/>
        <w:jc w:val="left"/>
      </w:pPr>
      <w:r>
        <w:rPr>
          <w:rFonts w:ascii="Cambria" w:hAnsi="Cambria"/>
          <w:b/>
          <w:i w:val="0"/>
          <w:color w:val="008080"/>
          <w:sz w:val="22"/>
        </w:rPr>
        <w:t>fda-breakthrough-therapy-designation-1769167</w:t>
      </w:r>
    </w:p>
    <w:p>
      <w:pPr>
        <w:spacing w:before="115" w:after="80" w:line="276" w:lineRule="auto"/>
        <w:jc w:val="left"/>
      </w:pPr>
      <w:r>
        <w:rPr>
          <w:rFonts w:ascii="Cambria" w:hAnsi="Cambria"/>
          <w:color w:val="000000"/>
          <w:sz w:val="20"/>
        </w:rPr>
        <w:t>Parrales et al. Targeting Oncogenic Mutant p53 for Cancer Therapy. Front Oncol. 2015 Dec 21;5:288. doi: 10.3389/fonc.2015.00288. eCollection 2015. PMID: 26732534</w:t>
      </w:r>
    </w:p>
    <w:p>
      <w:pPr>
        <w:spacing w:before="115" w:after="80" w:line="276" w:lineRule="auto"/>
        <w:jc w:val="left"/>
      </w:pPr>
      <w:r>
        <w:rPr>
          <w:rFonts w:ascii="Cambria" w:hAnsi="Cambria"/>
          <w:color w:val="000000"/>
          <w:sz w:val="20"/>
        </w:rPr>
        <w:t>Zhao et al. Molecularly targeted therapies for p53-mutant cancers. Cell. Mol. Life Sci. 2017 Nov;74(22):4171-4187. PMID:</w:t>
      </w:r>
    </w:p>
    <w:p>
      <w:pPr>
        <w:keepNext/>
        <w:spacing w:before="0" w:after="60"/>
        <w:jc w:val="left"/>
      </w:pPr>
      <w:r>
        <w:rPr>
          <w:rFonts w:ascii="Cambria" w:hAnsi="Cambria"/>
          <w:b/>
          <w:i w:val="0"/>
          <w:color w:val="008080"/>
          <w:sz w:val="22"/>
        </w:rPr>
        <w:t>28643165</w:t>
      </w:r>
    </w:p>
    <w:p>
      <w:pPr>
        <w:spacing w:before="115" w:after="80" w:line="276" w:lineRule="auto"/>
        <w:jc w:val="left"/>
      </w:pPr>
      <w:r>
        <w:rPr>
          <w:rFonts w:ascii="Cambria" w:hAnsi="Cambria"/>
          <w:color w:val="000000"/>
          <w:sz w:val="20"/>
        </w:rPr>
        <w:t>Louis et al. The 2021 WHO Classification of Tumors of the Central Nervous System: a summary. Neuro Oncol. 2021 Aug</w:t>
      </w:r>
    </w:p>
    <w:p>
      <w:pPr>
        <w:spacing w:before="0" w:after="80" w:line="276" w:lineRule="auto"/>
        <w:jc w:val="left"/>
      </w:pPr>
      <w:r>
        <w:rPr>
          <w:rFonts w:ascii="Cambria" w:hAnsi="Cambria"/>
          <w:color w:val="000000"/>
          <w:sz w:val="20"/>
        </w:rPr>
        <w:t>2;23(8):1231-1251. PMID: 34185076</w:t>
      </w:r>
    </w:p>
    <w:p>
      <w:pPr>
        <w:keepNext/>
        <w:spacing w:before="115" w:after="60"/>
        <w:jc w:val="left"/>
      </w:pPr>
      <w:r>
        <w:rPr>
          <w:rFonts w:ascii="Cambria" w:hAnsi="Cambria"/>
          <w:b/>
          <w:i w:val="0"/>
          <w:color w:val="008080"/>
          <w:sz w:val="22"/>
        </w:rPr>
        <w:t>NCCN Guidelines&amp;amp;reg; - NCCN-Acute Myeloid Leukemia [Version 2.2025]</w:t>
      </w:r>
    </w:p>
    <w:p>
      <w:pPr>
        <w:spacing w:before="115" w:after="80" w:line="276" w:lineRule="auto"/>
        <w:jc w:val="left"/>
      </w:pPr>
      <w:r>
        <w:rPr>
          <w:rFonts w:ascii="Cambria" w:hAnsi="Cambria"/>
          <w:color w:val="000000"/>
          <w:sz w:val="20"/>
        </w:rPr>
        <w:t>Döhner et al. Diagnosis and management of AML in adults: 2022 recommendations from an international expert panel on</w:t>
      </w:r>
    </w:p>
    <w:p>
      <w:pPr>
        <w:spacing w:before="0" w:after="80" w:line="276" w:lineRule="auto"/>
        <w:jc w:val="left"/>
      </w:pPr>
      <w:r>
        <w:rPr>
          <w:rFonts w:ascii="Cambria" w:hAnsi="Cambria"/>
          <w:color w:val="000000"/>
          <w:sz w:val="20"/>
        </w:rPr>
        <w:t>behalf of the ELN. Blood. 2022 Sep 22;140(12):1345-1377. PMID: 35797463</w:t>
      </w:r>
    </w:p>
    <w:p>
      <w:pPr>
        <w:keepNext/>
        <w:spacing w:before="115" w:after="60"/>
        <w:jc w:val="left"/>
      </w:pPr>
      <w:r>
        <w:rPr>
          <w:rFonts w:ascii="Cambria" w:hAnsi="Cambria"/>
          <w:b/>
          <w:i w:val="0"/>
          <w:color w:val="008080"/>
          <w:sz w:val="22"/>
        </w:rPr>
        <w:t>NCCN Guidelines&amp;amp;reg; - NCCN-Myelodysplastic Syndromes [Version 2.2025]</w:t>
      </w:r>
    </w:p>
    <w:p>
      <w:pPr>
        <w:keepNext/>
        <w:spacing w:before="115" w:after="60"/>
        <w:jc w:val="left"/>
      </w:pPr>
      <w:r>
        <w:rPr>
          <w:rFonts w:ascii="Cambria" w:hAnsi="Cambria"/>
          <w:b/>
          <w:i w:val="0"/>
          <w:color w:val="008080"/>
          <w:sz w:val="22"/>
        </w:rPr>
        <w:t>NCCN Guidelines&amp;amp;reg; - NCCN-Myeloproliferative Neoplasms [Version 1.2025]</w:t>
      </w:r>
    </w:p>
    <w:p>
      <w:pPr>
        <w:spacing w:before="115" w:after="80" w:line="276" w:lineRule="auto"/>
        <w:jc w:val="left"/>
      </w:pPr>
      <w:r>
        <w:rPr>
          <w:rFonts w:ascii="Cambria" w:hAnsi="Cambria"/>
          <w:color w:val="000000"/>
          <w:sz w:val="20"/>
        </w:rPr>
        <w:t>NCCN Guidelines&amp;amp;reg; - NCCN-Chronic Lymphocytic Leukemia/Small Lymphocytic Lymphoma [Version 3.2025]</w:t>
      </w:r>
    </w:p>
    <w:p>
      <w:pPr>
        <w:keepNext/>
        <w:spacing w:before="115" w:after="60"/>
        <w:jc w:val="left"/>
      </w:pPr>
      <w:r>
        <w:rPr>
          <w:rFonts w:ascii="Cambria" w:hAnsi="Cambria"/>
          <w:b/>
          <w:i w:val="0"/>
          <w:color w:val="008080"/>
          <w:sz w:val="22"/>
        </w:rPr>
        <w:t>NCCN Guidelines&amp;amp;reg; - NCCN-Acute Lymphoblastic Leukemia [Version 3.2024]</w:t>
      </w:r>
    </w:p>
    <w:p>
      <w:pPr>
        <w:keepNext/>
        <w:spacing w:before="115" w:after="60"/>
        <w:jc w:val="left"/>
      </w:pPr>
      <w:r>
        <w:rPr>
          <w:rFonts w:ascii="Cambria" w:hAnsi="Cambria"/>
          <w:b/>
          <w:i w:val="0"/>
          <w:color w:val="008080"/>
          <w:sz w:val="22"/>
        </w:rPr>
        <w:t>NCCN Guidelines&amp;amp;reg; - NCCN-B-Cell Lymphomas [Version 2.2025]</w:t>
      </w:r>
    </w:p>
    <w:p>
      <w:pPr>
        <w:spacing w:before="36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28"/>
          <w:footerReference w:type="default" r:id="rId2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Bernard et al. Implications of TP53 allelic state for genome stability, clinical presentation and outcomes in myelodysplastic</w:t>
      </w:r>
    </w:p>
    <w:p>
      <w:pPr>
        <w:spacing w:before="0" w:after="80" w:line="276" w:lineRule="auto"/>
        <w:jc w:val="left"/>
      </w:pPr>
      <w:r>
        <w:rPr>
          <w:rFonts w:ascii="Cambria" w:hAnsi="Cambria"/>
          <w:color w:val="000000"/>
          <w:sz w:val="20"/>
        </w:rPr>
        <w:t>syndromes. Nat. Med. 2020 Aug 3. PMID: 32747829</w:t>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8" name="Picture 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9" name="Picture 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0" name="Picture 3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30"/>
      <w:footerReference w:type="default" r:id="rId3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footer" Target="footer1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