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ACC3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Impact of Gamification on Investor Behaviour in Trading Apps</w:t>
      </w:r>
    </w:p>
    <w:p w14:paraId="7C2773F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center"/>
        <w:textAlignment w:val="auto"/>
        <w:rPr>
          <w:rFonts w:hint="default" w:ascii="Times New Roman" w:hAnsi="Times New Roman" w:cs="Times New Roman"/>
          <w:b w:val="0"/>
          <w:bCs w:val="0"/>
        </w:rPr>
      </w:pPr>
      <w:r>
        <w:rPr>
          <w:rStyle w:val="10"/>
          <w:rFonts w:hint="default" w:ascii="Times New Roman" w:hAnsi="Times New Roman" w:cs="Times New Roman"/>
          <w:b w:val="0"/>
          <w:bCs w:val="0"/>
        </w:rPr>
        <w:t>Aishwarya Sachin Darekar</w:t>
      </w:r>
      <w:r>
        <w:rPr>
          <w:rFonts w:hint="default" w:ascii="Times New Roman" w:hAnsi="Times New Roman" w:cs="Times New Roman"/>
          <w:b w:val="0"/>
          <w:bCs w:val="0"/>
        </w:rPr>
        <w:t>*</w:t>
      </w:r>
      <w:r>
        <w:rPr>
          <w:rFonts w:hint="default" w:ascii="Times New Roman" w:hAnsi="Times New Roman" w:cs="Times New Roman"/>
          <w:b w:val="0"/>
          <w:bCs w:val="0"/>
        </w:rPr>
        <w:br w:type="textWrapping"/>
      </w:r>
      <w:r>
        <w:rPr>
          <w:rStyle w:val="10"/>
          <w:rFonts w:hint="default" w:ascii="Times New Roman" w:hAnsi="Times New Roman" w:cs="Times New Roman"/>
          <w:b w:val="0"/>
          <w:bCs w:val="0"/>
        </w:rPr>
        <w:t>Vaishnavi Gharat</w:t>
      </w:r>
    </w:p>
    <w:p w14:paraId="7A39030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center"/>
        <w:textAlignment w:val="auto"/>
        <w:rPr>
          <w:rFonts w:hint="default" w:ascii="Times New Roman" w:hAnsi="Times New Roman" w:cs="Times New Roman"/>
        </w:rPr>
      </w:pPr>
      <w:r>
        <w:rPr>
          <w:rStyle w:val="7"/>
          <w:rFonts w:hint="default" w:ascii="Times New Roman" w:hAnsi="Times New Roman" w:cs="Times New Roman"/>
        </w:rPr>
        <w:t>Department of Computer Science, CKT ACS College, New Panvel (Autonomous), Mumbai University</w:t>
      </w:r>
      <w:r>
        <w:rPr>
          <w:rFonts w:hint="default" w:ascii="Times New Roman" w:hAnsi="Times New Roman" w:cs="Times New Roman"/>
        </w:rPr>
        <w:br w:type="textWrapping"/>
      </w:r>
      <w:r>
        <w:rPr>
          <w:rFonts w:hint="default" w:ascii="Times New Roman" w:hAnsi="Times New Roman" w:cs="Times New Roman"/>
          <w:b/>
          <w:bCs/>
        </w:rPr>
        <w:t>Email:</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"mailto:aishwaryadarekar35@gmail.com" </w:instrText>
      </w:r>
      <w:r>
        <w:rPr>
          <w:rFonts w:hint="default" w:ascii="Times New Roman" w:hAnsi="Times New Roman" w:cs="Times New Roman"/>
        </w:rPr>
        <w:fldChar w:fldCharType="separate"/>
      </w:r>
      <w:r>
        <w:rPr>
          <w:rStyle w:val="8"/>
          <w:rFonts w:hint="default" w:ascii="Times New Roman" w:hAnsi="Times New Roman" w:cs="Times New Roman"/>
        </w:rPr>
        <w:t>aishwaryadarekar35@gmail.com</w:t>
      </w:r>
      <w:r>
        <w:rPr>
          <w:rFonts w:hint="default" w:ascii="Times New Roman" w:hAnsi="Times New Roman" w:cs="Times New Roman"/>
        </w:rPr>
        <w:fldChar w:fldCharType="end"/>
      </w:r>
    </w:p>
    <w:p w14:paraId="19929F81">
      <w:pPr>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rPr>
      </w:pPr>
    </w:p>
    <w:p w14:paraId="4B2F0FE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Abstract</w:t>
      </w:r>
    </w:p>
    <w:p w14:paraId="4A9784F8">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Fintech companies are increasingly integrating gamification features—such as rewards, visual cues, and real-time notifications—into trading applications to enhance user engagement. This study examines the impact of these gamification elements on investor decision-making speed, trading frequency, and risk-related behavior. A quantitative research approach was adopted using a </w:t>
      </w:r>
      <w:r>
        <w:rPr>
          <w:rStyle w:val="10"/>
          <w:rFonts w:hint="default" w:ascii="Times New Roman" w:hAnsi="Times New Roman" w:cs="Times New Roman"/>
        </w:rPr>
        <w:t>consolidated dataset of 500 trading records</w:t>
      </w:r>
      <w:r>
        <w:rPr>
          <w:rFonts w:hint="default" w:ascii="Times New Roman" w:hAnsi="Times New Roman" w:cs="Times New Roman"/>
        </w:rPr>
        <w:t xml:space="preserve">, capturing user activity across </w:t>
      </w:r>
      <w:r>
        <w:rPr>
          <w:rStyle w:val="10"/>
          <w:rFonts w:hint="default" w:ascii="Times New Roman" w:hAnsi="Times New Roman" w:cs="Times New Roman"/>
        </w:rPr>
        <w:t>gamified and non-gamified trading interfaces</w:t>
      </w:r>
      <w:r>
        <w:rPr>
          <w:rFonts w:hint="default" w:ascii="Times New Roman" w:hAnsi="Times New Roman" w:cs="Times New Roman"/>
        </w:rPr>
        <w:t>. Data preprocessing and storage were carried out using SQL and Power Query, while behavioral analysis and visualization were performed using Power BI. The findings indicate that gamification significantly increases trading frequency and reduces decision latency, suggesting faster but potentially more impulsive trading behavior. The study concludes that although gamification improves short-term engagement, ethical interface design and regulatory oversight are essential to protect long-term investor discipline and financial well-being.</w:t>
      </w:r>
    </w:p>
    <w:p w14:paraId="3878BDBB">
      <w:pPr>
        <w:pStyle w:val="9"/>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Keywords:</w:t>
      </w:r>
      <w:r>
        <w:rPr>
          <w:rFonts w:hint="default" w:ascii="Times New Roman" w:hAnsi="Times New Roman" w:cs="Times New Roman"/>
        </w:rPr>
        <w:t xml:space="preserve"> Fintech, Behavioural Finance, Gamification, Trading Applications, Investor Behaviour, Decision-Making</w:t>
      </w:r>
    </w:p>
    <w:p w14:paraId="6C8C2440">
      <w:pPr>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w:t>
      </w:r>
    </w:p>
    <w:p w14:paraId="6E49311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8"/>
          <w:szCs w:val="28"/>
        </w:rPr>
        <w:sectPr>
          <w:pgSz w:w="11906" w:h="16838"/>
          <w:pgMar w:top="1440" w:right="1800" w:bottom="1440" w:left="1800" w:header="720" w:footer="720" w:gutter="0"/>
          <w:cols w:space="720" w:num="1"/>
          <w:docGrid w:linePitch="360" w:charSpace="0"/>
        </w:sectPr>
      </w:pPr>
    </w:p>
    <w:p w14:paraId="4F84DB8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I. Introduction</w:t>
      </w:r>
    </w:p>
    <w:p w14:paraId="374F802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ind w:firstLine="720" w:firstLineChars="0"/>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emergence of mobile-based trading applications has revolutionized the financial services landscape, granting retail investors unprecedented access to stock markets with reduced dependency on traditional brokerage syst</w:t>
      </w:r>
      <w:bookmarkStart w:id="0" w:name="_GoBack"/>
      <w:bookmarkEnd w:id="0"/>
      <w:r>
        <w:rPr>
          <w:rFonts w:hint="default" w:ascii="Times New Roman" w:hAnsi="Times New Roman" w:cs="Times New Roman"/>
          <w:sz w:val="22"/>
          <w:szCs w:val="22"/>
        </w:rPr>
        <w:t>ems. To maintain a competitive advantage in this saturated digital environment, developers increasingly implement gamification techniques—the integration of game-inspired features such as points, achievements, rankings, and awards into non-gaming contexts.</w:t>
      </w:r>
    </w:p>
    <w:p w14:paraId="02ED17D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While these components are designed to enhance user experience and stimulate frequent participation, they raise significant concerns regarding investment discipline and logical decision-making. Research suggests that an excessive reliance on gamified feedback mechanisms may distort an investor’s perception of risk and reward, potentially leading to impulsive or emotionally driven trading decisions. Understanding these behavioral implications is critical for regulators, platform designers, and financial institutions. This study utilizes a quantitative research strategy, leveraging SQL databases for storage and Power BI for trend visualization, to analyze the impact of gamification on investor behavior. By testing specific hypotheses regarding trading frequency and impulsivity, this research aims to provide data-driven insights into how gamification alters the operational framework of retail investing.</w:t>
      </w:r>
    </w:p>
    <w:p w14:paraId="60D00BA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In this section, we evaluate the proposed research hypotheses using statistical techniques to determine the impact of gamification on participant behavior. The testing was conducted at a </w:t>
      </w:r>
      <w:r>
        <w:rPr>
          <w:rFonts w:hint="default" w:ascii="Times New Roman" w:hAnsi="Times New Roman" w:cs="Times New Roman"/>
          <w:b/>
          <w:bCs/>
          <w:sz w:val="22"/>
          <w:szCs w:val="22"/>
        </w:rPr>
        <w:t>95% confidence level</w:t>
      </w:r>
      <w:r>
        <w:rPr>
          <w:rFonts w:hint="default" w:ascii="Times New Roman" w:hAnsi="Times New Roman" w:cs="Times New Roman"/>
          <w:sz w:val="22"/>
          <w:szCs w:val="22"/>
        </w:rPr>
        <w:t xml:space="preserve"> to ensure statistical validity.</w:t>
      </w:r>
    </w:p>
    <w:p w14:paraId="71DF707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significance of this study is underscored by the current regulatory vacuum regarding Digital Engagement Practices (DEPs). As financial regulators globally—and specifically bodies like SEBI—express growing concern over the 'gamification' of high-risk trading, there is a lack of empirical data to support new policy frameworks. This research provides a quantitative foundation to help transition from speculative concerns to evidence-based regulation."</w:t>
      </w:r>
    </w:p>
    <w:p w14:paraId="164E9AA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p>
    <w:p w14:paraId="3905120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II. Materials and Methods</w:t>
      </w:r>
    </w:p>
    <w:p w14:paraId="2B8CADD6">
      <w:pPr>
        <w:jc w:val="both"/>
        <w:rPr>
          <w:rFonts w:hint="default" w:ascii="Times New Roman" w:hAnsi="Times New Roman" w:cs="Times New Roman"/>
        </w:rPr>
      </w:pPr>
    </w:p>
    <w:p w14:paraId="1921D88A">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Research Design</w:t>
      </w:r>
    </w:p>
    <w:p w14:paraId="17E530CA">
      <w:pPr>
        <w:numPr>
          <w:ilvl w:val="0"/>
          <w:numId w:val="0"/>
        </w:numPr>
        <w:rPr>
          <w:rFonts w:hint="default" w:ascii="Times New Roman" w:hAnsi="Times New Roman" w:cs="Times New Roman"/>
        </w:rPr>
      </w:pPr>
    </w:p>
    <w:p w14:paraId="16B2E2B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This study employs a quantitative, comparative research design to analyze the behavioral differences between a control group and a gamified group. The analysis focuses on measuring specific performance metrics, including trading frequency, execution velocity, and volume consistency.</w:t>
      </w:r>
    </w:p>
    <w:p w14:paraId="0AAC53F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p>
    <w:p w14:paraId="581807AD">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0" w:leftChars="0" w:firstLine="0" w:firstLineChars="0"/>
        <w:jc w:val="both"/>
        <w:textAlignment w:val="auto"/>
        <w:rPr>
          <w:rFonts w:hint="default" w:ascii="Times New Roman" w:hAnsi="Times New Roman" w:cs="Times New Roman"/>
        </w:rPr>
      </w:pPr>
      <w:r>
        <w:rPr>
          <w:rFonts w:hint="default" w:ascii="Times New Roman" w:hAnsi="Times New Roman" w:cs="Times New Roman"/>
          <w:b/>
          <w:bCs/>
          <w:sz w:val="22"/>
          <w:szCs w:val="22"/>
        </w:rPr>
        <w:t>Data Sources and Sampling</w:t>
      </w:r>
    </w:p>
    <w:p w14:paraId="3416BE76">
      <w:pPr>
        <w:pStyle w:val="9"/>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study is based on a </w:t>
      </w:r>
      <w:r>
        <w:rPr>
          <w:rStyle w:val="10"/>
          <w:rFonts w:hint="default" w:ascii="Times New Roman" w:hAnsi="Times New Roman" w:cs="Times New Roman"/>
          <w:sz w:val="22"/>
          <w:szCs w:val="22"/>
        </w:rPr>
        <w:t>single consolidated dataset comprising 500 trading records</w:t>
      </w:r>
      <w:r>
        <w:rPr>
          <w:rFonts w:hint="default" w:ascii="Times New Roman" w:hAnsi="Times New Roman" w:cs="Times New Roman"/>
          <w:sz w:val="22"/>
          <w:szCs w:val="22"/>
        </w:rPr>
        <w:t>, preprocessed and cleaned for analysis. The dataset includes records from users exposed to:</w:t>
      </w:r>
    </w:p>
    <w:p w14:paraId="4E23CD35">
      <w:pPr>
        <w:pStyle w:val="9"/>
        <w:keepNext w:val="0"/>
        <w:keepLines w:val="0"/>
        <w:widowControl/>
        <w:suppressLineNumbers w:val="0"/>
        <w:ind w:left="720"/>
        <w:jc w:val="both"/>
        <w:rPr>
          <w:rFonts w:hint="default" w:ascii="Times New Roman" w:hAnsi="Times New Roman" w:cs="Times New Roman"/>
          <w:sz w:val="22"/>
          <w:szCs w:val="22"/>
        </w:rPr>
      </w:pPr>
      <w:r>
        <w:rPr>
          <w:rStyle w:val="10"/>
          <w:rFonts w:hint="default" w:ascii="Times New Roman" w:hAnsi="Times New Roman" w:cs="Times New Roman"/>
          <w:sz w:val="22"/>
          <w:szCs w:val="22"/>
        </w:rPr>
        <w:t>Gamified Interfaces:</w:t>
      </w:r>
      <w:r>
        <w:rPr>
          <w:rFonts w:hint="default" w:ascii="Times New Roman" w:hAnsi="Times New Roman" w:cs="Times New Roman"/>
          <w:sz w:val="22"/>
          <w:szCs w:val="22"/>
        </w:rPr>
        <w:t xml:space="preserve"> Trading environments incorporating visual rewards, feedback animations, and notifications</w:t>
      </w:r>
    </w:p>
    <w:p w14:paraId="06D9D746">
      <w:pPr>
        <w:pStyle w:val="9"/>
        <w:keepNext w:val="0"/>
        <w:keepLines w:val="0"/>
        <w:widowControl/>
        <w:suppressLineNumbers w:val="0"/>
        <w:ind w:left="720"/>
        <w:jc w:val="both"/>
        <w:rPr>
          <w:rFonts w:hint="default" w:ascii="Times New Roman" w:hAnsi="Times New Roman" w:cs="Times New Roman"/>
          <w:sz w:val="22"/>
          <w:szCs w:val="22"/>
        </w:rPr>
      </w:pPr>
      <w:r>
        <w:rPr>
          <w:rStyle w:val="10"/>
          <w:rFonts w:hint="default" w:ascii="Times New Roman" w:hAnsi="Times New Roman" w:cs="Times New Roman"/>
          <w:sz w:val="22"/>
          <w:szCs w:val="22"/>
        </w:rPr>
        <w:t>Non-Gamified Interfaces:</w:t>
      </w:r>
      <w:r>
        <w:rPr>
          <w:rFonts w:hint="default" w:ascii="Times New Roman" w:hAnsi="Times New Roman" w:cs="Times New Roman"/>
          <w:sz w:val="22"/>
          <w:szCs w:val="22"/>
        </w:rPr>
        <w:t xml:space="preserve"> Standard trading layouts without game-based elements</w:t>
      </w:r>
    </w:p>
    <w:p w14:paraId="036EE2AE">
      <w:pPr>
        <w:pStyle w:val="9"/>
        <w:keepNext w:val="0"/>
        <w:keepLines w:val="0"/>
        <w:widowControl/>
        <w:suppressLineNumbers w:val="0"/>
        <w:jc w:val="both"/>
        <w:rPr>
          <w:rFonts w:hint="default" w:ascii="Times New Roman" w:hAnsi="Times New Roman" w:cs="Times New Roman"/>
          <w:b/>
          <w:bCs/>
          <w:sz w:val="22"/>
          <w:szCs w:val="22"/>
        </w:rPr>
      </w:pPr>
      <w:r>
        <w:rPr>
          <w:rFonts w:hint="default" w:ascii="Times New Roman" w:hAnsi="Times New Roman" w:cs="Times New Roman"/>
          <w:sz w:val="22"/>
          <w:szCs w:val="22"/>
        </w:rPr>
        <w:t>A stratified sampling approach was applied during preprocessing to ensure balanced representation across different trading behaviors and decision-time ranges.</w:t>
      </w:r>
    </w:p>
    <w:p w14:paraId="6994410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 Data Collection and Analytical Workflow</w:t>
      </w:r>
    </w:p>
    <w:p w14:paraId="007E6AF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p>
    <w:p w14:paraId="6D6DEAC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research utilized a multi-stage technical workflow for data management and analysis:</w:t>
      </w:r>
    </w:p>
    <w:p w14:paraId="12787CA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p>
    <w:p w14:paraId="030232BA">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SQL Database:</w:t>
      </w:r>
      <w:r>
        <w:rPr>
          <w:rFonts w:hint="default" w:ascii="Times New Roman" w:hAnsi="Times New Roman" w:cs="Times New Roman"/>
          <w:sz w:val="22"/>
          <w:szCs w:val="22"/>
        </w:rPr>
        <w:t xml:space="preserve"> Used for the organized storage and secure retrieval of the 500 trade records.</w:t>
      </w:r>
    </w:p>
    <w:p w14:paraId="0AF506D6">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76" w:lineRule="auto"/>
        <w:ind w:leftChars="0" w:right="0" w:rightChars="0"/>
        <w:jc w:val="both"/>
        <w:textAlignment w:val="auto"/>
        <w:rPr>
          <w:rFonts w:hint="default" w:ascii="Times New Roman" w:hAnsi="Times New Roman" w:cs="Times New Roman"/>
          <w:sz w:val="22"/>
          <w:szCs w:val="22"/>
        </w:rPr>
      </w:pPr>
    </w:p>
    <w:p w14:paraId="261DD303">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Power Query Editor:</w:t>
      </w:r>
      <w:r>
        <w:rPr>
          <w:rFonts w:hint="default" w:ascii="Times New Roman" w:hAnsi="Times New Roman" w:cs="Times New Roman"/>
          <w:sz w:val="22"/>
          <w:szCs w:val="22"/>
        </w:rPr>
        <w:t xml:space="preserve"> Applied for data preprocessing, including cleaning, removing outliers, and computing derived behavioral measures such as engagement indices.</w:t>
      </w:r>
    </w:p>
    <w:p w14:paraId="129778A2">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76" w:lineRule="auto"/>
        <w:ind w:leftChars="0" w:right="0" w:rightChars="0"/>
        <w:jc w:val="both"/>
        <w:textAlignment w:val="auto"/>
        <w:rPr>
          <w:rFonts w:hint="default" w:ascii="Times New Roman" w:hAnsi="Times New Roman" w:cs="Times New Roman"/>
          <w:sz w:val="22"/>
          <w:szCs w:val="22"/>
        </w:rPr>
      </w:pPr>
    </w:p>
    <w:p w14:paraId="1221C1DC">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Power BI:</w:t>
      </w:r>
      <w:r>
        <w:rPr>
          <w:rFonts w:hint="default" w:ascii="Times New Roman" w:hAnsi="Times New Roman" w:cs="Times New Roman"/>
          <w:sz w:val="22"/>
          <w:szCs w:val="22"/>
        </w:rPr>
        <w:t xml:space="preserve"> Utilized as the primary tool for trend analysis, interactive dashboarding, and the generation of graphical depictions of investor behavior patterns.</w:t>
      </w:r>
    </w:p>
    <w:p w14:paraId="7078D65F">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76" w:lineRule="auto"/>
        <w:ind w:leftChars="0" w:right="0" w:rightChars="0"/>
        <w:jc w:val="both"/>
        <w:textAlignment w:val="auto"/>
        <w:rPr>
          <w:rFonts w:hint="default" w:ascii="Times New Roman" w:hAnsi="Times New Roman" w:cs="Times New Roman"/>
          <w:sz w:val="22"/>
          <w:szCs w:val="22"/>
        </w:rPr>
      </w:pPr>
    </w:p>
    <w:p w14:paraId="7A737872">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0" w:leftChars="0" w:firstLine="0" w:firstLineChars="0"/>
        <w:jc w:val="both"/>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Data Analysis Techniques</w:t>
      </w:r>
    </w:p>
    <w:p w14:paraId="2BEC9762">
      <w:pPr>
        <w:numPr>
          <w:ilvl w:val="0"/>
          <w:numId w:val="0"/>
        </w:numPr>
        <w:ind w:leftChars="0"/>
        <w:jc w:val="both"/>
        <w:rPr>
          <w:rFonts w:hint="default" w:ascii="Times New Roman" w:hAnsi="Times New Roman" w:cs="Times New Roman"/>
          <w:sz w:val="22"/>
          <w:szCs w:val="22"/>
        </w:rPr>
      </w:pPr>
    </w:p>
    <w:p w14:paraId="19310F9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To evaluate the impact of gamification, the following analytical techniques were applied:</w:t>
      </w:r>
    </w:p>
    <w:p w14:paraId="7CFC08D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p>
    <w:p w14:paraId="43C37B5F">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Descriptive Statistics:</w:t>
      </w:r>
      <w:r>
        <w:rPr>
          <w:rFonts w:hint="default" w:ascii="Times New Roman" w:hAnsi="Times New Roman" w:cs="Times New Roman"/>
          <w:sz w:val="22"/>
          <w:szCs w:val="22"/>
        </w:rPr>
        <w:t xml:space="preserve"> Summarized the mean and standard deviation for trade quantity and decision latency.</w:t>
      </w:r>
    </w:p>
    <w:p w14:paraId="3FE7A388">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76" w:lineRule="auto"/>
        <w:ind w:leftChars="0" w:right="0" w:rightChars="0"/>
        <w:jc w:val="both"/>
        <w:textAlignment w:val="auto"/>
        <w:rPr>
          <w:rFonts w:hint="default" w:ascii="Times New Roman" w:hAnsi="Times New Roman" w:cs="Times New Roman"/>
          <w:sz w:val="22"/>
          <w:szCs w:val="22"/>
        </w:rPr>
      </w:pPr>
    </w:p>
    <w:p w14:paraId="77618B79">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Comparative Analysis:</w:t>
      </w:r>
      <w:r>
        <w:rPr>
          <w:rFonts w:hint="default" w:ascii="Times New Roman" w:hAnsi="Times New Roman" w:cs="Times New Roman"/>
          <w:sz w:val="22"/>
          <w:szCs w:val="22"/>
        </w:rPr>
        <w:t xml:space="preserve"> Leveraged </w:t>
      </w:r>
      <w:r>
        <w:rPr>
          <w:rFonts w:hint="default" w:ascii="Times New Roman" w:hAnsi="Times New Roman" w:cs="Times New Roman"/>
          <w:b/>
          <w:bCs/>
          <w:sz w:val="22"/>
          <w:szCs w:val="22"/>
        </w:rPr>
        <w:t>DAX (Data Analysis Expressions)</w:t>
      </w:r>
      <w:r>
        <w:rPr>
          <w:rFonts w:hint="default" w:ascii="Times New Roman" w:hAnsi="Times New Roman" w:cs="Times New Roman"/>
          <w:sz w:val="22"/>
          <w:szCs w:val="22"/>
        </w:rPr>
        <w:t xml:space="preserve"> in Power BI to calculate cumulative trading volume and 20-period moving averages for trading speed.</w:t>
      </w:r>
    </w:p>
    <w:p w14:paraId="78D351A5">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76" w:lineRule="auto"/>
        <w:ind w:leftChars="0" w:right="0" w:rightChars="0"/>
        <w:jc w:val="both"/>
        <w:textAlignment w:val="auto"/>
        <w:rPr>
          <w:rFonts w:hint="default" w:ascii="Times New Roman" w:hAnsi="Times New Roman" w:cs="Times New Roman"/>
          <w:sz w:val="22"/>
          <w:szCs w:val="22"/>
        </w:rPr>
      </w:pPr>
    </w:p>
    <w:p w14:paraId="59BF4837">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Hypothesis Testing:</w:t>
      </w:r>
      <w:r>
        <w:rPr>
          <w:rFonts w:hint="default" w:ascii="Times New Roman" w:hAnsi="Times New Roman" w:cs="Times New Roman"/>
          <w:sz w:val="22"/>
          <w:szCs w:val="22"/>
        </w:rPr>
        <w:t xml:space="preserve"> Conducted at a </w:t>
      </w:r>
      <w:r>
        <w:rPr>
          <w:rFonts w:hint="default" w:ascii="Times New Roman" w:hAnsi="Times New Roman" w:cs="Times New Roman"/>
          <w:b/>
          <w:bCs/>
          <w:sz w:val="22"/>
          <w:szCs w:val="22"/>
        </w:rPr>
        <w:t>95% confidence level</w:t>
      </w:r>
      <w:r>
        <w:rPr>
          <w:rFonts w:hint="default" w:ascii="Times New Roman" w:hAnsi="Times New Roman" w:cs="Times New Roman"/>
          <w:sz w:val="22"/>
          <w:szCs w:val="22"/>
        </w:rPr>
        <w:t xml:space="preserve"> to evaluate the statistical significance of the behavioral shifts observed between the two groups.</w:t>
      </w:r>
    </w:p>
    <w:p w14:paraId="28545F90">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76" w:lineRule="auto"/>
        <w:ind w:leftChars="0" w:right="0" w:rightChars="0"/>
        <w:jc w:val="both"/>
        <w:textAlignment w:val="auto"/>
        <w:rPr>
          <w:rFonts w:hint="default" w:ascii="Times New Roman" w:hAnsi="Times New Roman" w:cs="Times New Roman"/>
          <w:sz w:val="22"/>
          <w:szCs w:val="22"/>
        </w:rPr>
      </w:pPr>
    </w:p>
    <w:p w14:paraId="4F10DD6C">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sz w:val="22"/>
          <w:szCs w:val="22"/>
          <w:lang w:val="en-IN"/>
        </w:rPr>
      </w:pPr>
      <w:r>
        <w:rPr>
          <w:rFonts w:hint="default" w:ascii="Times New Roman" w:hAnsi="Times New Roman" w:cs="Times New Roman"/>
          <w:b/>
          <w:bCs/>
          <w:sz w:val="22"/>
          <w:szCs w:val="22"/>
        </w:rPr>
        <w:t>Correlation Analysis:</w:t>
      </w:r>
      <w:r>
        <w:rPr>
          <w:rFonts w:hint="default" w:ascii="Times New Roman" w:hAnsi="Times New Roman" w:cs="Times New Roman"/>
          <w:sz w:val="22"/>
          <w:szCs w:val="22"/>
        </w:rPr>
        <w:t xml:space="preserve"> Used to assess the relationship between real-time feedback mechanisms and trading activity levels</w:t>
      </w:r>
      <w:r>
        <w:rPr>
          <w:rFonts w:hint="default" w:ascii="Times New Roman" w:hAnsi="Times New Roman" w:cs="Times New Roman"/>
          <w:sz w:val="22"/>
          <w:szCs w:val="22"/>
          <w:lang w:val="en-IN"/>
        </w:rPr>
        <w:t>.</w:t>
      </w:r>
    </w:p>
    <w:p w14:paraId="1219CB4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4"/>
          <w:szCs w:val="24"/>
        </w:rPr>
      </w:pPr>
    </w:p>
    <w:p w14:paraId="08DCF8D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III. Results and Discussion</w:t>
      </w:r>
    </w:p>
    <w:p w14:paraId="352AD4B1">
      <w:pPr>
        <w:keepNext w:val="0"/>
        <w:keepLines w:val="0"/>
        <w:pageBreakBefore w:val="0"/>
        <w:widowControl/>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rPr>
      </w:pPr>
    </w:p>
    <w:p w14:paraId="172D4C9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A. Volumetric Analysis</w:t>
      </w:r>
    </w:p>
    <w:p w14:paraId="361A7371">
      <w:pPr>
        <w:pStyle w:val="9"/>
        <w:keepNext w:val="0"/>
        <w:keepLines w:val="0"/>
        <w:widowControl/>
        <w:suppressLineNumbers w:val="0"/>
        <w:ind w:firstLine="720" w:firstLine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primary objective of this analysis was to examine differences in trading volume between users interacting with gamified and non-gamified trading interfaces. The results indicate that trading activity is </w:t>
      </w:r>
      <w:r>
        <w:rPr>
          <w:rStyle w:val="10"/>
          <w:rFonts w:hint="default" w:ascii="Times New Roman" w:hAnsi="Times New Roman" w:cs="Times New Roman"/>
          <w:b w:val="0"/>
          <w:bCs w:val="0"/>
          <w:sz w:val="22"/>
          <w:szCs w:val="22"/>
        </w:rPr>
        <w:t>substantially higher in the gamified interface</w:t>
      </w:r>
      <w:r>
        <w:rPr>
          <w:rFonts w:hint="default" w:ascii="Times New Roman" w:hAnsi="Times New Roman" w:cs="Times New Roman"/>
          <w:b w:val="0"/>
          <w:bCs w:val="0"/>
          <w:sz w:val="22"/>
          <w:szCs w:val="22"/>
        </w:rPr>
        <w:t xml:space="preserve"> compared to the non-gamified interface. Users exposed to visual rewards, notifications, and feedback mechanisms executed trades more frequently, reflecting increased participation intensity.</w:t>
      </w:r>
    </w:p>
    <w:p w14:paraId="13B5694C">
      <w:pPr>
        <w:pStyle w:val="9"/>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b w:val="0"/>
          <w:bCs w:val="0"/>
          <w:sz w:val="22"/>
          <w:szCs w:val="22"/>
        </w:rPr>
        <w:t xml:space="preserve">This observed difference suggests that gamification elements reduce psychological hesitation associated with trade execution, thereby encouraging repeated trading actions. Cumulative volume trends visualized using Power BI reveal that the gap between gamified and non-gamified users </w:t>
      </w:r>
      <w:r>
        <w:rPr>
          <w:rStyle w:val="10"/>
          <w:rFonts w:hint="default" w:ascii="Times New Roman" w:hAnsi="Times New Roman" w:cs="Times New Roman"/>
          <w:b w:val="0"/>
          <w:bCs w:val="0"/>
          <w:sz w:val="22"/>
          <w:szCs w:val="22"/>
        </w:rPr>
        <w:t>widens progressively over time</w:t>
      </w:r>
      <w:r>
        <w:rPr>
          <w:rFonts w:hint="default" w:ascii="Times New Roman" w:hAnsi="Times New Roman" w:cs="Times New Roman"/>
          <w:b w:val="0"/>
          <w:bCs w:val="0"/>
          <w:sz w:val="22"/>
          <w:szCs w:val="22"/>
        </w:rPr>
        <w:t>, indicating a sustained engagement effect rather than a short-lived increase in activity. These findings demonstrate that gamification contributes to continuous trading momentum by reinforcing user interaction through reward-driven feedback loops.</w:t>
      </w:r>
    </w:p>
    <w:p w14:paraId="58F801CB">
      <w:pPr>
        <w:pStyle w:val="4"/>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rPr>
      </w:pPr>
      <w:r>
        <w:rPr>
          <w:rFonts w:hint="default" w:ascii="Times New Roman" w:hAnsi="Times New Roman" w:cs="Times New Roman"/>
          <w:b/>
          <w:bCs/>
          <w:sz w:val="24"/>
          <w:szCs w:val="24"/>
        </w:rPr>
        <w:t>Decision Velocity and Latency</w:t>
      </w:r>
    </w:p>
    <w:p w14:paraId="3D63BA6D">
      <w:pPr>
        <w:pStyle w:val="9"/>
        <w:keepNext w:val="0"/>
        <w:keepLines w:val="0"/>
        <w:widowControl/>
        <w:suppressLineNumbers w:val="0"/>
        <w:ind w:firstLine="720"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Decision latency, defined as the time taken by a user to execute a trade after receiving market information, is a critical indicator of cognitive processing in behavioral finance. Analysis of the dataset reveals a </w:t>
      </w:r>
      <w:r>
        <w:rPr>
          <w:rStyle w:val="10"/>
          <w:rFonts w:hint="default" w:ascii="Times New Roman" w:hAnsi="Times New Roman" w:cs="Times New Roman"/>
          <w:sz w:val="22"/>
          <w:szCs w:val="22"/>
        </w:rPr>
        <w:t>significant reduction in average decision time among users interacting with gamified interfaces</w:t>
      </w:r>
      <w:r>
        <w:rPr>
          <w:rFonts w:hint="default" w:ascii="Times New Roman" w:hAnsi="Times New Roman" w:cs="Times New Roman"/>
          <w:sz w:val="22"/>
          <w:szCs w:val="22"/>
        </w:rPr>
        <w:t xml:space="preserve"> compared to those using non-gamified interfaces.</w:t>
      </w:r>
    </w:p>
    <w:p w14:paraId="23EA84C9">
      <w:pPr>
        <w:pStyle w:val="9"/>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Power BI–based analysis indicates that gamified users execute trades </w:t>
      </w:r>
      <w:r>
        <w:rPr>
          <w:rStyle w:val="10"/>
          <w:rFonts w:hint="default" w:ascii="Times New Roman" w:hAnsi="Times New Roman" w:cs="Times New Roman"/>
          <w:sz w:val="22"/>
          <w:szCs w:val="22"/>
        </w:rPr>
        <w:t>considerably faster</w:t>
      </w:r>
      <w:r>
        <w:rPr>
          <w:rFonts w:hint="default" w:ascii="Times New Roman" w:hAnsi="Times New Roman" w:cs="Times New Roman"/>
          <w:sz w:val="22"/>
          <w:szCs w:val="22"/>
        </w:rPr>
        <w:t>, reflecting accelerated decision-making behavior influenced by visual cues and real-time feedback mechanisms. In contrast, users operating within non-gamified environments exhibit longer and more variable decision times, suggesting a greater degree of deliberation prior to trade execution.</w:t>
      </w:r>
    </w:p>
    <w:p w14:paraId="0214A34C">
      <w:pPr>
        <w:pStyle w:val="9"/>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Additionally, variability in decision time is observed to be lower among gamified users, indicating </w:t>
      </w:r>
      <w:r>
        <w:rPr>
          <w:rStyle w:val="10"/>
          <w:rFonts w:hint="default" w:ascii="Times New Roman" w:hAnsi="Times New Roman" w:cs="Times New Roman"/>
          <w:sz w:val="22"/>
          <w:szCs w:val="22"/>
        </w:rPr>
        <w:t>more uniform behavioral patterns</w:t>
      </w:r>
      <w:r>
        <w:rPr>
          <w:rFonts w:hint="default" w:ascii="Times New Roman" w:hAnsi="Times New Roman" w:cs="Times New Roman"/>
          <w:sz w:val="22"/>
          <w:szCs w:val="22"/>
        </w:rPr>
        <w:t>. This reduced variability suggests that gamified interfaces tend to standardize user responses, encouraging reactive behavior rather than analytical evaluation. While such efficiency enhances user engagement, it may also increase susceptibility to impulsive trading decisions, particularly among less experienced investors.</w:t>
      </w:r>
    </w:p>
    <w:p w14:paraId="6085CCD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p>
    <w:p w14:paraId="0C776B83">
      <w:pPr>
        <w:pStyle w:val="4"/>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Hypothesis Validation</w:t>
      </w:r>
    </w:p>
    <w:p w14:paraId="68F63893">
      <w:pPr>
        <w:keepNext w:val="0"/>
        <w:keepLines w:val="0"/>
        <w:pageBreakBefore w:val="0"/>
        <w:widowControl/>
        <w:numPr>
          <w:ilvl w:val="0"/>
          <w:numId w:val="0"/>
        </w:numPr>
        <w:kinsoku/>
        <w:wordWrap/>
        <w:overflowPunct/>
        <w:topLinePunct w:val="0"/>
        <w:autoSpaceDE/>
        <w:autoSpaceDN/>
        <w:bidi w:val="0"/>
        <w:adjustRightInd/>
        <w:snapToGrid/>
        <w:spacing w:line="276" w:lineRule="auto"/>
        <w:textAlignment w:val="auto"/>
        <w:rPr>
          <w:rFonts w:hint="default" w:ascii="Times New Roman" w:hAnsi="Times New Roman" w:cs="Times New Roman"/>
        </w:rPr>
      </w:pPr>
    </w:p>
    <w:p w14:paraId="09EB1F58">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H1 (Accepted):</w:t>
      </w:r>
      <w:r>
        <w:rPr>
          <w:rFonts w:hint="default" w:ascii="Times New Roman" w:hAnsi="Times New Roman" w:cs="Times New Roman"/>
          <w:sz w:val="22"/>
          <w:szCs w:val="22"/>
        </w:rPr>
        <w:t xml:space="preserve"> The correlation between gamification features and trading frequency yielded a coefficient of </w:t>
      </w:r>
      <w:r>
        <w:rPr>
          <w:rFonts w:hint="default" w:ascii="Times New Roman" w:hAnsi="Times New Roman" w:cs="Times New Roman"/>
          <w:b/>
          <w:bCs/>
          <w:sz w:val="22"/>
          <w:szCs w:val="22"/>
        </w:rPr>
        <w:t>r &gt; 0.5</w:t>
      </w:r>
      <w:r>
        <w:rPr>
          <w:rFonts w:hint="default" w:ascii="Times New Roman" w:hAnsi="Times New Roman" w:cs="Times New Roman"/>
          <w:sz w:val="22"/>
          <w:szCs w:val="22"/>
        </w:rPr>
        <w:t xml:space="preserve">. The p-value was </w:t>
      </w:r>
      <w:r>
        <w:rPr>
          <w:rFonts w:hint="default" w:ascii="Times New Roman" w:hAnsi="Times New Roman" w:cs="Times New Roman"/>
          <w:b/>
          <w:bCs/>
          <w:sz w:val="22"/>
          <w:szCs w:val="22"/>
        </w:rPr>
        <w:t>&lt; 0.001</w:t>
      </w:r>
      <w:r>
        <w:rPr>
          <w:rFonts w:hint="default" w:ascii="Times New Roman" w:hAnsi="Times New Roman" w:cs="Times New Roman"/>
          <w:sz w:val="22"/>
          <w:szCs w:val="22"/>
        </w:rPr>
        <w:t>, indicating that the 366% volume growth is statistically significant.</w:t>
      </w:r>
    </w:p>
    <w:p w14:paraId="3ADE243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76" w:lineRule="auto"/>
        <w:ind w:left="1080" w:leftChars="0"/>
        <w:jc w:val="both"/>
        <w:textAlignment w:val="auto"/>
        <w:rPr>
          <w:rFonts w:hint="default" w:ascii="Times New Roman" w:hAnsi="Times New Roman" w:cs="Times New Roman"/>
          <w:sz w:val="22"/>
          <w:szCs w:val="22"/>
        </w:rPr>
      </w:pPr>
    </w:p>
    <w:p w14:paraId="22547AE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H2 (Accepted):</w:t>
      </w:r>
      <w:r>
        <w:rPr>
          <w:rFonts w:hint="default" w:ascii="Times New Roman" w:hAnsi="Times New Roman" w:cs="Times New Roman"/>
          <w:sz w:val="22"/>
          <w:szCs w:val="22"/>
        </w:rPr>
        <w:t xml:space="preserve"> Regression analysis confirms that gamification accelerates decision-making to a level often associated with impulsivity. As predicted, this effect was most pronounced in participants with minimal trading experience, who relied more heavily on app-provided "rewards" than on market fundamentals.</w:t>
      </w:r>
    </w:p>
    <w:p w14:paraId="22F6FF0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76" w:lineRule="auto"/>
        <w:jc w:val="both"/>
        <w:textAlignment w:val="auto"/>
        <w:rPr>
          <w:rFonts w:hint="default" w:ascii="Times New Roman" w:hAnsi="Times New Roman" w:cs="Times New Roman"/>
        </w:rPr>
      </w:pPr>
    </w:p>
    <w:p w14:paraId="49D9920E">
      <w:pPr>
        <w:pStyle w:val="4"/>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76" w:lineRule="auto"/>
        <w:ind w:left="0" w:leftChars="0" w:firstLine="0" w:firstLineChars="0"/>
        <w:jc w:val="both"/>
        <w:textAlignment w:val="auto"/>
        <w:rPr>
          <w:rFonts w:hint="default" w:ascii="Times New Roman" w:hAnsi="Times New Roman" w:cs="Times New Roman"/>
        </w:rPr>
      </w:pPr>
      <w:r>
        <w:rPr>
          <w:rFonts w:hint="default" w:ascii="Times New Roman" w:hAnsi="Times New Roman" w:cs="Times New Roman"/>
          <w:b/>
          <w:bCs/>
          <w:sz w:val="24"/>
          <w:szCs w:val="24"/>
        </w:rPr>
        <w:t>Discussion: The "Gamification Paradox"</w:t>
      </w:r>
    </w:p>
    <w:p w14:paraId="37B72EBB">
      <w:pPr>
        <w:pStyle w:val="9"/>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results of this study highlight a </w:t>
      </w:r>
      <w:r>
        <w:rPr>
          <w:rStyle w:val="10"/>
          <w:rFonts w:hint="default" w:ascii="Times New Roman" w:hAnsi="Times New Roman" w:cs="Times New Roman"/>
          <w:sz w:val="22"/>
          <w:szCs w:val="22"/>
        </w:rPr>
        <w:t>gamification paradox</w:t>
      </w:r>
      <w:r>
        <w:rPr>
          <w:rFonts w:hint="default" w:ascii="Times New Roman" w:hAnsi="Times New Roman" w:cs="Times New Roman"/>
          <w:sz w:val="22"/>
          <w:szCs w:val="22"/>
        </w:rPr>
        <w:t xml:space="preserve"> within digital trading platforms. While gamification effectively enhances user engagement and operational efficiency, it simultaneously reduces decision latency, potentially increasing the likelihood of impulsive trading behavior.</w:t>
      </w:r>
    </w:p>
    <w:p w14:paraId="545FF631">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2"/>
          <w:szCs w:val="22"/>
        </w:rPr>
        <w:t>Traditional investor protection frameworks are built on the assumption that investors act rationally and deliberately. However, the observed behavioral patterns suggest that gamified environments may challenge this assumption by encouraging reactive decision-making. These findings support ongoing regulatory concerns regarding the unmoderated use of gamification in high-risk financial applications and emphasize the need for design mechanisms that balance engagement with investor protection.</w:t>
      </w:r>
    </w:p>
    <w:p w14:paraId="6987B1A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4"/>
          <w:szCs w:val="24"/>
        </w:rPr>
      </w:pPr>
      <w:r>
        <w:rPr>
          <w:rStyle w:val="10"/>
          <w:rFonts w:hint="default" w:ascii="Times New Roman" w:hAnsi="Times New Roman" w:cs="Times New Roman"/>
          <w:b/>
          <w:bCs/>
          <w:sz w:val="24"/>
          <w:szCs w:val="24"/>
        </w:rPr>
        <w:t>Limitations of the Study</w:t>
      </w:r>
    </w:p>
    <w:p w14:paraId="7ADAB01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p>
    <w:p w14:paraId="3D33F5F7">
      <w:pPr>
        <w:pStyle w:val="9"/>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Sample Scope and Diversity:</w:t>
      </w:r>
      <w:r>
        <w:rPr>
          <w:rFonts w:hint="default" w:ascii="Times New Roman" w:hAnsi="Times New Roman" w:cs="Times New Roman"/>
          <w:sz w:val="22"/>
          <w:szCs w:val="22"/>
        </w:rPr>
        <w:t xml:space="preserve"> The study utilized a sample of 250 participants and 500 trade records. While statistically significant for this cohort, the findings may not fully represent the behavior of high-net-worth institutional investors or older demographic groups who may interact with technology differently.</w:t>
      </w:r>
    </w:p>
    <w:p w14:paraId="4564A090">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76" w:lineRule="auto"/>
        <w:ind w:leftChars="0" w:right="0" w:rightChars="0"/>
        <w:jc w:val="both"/>
        <w:textAlignment w:val="auto"/>
        <w:rPr>
          <w:rFonts w:hint="default" w:ascii="Times New Roman" w:hAnsi="Times New Roman" w:cs="Times New Roman"/>
          <w:sz w:val="22"/>
          <w:szCs w:val="22"/>
        </w:rPr>
      </w:pPr>
    </w:p>
    <w:p w14:paraId="01B39B5C">
      <w:pPr>
        <w:pStyle w:val="9"/>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Short-term vs. Longitudinal Effects:</w:t>
      </w:r>
      <w:r>
        <w:rPr>
          <w:rFonts w:hint="default" w:ascii="Times New Roman" w:hAnsi="Times New Roman" w:cs="Times New Roman"/>
          <w:sz w:val="22"/>
          <w:szCs w:val="22"/>
        </w:rPr>
        <w:t xml:space="preserve"> The current data captures behavioral shifts in a specific window. It does not account for "habituation"—where the effectiveness of gamified rewards (like badges and points) may diminish over time as the user becomes accustomed to the interface.</w:t>
      </w:r>
    </w:p>
    <w:p w14:paraId="672526E6">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76" w:lineRule="auto"/>
        <w:ind w:leftChars="0" w:right="0" w:rightChars="0"/>
        <w:jc w:val="both"/>
        <w:textAlignment w:val="auto"/>
        <w:rPr>
          <w:rFonts w:hint="default" w:ascii="Times New Roman" w:hAnsi="Times New Roman" w:cs="Times New Roman"/>
          <w:sz w:val="22"/>
          <w:szCs w:val="22"/>
        </w:rPr>
      </w:pPr>
    </w:p>
    <w:p w14:paraId="54FAA134">
      <w:pPr>
        <w:pStyle w:val="9"/>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Market Volatility Variables:</w:t>
      </w:r>
      <w:r>
        <w:rPr>
          <w:rFonts w:hint="default" w:ascii="Times New Roman" w:hAnsi="Times New Roman" w:cs="Times New Roman"/>
          <w:sz w:val="22"/>
          <w:szCs w:val="22"/>
        </w:rPr>
        <w:t xml:space="preserve"> The empirical data analyzed showed relatively stable price conditions. Behavioral responses to gamification might differ significantly during periods of extreme market volatility or "bear markets," where fear-based decision-making might override gamified incentives.</w:t>
      </w:r>
    </w:p>
    <w:p w14:paraId="45CA6473">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76" w:lineRule="auto"/>
        <w:ind w:leftChars="0" w:right="0" w:rightChars="0"/>
        <w:jc w:val="both"/>
        <w:textAlignment w:val="auto"/>
        <w:rPr>
          <w:rFonts w:hint="default" w:ascii="Times New Roman" w:hAnsi="Times New Roman" w:cs="Times New Roman"/>
          <w:sz w:val="22"/>
          <w:szCs w:val="22"/>
        </w:rPr>
      </w:pPr>
    </w:p>
    <w:p w14:paraId="3F3F3798">
      <w:pPr>
        <w:pStyle w:val="9"/>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Self-Reporting Bias:</w:t>
      </w:r>
      <w:r>
        <w:rPr>
          <w:rFonts w:hint="default" w:ascii="Times New Roman" w:hAnsi="Times New Roman" w:cs="Times New Roman"/>
          <w:sz w:val="22"/>
          <w:szCs w:val="22"/>
        </w:rPr>
        <w:t xml:space="preserve"> For the survey-based portion of the study, responses are subject to the participants' self-perception. There may be a discrepancy between how users </w:t>
      </w:r>
      <w:r>
        <w:rPr>
          <w:rFonts w:hint="default" w:ascii="Times New Roman" w:hAnsi="Times New Roman" w:cs="Times New Roman"/>
          <w:i/>
          <w:iCs/>
          <w:sz w:val="22"/>
          <w:szCs w:val="22"/>
        </w:rPr>
        <w:t>think</w:t>
      </w:r>
      <w:r>
        <w:rPr>
          <w:rFonts w:hint="default" w:ascii="Times New Roman" w:hAnsi="Times New Roman" w:cs="Times New Roman"/>
          <w:sz w:val="22"/>
          <w:szCs w:val="22"/>
        </w:rPr>
        <w:t xml:space="preserve"> they trade (subjective) and how they </w:t>
      </w:r>
      <w:r>
        <w:rPr>
          <w:rFonts w:hint="default" w:ascii="Times New Roman" w:hAnsi="Times New Roman" w:cs="Times New Roman"/>
          <w:i/>
          <w:iCs/>
          <w:sz w:val="22"/>
          <w:szCs w:val="22"/>
        </w:rPr>
        <w:t>actually</w:t>
      </w:r>
      <w:r>
        <w:rPr>
          <w:rFonts w:hint="default" w:ascii="Times New Roman" w:hAnsi="Times New Roman" w:cs="Times New Roman"/>
          <w:sz w:val="22"/>
          <w:szCs w:val="22"/>
        </w:rPr>
        <w:t xml:space="preserve"> trade (objective).</w:t>
      </w:r>
    </w:p>
    <w:p w14:paraId="11450F8E">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76" w:lineRule="auto"/>
        <w:ind w:leftChars="0" w:right="0" w:rightChars="0"/>
        <w:jc w:val="both"/>
        <w:textAlignment w:val="auto"/>
        <w:rPr>
          <w:rFonts w:hint="default" w:ascii="Times New Roman" w:hAnsi="Times New Roman" w:cs="Times New Roman"/>
          <w:sz w:val="22"/>
          <w:szCs w:val="22"/>
        </w:rPr>
      </w:pPr>
    </w:p>
    <w:p w14:paraId="2D6B2100">
      <w:pPr>
        <w:pStyle w:val="9"/>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Platform Specificity:</w:t>
      </w:r>
      <w:r>
        <w:rPr>
          <w:rFonts w:hint="default" w:ascii="Times New Roman" w:hAnsi="Times New Roman" w:cs="Times New Roman"/>
          <w:sz w:val="22"/>
          <w:szCs w:val="22"/>
        </w:rPr>
        <w:t xml:space="preserve"> The study focuses on general gamification mechanics. Since different trading apps (e.g., Robinhood vs. eToro) use varied UX/UI strategies, the results may fluctuate based on the specific aesthetic and functional design of a particular platform.</w:t>
      </w:r>
    </w:p>
    <w:p w14:paraId="4AEF0165">
      <w:pPr>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rPr>
      </w:pPr>
    </w:p>
    <w:p w14:paraId="4E908FC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IV. Conclusion and Recommendations</w:t>
      </w:r>
    </w:p>
    <w:p w14:paraId="4ACE3596">
      <w:pPr>
        <w:keepNext w:val="0"/>
        <w:keepLines w:val="0"/>
        <w:pageBreakBefore w:val="0"/>
        <w:widowControl/>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rPr>
      </w:pPr>
    </w:p>
    <w:p w14:paraId="50DC4E01">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This research provides empirical evidence that gamification is a transformative force in the retail trading landscape. The study successfully validated that game-design elements such as rewards, notifications, and visual feedback significantly alter investor behavior by increasing participation and compressing decision-making windows.</w:t>
      </w:r>
    </w:p>
    <w:p w14:paraId="0E07026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"Ultimately, this study serves as a diagnostic tool for policymakers. It concludes that while gamification drives participation, its current unregulated state poses a risk to investor discipline. Future regulatory frameworks should utilize this data to strike a balance between fintech innovation and the fundamental principles of investor protection."</w:t>
      </w:r>
    </w:p>
    <w:p w14:paraId="03E9345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4"/>
          <w:szCs w:val="24"/>
        </w:rPr>
      </w:pPr>
    </w:p>
    <w:p w14:paraId="4D963E8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Recommendations</w:t>
      </w:r>
    </w:p>
    <w:p w14:paraId="666B26B9">
      <w:pPr>
        <w:keepNext w:val="0"/>
        <w:keepLines w:val="0"/>
        <w:pageBreakBefore w:val="0"/>
        <w:widowControl/>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rPr>
      </w:pPr>
    </w:p>
    <w:p w14:paraId="1D2D64D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To mitigate the risks of impulsive trading while maintaining high user engagement, the following ethical fintech practices are recommended:</w:t>
      </w:r>
    </w:p>
    <w:p w14:paraId="0D5EFB4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76" w:lineRule="auto"/>
        <w:ind w:left="1080" w:leftChars="0"/>
        <w:jc w:val="both"/>
        <w:textAlignment w:val="auto"/>
        <w:rPr>
          <w:rFonts w:hint="default" w:ascii="Times New Roman" w:hAnsi="Times New Roman" w:cs="Times New Roman"/>
        </w:rPr>
      </w:pPr>
    </w:p>
    <w:p w14:paraId="1B4B566D">
      <w:pPr>
        <w:pStyle w:val="9"/>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b/>
          <w:bCs/>
        </w:rPr>
        <w:t>Real-time Behavioral Nudges:</w:t>
      </w:r>
      <w:r>
        <w:rPr>
          <w:rFonts w:hint="default" w:ascii="Times New Roman" w:hAnsi="Times New Roman" w:cs="Times New Roman"/>
        </w:rPr>
        <w:t xml:space="preserve"> Implement "friction points" or behavioral warnings when the system detects rapid, repetitive trading patterns that deviate from the user's historical risk profile.</w:t>
      </w:r>
    </w:p>
    <w:p w14:paraId="527FAF5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76" w:lineRule="auto"/>
        <w:jc w:val="both"/>
        <w:textAlignment w:val="auto"/>
        <w:rPr>
          <w:rFonts w:hint="default" w:ascii="Times New Roman" w:hAnsi="Times New Roman" w:cs="Times New Roman"/>
        </w:rPr>
      </w:pPr>
    </w:p>
    <w:p w14:paraId="2F90A0A5">
      <w:pPr>
        <w:pStyle w:val="9"/>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b/>
          <w:bCs/>
        </w:rPr>
        <w:t>Adaptive Gamification:</w:t>
      </w:r>
      <w:r>
        <w:rPr>
          <w:rFonts w:hint="default" w:ascii="Times New Roman" w:hAnsi="Times New Roman" w:cs="Times New Roman"/>
        </w:rPr>
        <w:t xml:space="preserve"> Design interfaces that adjust the intensity of rewards and notifications based on the user's experience level and documented financial expertise.</w:t>
      </w:r>
    </w:p>
    <w:p w14:paraId="6825EF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76" w:lineRule="auto"/>
        <w:jc w:val="both"/>
        <w:textAlignment w:val="auto"/>
        <w:rPr>
          <w:rFonts w:hint="default" w:ascii="Times New Roman" w:hAnsi="Times New Roman" w:cs="Times New Roman"/>
        </w:rPr>
      </w:pPr>
    </w:p>
    <w:p w14:paraId="3BAE2147">
      <w:pPr>
        <w:pStyle w:val="9"/>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b/>
          <w:bCs/>
        </w:rPr>
        <w:t>Predictive Risk Modeling:</w:t>
      </w:r>
      <w:r>
        <w:rPr>
          <w:rFonts w:hint="default" w:ascii="Times New Roman" w:hAnsi="Times New Roman" w:cs="Times New Roman"/>
        </w:rPr>
        <w:t xml:space="preserve"> Integrate machine learning models within the trading platform to identify high-risk behavioral patterns in real-time, offering immediate intervention or educational resources.</w:t>
      </w:r>
    </w:p>
    <w:p w14:paraId="1562044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76" w:lineRule="auto"/>
        <w:jc w:val="both"/>
        <w:textAlignment w:val="auto"/>
        <w:rPr>
          <w:rFonts w:hint="default" w:ascii="Times New Roman" w:hAnsi="Times New Roman" w:cs="Times New Roman"/>
        </w:rPr>
      </w:pPr>
    </w:p>
    <w:p w14:paraId="37569B48">
      <w:pPr>
        <w:pStyle w:val="9"/>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b/>
          <w:bCs/>
        </w:rPr>
        <w:t>Integrated Financial Education:</w:t>
      </w:r>
      <w:r>
        <w:rPr>
          <w:rFonts w:hint="default" w:ascii="Times New Roman" w:hAnsi="Times New Roman" w:cs="Times New Roman"/>
        </w:rPr>
        <w:t xml:space="preserve"> Move beyond simple "badges" for trading frequency and instead reward users for completing financial literacy modules or maintaining diversified portfolios.</w:t>
      </w:r>
    </w:p>
    <w:p w14:paraId="78089BA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76" w:lineRule="auto"/>
        <w:jc w:val="both"/>
        <w:textAlignment w:val="auto"/>
        <w:rPr>
          <w:rFonts w:hint="default" w:ascii="Times New Roman" w:hAnsi="Times New Roman" w:cs="Times New Roman"/>
        </w:rPr>
      </w:pPr>
    </w:p>
    <w:p w14:paraId="419E2D33">
      <w:pPr>
        <w:pStyle w:val="9"/>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b/>
          <w:bCs/>
        </w:rPr>
        <w:t>Regulatory Standardization:</w:t>
      </w:r>
      <w:r>
        <w:rPr>
          <w:rFonts w:hint="default" w:ascii="Times New Roman" w:hAnsi="Times New Roman" w:cs="Times New Roman"/>
        </w:rPr>
        <w:t xml:space="preserve"> Policymakers should establish ethical design standards for financial interfaces to ensure that gamification does not bypass critical risk-assessment windows.</w:t>
      </w:r>
    </w:p>
    <w:p w14:paraId="0224266C">
      <w:pPr>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rPr>
      </w:pPr>
    </w:p>
    <w:p w14:paraId="59E617E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References</w:t>
      </w:r>
    </w:p>
    <w:p w14:paraId="240FA9CA">
      <w:pPr>
        <w:keepNext w:val="0"/>
        <w:keepLines w:val="0"/>
        <w:pageBreakBefore w:val="0"/>
        <w:widowControl/>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rPr>
      </w:pPr>
    </w:p>
    <w:p w14:paraId="3B422E91">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[1] Chapkovski, P., Khapko, M., &amp; Zoican, M. (2024). Trading gamification and investor behavior. </w:t>
      </w:r>
      <w:r>
        <w:rPr>
          <w:rStyle w:val="7"/>
          <w:rFonts w:hint="default" w:ascii="Times New Roman" w:hAnsi="Times New Roman" w:cs="Times New Roman"/>
          <w:sz w:val="22"/>
          <w:szCs w:val="22"/>
        </w:rPr>
        <w:t>Management Science</w:t>
      </w:r>
      <w:r>
        <w:rPr>
          <w:rFonts w:hint="default" w:ascii="Times New Roman" w:hAnsi="Times New Roman" w:cs="Times New Roman"/>
          <w:sz w:val="22"/>
          <w:szCs w:val="22"/>
        </w:rPr>
        <w:t>.</w:t>
      </w:r>
    </w:p>
    <w:p w14:paraId="594C582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[2] Freibauer, J. (2024). The effects of trading apps on investment behavior over time. </w:t>
      </w:r>
      <w:r>
        <w:rPr>
          <w:rStyle w:val="7"/>
          <w:rFonts w:hint="default" w:ascii="Times New Roman" w:hAnsi="Times New Roman" w:cs="Times New Roman"/>
          <w:sz w:val="22"/>
          <w:szCs w:val="22"/>
        </w:rPr>
        <w:t>Journal of Behavioral Finance</w:t>
      </w:r>
      <w:r>
        <w:rPr>
          <w:rFonts w:hint="default" w:ascii="Times New Roman" w:hAnsi="Times New Roman" w:cs="Times New Roman"/>
          <w:sz w:val="22"/>
          <w:szCs w:val="22"/>
        </w:rPr>
        <w:t>, 25(3), 215–230.</w:t>
      </w:r>
    </w:p>
    <w:p w14:paraId="0C9C4FA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 Gathergood, J. (2024). Digital engagement practices in trading apps. Financial Conduct Authority.</w:t>
      </w:r>
    </w:p>
    <w:p w14:paraId="1A875C0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[4] Mazher, N. (2024). Real-time data streaming and analysis using SQL Server. </w:t>
      </w:r>
      <w:r>
        <w:rPr>
          <w:rStyle w:val="7"/>
          <w:rFonts w:hint="default" w:ascii="Times New Roman" w:hAnsi="Times New Roman" w:cs="Times New Roman"/>
          <w:sz w:val="22"/>
          <w:szCs w:val="22"/>
        </w:rPr>
        <w:t>Research Journal of Computing Science</w:t>
      </w:r>
      <w:r>
        <w:rPr>
          <w:rFonts w:hint="default" w:ascii="Times New Roman" w:hAnsi="Times New Roman" w:cs="Times New Roman"/>
          <w:sz w:val="22"/>
          <w:szCs w:val="22"/>
        </w:rPr>
        <w:t>, 10(2), 45–58.</w:t>
      </w:r>
    </w:p>
    <w:p w14:paraId="58E422A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[5] Seidman, C. (2025). Managing data for finance with Microsoft Power Query. Seidman Financial.</w:t>
      </w:r>
    </w:p>
    <w:p w14:paraId="36536DD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[6] Yelagin, E. (2024). Gamification of stock trading: Losers and winners. SSRN.</w:t>
      </w:r>
    </w:p>
    <w:p w14:paraId="226305D4">
      <w:pPr>
        <w:keepNext w:val="0"/>
        <w:keepLines w:val="0"/>
        <w:pageBreakBefore w:val="0"/>
        <w:widowControl/>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rPr>
        <w:sectPr>
          <w:type w:val="continuous"/>
          <w:pgSz w:w="11906" w:h="16838"/>
          <w:pgMar w:top="1440" w:right="1800" w:bottom="1440" w:left="1800" w:header="720" w:footer="720" w:gutter="0"/>
          <w:cols w:equalWidth="0" w:num="2">
            <w:col w:w="3940" w:space="425"/>
            <w:col w:w="3940"/>
          </w:cols>
          <w:docGrid w:linePitch="360" w:charSpace="0"/>
        </w:sectPr>
      </w:pPr>
    </w:p>
    <w:p w14:paraId="686D31DF">
      <w:pPr>
        <w:keepNext w:val="0"/>
        <w:keepLines w:val="0"/>
        <w:pageBreakBefore w:val="0"/>
        <w:widowControl/>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rPr>
      </w:pPr>
    </w:p>
    <w:sectPr>
      <w:type w:val="continuous"/>
      <w:pgSz w:w="11906" w:h="16838"/>
      <w:pgMar w:top="1440" w:right="1800" w:bottom="1440" w:left="1800" w:header="720" w:footer="720" w:gutter="0"/>
      <w:cols w:space="425"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C4B56"/>
    <w:multiLevelType w:val="singleLevel"/>
    <w:tmpl w:val="B72C4B5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BBE8D790"/>
    <w:multiLevelType w:val="singleLevel"/>
    <w:tmpl w:val="BBE8D790"/>
    <w:lvl w:ilvl="0" w:tentative="0">
      <w:start w:val="1"/>
      <w:numFmt w:val="upperLetter"/>
      <w:suff w:val="space"/>
      <w:lvlText w:val="%1."/>
      <w:lvlJc w:val="left"/>
      <w:rPr>
        <w:rFonts w:hint="default"/>
        <w:sz w:val="22"/>
        <w:szCs w:val="22"/>
      </w:rPr>
    </w:lvl>
  </w:abstractNum>
  <w:abstractNum w:abstractNumId="2">
    <w:nsid w:val="CFF592F6"/>
    <w:multiLevelType w:val="singleLevel"/>
    <w:tmpl w:val="CFF592F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DFD74B41"/>
    <w:multiLevelType w:val="singleLevel"/>
    <w:tmpl w:val="DFD74B4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E5E9BAD8"/>
    <w:multiLevelType w:val="singleLevel"/>
    <w:tmpl w:val="E5E9BAD8"/>
    <w:lvl w:ilvl="0" w:tentative="0">
      <w:start w:val="2"/>
      <w:numFmt w:val="upperLetter"/>
      <w:suff w:val="space"/>
      <w:lvlText w:val="%1."/>
      <w:lvlJc w:val="left"/>
    </w:lvl>
  </w:abstractNum>
  <w:abstractNum w:abstractNumId="5">
    <w:nsid w:val="E7A0F723"/>
    <w:multiLevelType w:val="singleLevel"/>
    <w:tmpl w:val="E7A0F72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EA9C9C08"/>
    <w:multiLevelType w:val="singleLevel"/>
    <w:tmpl w:val="EA9C9C0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
    <w:nsid w:val="F8DE5D40"/>
    <w:multiLevelType w:val="singleLevel"/>
    <w:tmpl w:val="F8DE5D4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0D8B8BA3"/>
    <w:multiLevelType w:val="singleLevel"/>
    <w:tmpl w:val="0D8B8BA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9">
    <w:nsid w:val="165ADE83"/>
    <w:multiLevelType w:val="singleLevel"/>
    <w:tmpl w:val="165ADE83"/>
    <w:lvl w:ilvl="0" w:tentative="0">
      <w:start w:val="3"/>
      <w:numFmt w:val="upperLetter"/>
      <w:suff w:val="space"/>
      <w:lvlText w:val="%1."/>
      <w:lvlJc w:val="left"/>
    </w:lvl>
  </w:abstractNum>
  <w:abstractNum w:abstractNumId="10">
    <w:nsid w:val="2A366B26"/>
    <w:multiLevelType w:val="singleLevel"/>
    <w:tmpl w:val="2A366B2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1">
    <w:nsid w:val="39E0666D"/>
    <w:multiLevelType w:val="singleLevel"/>
    <w:tmpl w:val="39E0666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2">
    <w:nsid w:val="7B236899"/>
    <w:multiLevelType w:val="singleLevel"/>
    <w:tmpl w:val="7B23689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1"/>
  </w:num>
  <w:num w:numId="2">
    <w:abstractNumId w:val="8"/>
  </w:num>
  <w:num w:numId="3">
    <w:abstractNumId w:val="5"/>
  </w:num>
  <w:num w:numId="4">
    <w:abstractNumId w:val="4"/>
  </w:num>
  <w:num w:numId="5">
    <w:abstractNumId w:val="9"/>
  </w:num>
  <w:num w:numId="6">
    <w:abstractNumId w:val="0"/>
  </w:num>
  <w:num w:numId="7">
    <w:abstractNumId w:val="6"/>
  </w:num>
  <w:num w:numId="8">
    <w:abstractNumId w:val="12"/>
  </w:num>
  <w:num w:numId="9">
    <w:abstractNumId w:val="3"/>
  </w:num>
  <w:num w:numId="10">
    <w:abstractNumId w:val="2"/>
  </w:num>
  <w:num w:numId="11">
    <w:abstractNumId w:val="10"/>
  </w:num>
  <w:num w:numId="12">
    <w:abstractNumId w:val="1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E501E0"/>
    <w:rsid w:val="0C790520"/>
    <w:rsid w:val="1535747C"/>
    <w:rsid w:val="1A6B396C"/>
    <w:rsid w:val="1D403606"/>
    <w:rsid w:val="1DBD7C30"/>
    <w:rsid w:val="2BE501E0"/>
    <w:rsid w:val="2DA3330E"/>
    <w:rsid w:val="3C6A592B"/>
    <w:rsid w:val="42E0344F"/>
    <w:rsid w:val="4EB359AB"/>
    <w:rsid w:val="578A6CD9"/>
    <w:rsid w:val="7A1A2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2026-01-06T14:08:00Z</dcterms:created>
  <dc:creator>Aishwarya Darekar Roll-1, Div-D</dc:creator>
  <cp:lastModifiedBy>Aishwarya Darekar Roll-1, Div-D</cp:lastModifiedBy>
  <dcterms:modified xsi:type="dcterms:W3CDTF">2026-02-08T14:58:38Z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FC5BAD3F73824503B90CF998BC7A1E63_11</vt:lpwstr>
  </property>
</Properties>
</file>