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LOGISTICS REGRESSION IN PYTHON Tutorial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Logistic Regression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, also known as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Logit Regression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Logit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, is a mathematical model used in statistics to estimate or guess the probability of an event occurring having been provided with some previous data.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Logistic Regression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works with binary data, where either the event happens (1) or the event does not happen (0).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So given some feature 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 it tries to find out whether some event 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highlight w:val="white"/>
          <w:rtl w:val="0"/>
        </w:rPr>
        <w:t xml:space="preserve"> happens or not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Audience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Logistics regression is a topic under our most famous technologies boosting now-a-days i.e. Artificial Intelligence , Machine Learning and Deep Learning.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Who developed Logistics Regression?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logistic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function was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discovered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in 1920 by Pearl and Reed in a study of the population growth of the United States. 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Probability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Matrix Calculations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Derivatives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Also a brief knowledge of programming in Python with numpy 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Here are a few assumptions regarding Logistic Regression :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28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Binary logistic regression requires the dependent variable to be binary.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For a binary regression, the factor level 1 of the dependent variable should represent the desired outcome.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Only the meaningful variables should be included.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The independent variables should be independent of each other. That is, the model should have little or no multicollinearity.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The independent variables are linearly related to the log odds.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540" w:hanging="360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Logistic regression requires quite large sample sizes.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