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STUDENT PROJECT APPROVAL &amp; ALLOCATION SYSTEM</w:t>
      </w:r>
    </w:p>
    <w:p>
      <w:pPr>
        <w:jc w:val="center"/>
      </w:pPr>
      <w:r>
        <w:rPr>
          <w:b/>
          <w:sz w:val="26"/>
        </w:rPr>
        <w:t>Failure Path Register</w:t>
      </w:r>
    </w:p>
    <w:p>
      <w:r>
        <w:t>Purpose: This register documents potential failures in the project approval and faculty allocation process, their triggers, and the BPMN elements and actions used to resolve them.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1800"/>
        <w:gridCol w:w="2520"/>
        <w:gridCol w:w="5256"/>
      </w:tblGrid>
      <w:tr>
        <w:tc>
          <w:tcPr>
            <w:tcW w:type="dxa" w:w="2664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Failure point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Cause / trigger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Solution and BPMN construct</w:t>
            </w:r>
          </w:p>
        </w:tc>
      </w:tr>
      <w:tr>
        <w:tc>
          <w:tcPr>
            <w:tcW w:type="dxa" w:w="605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F1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Proposal validation</w:t>
            </w:r>
          </w:p>
        </w:tc>
        <w:tc>
          <w:tcPr>
            <w:tcW w:type="dxa" w:w="252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Required fields or abstract are missing; roll numbers or other details are invalid.</w:t>
            </w:r>
          </w:p>
        </w:tc>
        <w:tc>
          <w:tcPr>
            <w:tcW w:type="dxa" w:w="5256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Use an XOR gateway after validation. Send an error list to the team and loop back for correction. Limit correction attempts to 2; then escalate to the coordinator.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F2</w:t>
            </w:r>
          </w:p>
        </w:tc>
        <w:tc>
          <w:tcPr>
            <w:tcW w:type="dxa" w:w="180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Team-rule validation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Team exceeds the permitted size, or a student is already registered in another team.</w:t>
            </w:r>
          </w:p>
        </w:tc>
        <w:tc>
          <w:tcPr>
            <w:tcW w:type="dxa" w:w="5256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Notify the team and stop the invalid submission with an end event named “Invalid Team”. Where policy allows, let the team reform and submit again.</w:t>
            </w:r>
          </w:p>
        </w:tc>
      </w:tr>
      <w:tr>
        <w:tc>
          <w:tcPr>
            <w:tcW w:type="dxa" w:w="605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F3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Duplicate / plagiarised topic</w:t>
            </w:r>
          </w:p>
        </w:tc>
        <w:tc>
          <w:tcPr>
            <w:tcW w:type="dxa" w:w="252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Similarity score exceeds the defined threshold or a previous project is too similar.</w:t>
            </w:r>
          </w:p>
        </w:tc>
        <w:tc>
          <w:tcPr>
            <w:tcW w:type="dxa" w:w="5256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Coordinator reviews the match. Use an XOR decision: request a modified topic and rerun the similarity check, or reject and record the reason.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F4</w:t>
            </w:r>
          </w:p>
        </w:tc>
        <w:tc>
          <w:tcPr>
            <w:tcW w:type="dxa" w:w="180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Submission deadline</w:t>
            </w:r>
          </w:p>
        </w:tc>
        <w:tc>
          <w:tcPr>
            <w:tcW w:type="dxa" w:w="252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The team does not submit before the deadline.</w:t>
            </w:r>
          </w:p>
        </w:tc>
        <w:tc>
          <w:tcPr>
            <w:tcW w:type="dxa" w:w="5256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Attach an interrupting timer boundary event to the submission activity. Notify the team and route a late-submission request to the coordinator for approval or closure.</w:t>
            </w:r>
          </w:p>
        </w:tc>
      </w:tr>
      <w:tr>
        <w:tc>
          <w:tcPr>
            <w:tcW w:type="dxa" w:w="605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F5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Committee requests revision</w:t>
            </w:r>
          </w:p>
        </w:tc>
        <w:tc>
          <w:tcPr>
            <w:tcW w:type="dxa" w:w="252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Scope is too large, objectives are unclear, or novelty is insufficient.</w:t>
            </w:r>
          </w:p>
        </w:tc>
        <w:tc>
          <w:tcPr>
            <w:tcW w:type="dxa" w:w="5256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Send feedback and return the proposal to the team. Add a 7-day timer and limit revisions to 2 cycles; after that, require a final approve/reject decision.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F6</w:t>
            </w:r>
          </w:p>
        </w:tc>
        <w:tc>
          <w:tcPr>
            <w:tcW w:type="dxa" w:w="180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Committee rejection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Proposal is infeasible, outside the syllabus, or lacks required resources.</w:t>
            </w:r>
          </w:p>
        </w:tc>
        <w:tc>
          <w:tcPr>
            <w:tcW w:type="dxa" w:w="5256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Notify the team with reasons. Allow one new-topic submission if policy permits; otherwise close the case with a “Rejected” end event.</w:t>
            </w:r>
          </w:p>
        </w:tc>
      </w:tr>
      <w:tr>
        <w:tc>
          <w:tcPr>
            <w:tcW w:type="dxa" w:w="605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F7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Review delayed</w:t>
            </w:r>
          </w:p>
        </w:tc>
        <w:tc>
          <w:tcPr>
            <w:tcW w:type="dxa" w:w="252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The committee has not made a decision within the service-level deadline.</w:t>
            </w:r>
          </w:p>
        </w:tc>
        <w:tc>
          <w:tcPr>
            <w:tcW w:type="dxa" w:w="5256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Attach a non-interrupting timer boundary event to send a reminder while review can continue. A second timer escalates the delay to the HoD.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F8</w:t>
            </w:r>
          </w:p>
        </w:tc>
        <w:tc>
          <w:tcPr>
            <w:tcW w:type="dxa" w:w="180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No suitable guide available</w:t>
            </w:r>
          </w:p>
        </w:tc>
        <w:tc>
          <w:tcPr>
            <w:tcW w:type="dxa" w:w="252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No guide matches the project domain, or matching guides have reached their workload limits.</w:t>
            </w:r>
          </w:p>
        </w:tc>
        <w:tc>
          <w:tcPr>
            <w:tcW w:type="dxa" w:w="5256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Use a business rule task to check eligibility and an XOR gateway for availability. The coordinator can allocate manually, appoint a co-guide/external guide, or place the team on a waiting list.</w:t>
            </w:r>
          </w:p>
        </w:tc>
      </w:tr>
      <w:tr>
        <w:tc>
          <w:tcPr>
            <w:tcW w:type="dxa" w:w="605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F9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Guide declines or does not respond</w:t>
            </w:r>
          </w:p>
        </w:tc>
        <w:tc>
          <w:tcPr>
            <w:tcW w:type="dxa" w:w="252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Guide declines due to workload/conflict, or does not respond within the response period.</w:t>
            </w:r>
          </w:p>
        </w:tc>
        <w:tc>
          <w:tcPr>
            <w:tcW w:type="dxa" w:w="5256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Use an XOR gateway for accept/decline and a timer boundary event for timeout. Exclude a declining/non-responsive guide and rerun allocation. After 3 attempts, escalate to manual allocation.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F10</w:t>
            </w:r>
          </w:p>
        </w:tc>
        <w:tc>
          <w:tcPr>
            <w:tcW w:type="dxa" w:w="180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Notification or system failure</w:t>
            </w:r>
          </w:p>
        </w:tc>
        <w:tc>
          <w:tcPr>
            <w:tcW w:type="dxa" w:w="252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Email service is unavailable, or a database write/update fails.</w:t>
            </w:r>
          </w:p>
        </w:tc>
        <w:tc>
          <w:tcPr>
            <w:tcW w:type="dxa" w:w="5256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Attach an error boundary event to the relevant service task. Retry up to 3 times; if retries fail, create an incident and have the coordinator notify the team manually or complete a controlled recovery.</w:t>
            </w:r>
          </w:p>
        </w:tc>
      </w:tr>
      <w:tr>
        <w:tc>
          <w:tcPr>
            <w:tcW w:type="dxa" w:w="605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F11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Withdrawal after approval</w:t>
            </w:r>
          </w:p>
        </w:tc>
        <w:tc>
          <w:tcPr>
            <w:tcW w:type="dxa" w:w="252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The team withdraws/dissolves, or the allocated guide becomes unavailable after allocation.</w:t>
            </w:r>
          </w:p>
        </w:tc>
        <w:tc>
          <w:tcPr>
            <w:tcW w:type="dxa" w:w="5256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Model allocation/confirmation as a subprocess and handle a withdrawal or departure message. Release the reserved guide capacity, then reallocate or close the case if the team has withdrawn.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F12</w:t>
            </w:r>
          </w:p>
        </w:tc>
        <w:tc>
          <w:tcPr>
            <w:tcW w:type="dxa" w:w="180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Coordinator screening issue</w:t>
            </w:r>
          </w:p>
        </w:tc>
        <w:tc>
          <w:tcPr>
            <w:tcW w:type="dxa" w:w="252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The proposal is incomplete, unclear, or needs clarification during initial screening.</w:t>
            </w:r>
          </w:p>
        </w:tc>
        <w:tc>
          <w:tcPr>
            <w:tcW w:type="dxa" w:w="5256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Return it to the team with specific comments and loop back to resubmission; repeat screening after correction.</w:t>
            </w:r>
          </w:p>
        </w:tc>
      </w:tr>
      <w:tr>
        <w:tc>
          <w:tcPr>
            <w:tcW w:type="dxa" w:w="605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F13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Committee quorum not met</w:t>
            </w:r>
          </w:p>
        </w:tc>
        <w:tc>
          <w:tcPr>
            <w:tcW w:type="dxa" w:w="252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Too few committee members are available to make a valid decision.</w:t>
            </w:r>
          </w:p>
        </w:tc>
        <w:tc>
          <w:tcPr>
            <w:tcW w:type="dxa" w:w="5256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Use a timer/reminder and reschedule the review. If the delay persists, escalate to the HoD and record the revised review date.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F14</w:t>
            </w:r>
          </w:p>
        </w:tc>
        <w:tc>
          <w:tcPr>
            <w:tcW w:type="dxa" w:w="180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Guide availability changes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A guide becomes overloaded or unavailable between matching and confirmation.</w:t>
            </w:r>
          </w:p>
        </w:tc>
        <w:tc>
          <w:tcPr>
            <w:tcW w:type="dxa" w:w="5256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Recheck availability before final confirmation. If the guide is no longer eligible, rerun the allocation rule and select another guide.</w:t>
            </w:r>
          </w:p>
        </w:tc>
      </w:tr>
      <w:tr>
        <w:tc>
          <w:tcPr>
            <w:tcW w:type="dxa" w:w="605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F15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Duplicate submission</w:t>
            </w:r>
          </w:p>
        </w:tc>
        <w:tc>
          <w:tcPr>
            <w:tcW w:type="dxa" w:w="2520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The same team submits the same proposal more than once.</w:t>
            </w:r>
          </w:p>
        </w:tc>
        <w:tc>
          <w:tcPr>
            <w:tcW w:type="dxa" w:w="5256"/>
            <w:vAlign w:val="top"/>
            <w:shd w:fill="EAF2F8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Use a system service task to check team/proposal identifiers. Flag the duplicate and route it to the coordinator to retain one valid application.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F16</w:t>
            </w:r>
          </w:p>
        </w:tc>
        <w:tc>
          <w:tcPr>
            <w:tcW w:type="dxa" w:w="180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Allocation record cannot be saved</w:t>
            </w:r>
          </w:p>
        </w:tc>
        <w:tc>
          <w:tcPr>
            <w:tcW w:type="dxa" w:w="2520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The system cannot write the final guide allocation to the database.</w:t>
            </w:r>
          </w:p>
        </w:tc>
        <w:tc>
          <w:tcPr>
            <w:tcW w:type="dxa" w:w="5256"/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5"/>
              </w:rPr>
              <w:t>Retry the write operation up to 3 times. If it still fails, do not send a success notification; escalate for manual recovery and confirm only after the record is consistent.</w:t>
            </w:r>
          </w:p>
        </w:tc>
      </w:tr>
    </w:tbl>
    <w:p>
      <w:pPr>
        <w:pStyle w:val="Heading1"/>
      </w:pPr>
      <w:r>
        <w:t>BPMN Task Types and Gateway Justification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r>
              <w:rPr>
                <w:b/>
                <w:color w:val="FFFFFF"/>
              </w:rPr>
              <w:t>BPMN construct</w:t>
            </w:r>
          </w:p>
        </w:tc>
        <w:tc>
          <w:tcPr>
            <w:tcW w:type="dxa" w:w="5328"/>
            <w:shd w:fill="1F4E79"/>
          </w:tcPr>
          <w:p>
            <w:r>
              <w:rPr>
                <w:b/>
                <w:color w:val="FFFFFF"/>
              </w:rPr>
              <w:t>Why it is used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User Task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Used when a person performs the work, such as submitting a proposal, screening it, reviewing it, revising it, or accepting a guide allocation.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Service Task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Used for automated system work, such as validating fields, checking duplicates, saving records, and running notifications or integrations.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Business Rule Task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Used to apply defined guide-matching rules, including domain expertise, availability, and workload.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Send Task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Used when the process sends an allocation request, rejection message, reminder, or student notification.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Receive Task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Used to represent receipt of an allocation request or response from a guide.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Exclusive Gateway (XOR)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Used when exactly one outcome is chosen, such as valid/invalid, approve/revise/reject, guide available/unavailable, or accept/decline.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Timer Boundary Event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Used when a deadline or waiting period expires, such as late submission, delayed review, revision deadline, or guide timeout.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Error Boundary Event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Used to route technical errors from a system activity into retry or recovery handling.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Message Boundary Event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Used to react to a withdrawal or guide-departure message while the allocation process is active.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End Event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6"/>
              </w:rPr>
              <w:t>Used to mark a terminal outcome, such as successful allocation, rejection, invalid team, or a closed case.</w:t>
            </w:r>
          </w:p>
        </w:tc>
      </w:tr>
    </w:tbl>
    <w:p>
      <w:pPr>
        <w:pStyle w:val="Heading1"/>
      </w:pPr>
      <w:r>
        <w:t>Final Review Checklist</w:t>
      </w:r>
    </w:p>
    <w:p>
      <w:pPr>
        <w:pStyle w:val="ListBullet"/>
      </w:pPr>
      <w:r>
        <w:t>The happy path reaches “Project Allocated and Confirmed” only after the guide accepts and the allocation record is saved.</w:t>
      </w:r>
    </w:p>
    <w:p>
      <w:pPr>
        <w:pStyle w:val="ListBullet"/>
      </w:pPr>
      <w:r>
        <w:t>Every XOR gateway has clearly labelled outgoing conditions.</w:t>
      </w:r>
    </w:p>
    <w:p>
      <w:pPr>
        <w:pStyle w:val="ListBullet"/>
      </w:pPr>
      <w:r>
        <w:t>Timer and error boundary events are attached to the correct activities.</w:t>
      </w:r>
    </w:p>
    <w:p>
      <w:pPr>
        <w:pStyle w:val="ListBullet"/>
      </w:pPr>
      <w:r>
        <w:t>Failure paths have clear recovery actions or named end events.</w:t>
      </w:r>
    </w:p>
    <w:p>
      <w:pPr>
        <w:pStyle w:val="ListBullet"/>
      </w:pPr>
      <w:r>
        <w:t>The BPMN diagram and this register use matching failure IDs and labels.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