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40"/>
          <w:szCs w:val="40"/>
        </w:rPr>
        <w:t xml:space="preserve">Troubleshooting Agent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A Guide to Asking Effective Questions</w:t>
      </w:r>
    </w:p>
    <w:p>
      <w:pPr>
        <w:pStyle w:val="Heading1"/>
        <w:spacing w:after="120" w:before="240"/>
      </w:pPr>
      <w:r>
        <w:t xml:space="preserve">1. Why Question Structure Matters</w:t>
      </w:r>
    </w:p>
    <w:p>
      <w:pPr>
        <w:spacing w:after="160"/>
      </w:pPr>
      <w:r>
        <w:t xml:space="preserve">The agent answers strictly from indexed documentation (or an uploaded/temporary file) and never invents information it cannot find. This means the quality of the answer depends heavily on how clearly and specifically the question is asked. A vague question retrieves vague or partial matches; a specific question retrieves the exact relevant section.</w:t>
      </w:r>
    </w:p>
    <w:p>
      <w:pPr>
        <w:pStyle w:val="Heading1"/>
        <w:spacing w:after="120" w:before="240"/>
      </w:pPr>
      <w:r>
        <w:t xml:space="preserve">2. Choosing the Right Mode First</w:t>
      </w:r>
    </w:p>
    <w:p>
      <w:pPr>
        <w:spacing w:after="160"/>
      </w:pPr>
      <w:r>
        <w:t xml:space="preserve">Before typing a question, pick the correct mode in the app — this determines where the agent looks for the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 Base — searches all permanently indexed vendor documentation (VMware, NetApp, Dell EMC, Veeam, ExaGrid, Hitachi, Microsoft).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Temporary Document — searches only a file uploaded just for this session; nothing is saved.</w:t>
      </w:r>
    </w:p>
    <w:p>
      <w:pPr>
        <w:spacing w:after="160"/>
      </w:pPr>
      <w:r>
        <w:t xml:space="preserve">Within Knowledge Base mode, use the category dropdown to narrow the search to one vendor (e.g., "veeam") instead of "All" whenever the question is vendor-specific. This is faster and prevents irrelevant results from other vendors' documents.</w:t>
      </w:r>
    </w:p>
    <w:p>
      <w:pPr>
        <w:pStyle w:val="Heading1"/>
        <w:spacing w:after="120" w:before="240"/>
      </w:pPr>
      <w:r>
        <w:t xml:space="preserve">3. General Principles for a Good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 specific about the product, version, and component. "How do I fix a backup failure" is weak; "Why does a Veeam Backup &amp; Replication job fail with insufficient repository space" is strong.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Include the exact error message or error code if you have one, in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 the platform/hypervisor if relevant (VMware, Hyper-V, Nutanix) — many issues are platform-specific.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 one question at a time. Combining three questions in one message reduces retrieval accuracy for all three.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follow-up questions naturally (e.g., "elaborate" or "what about for Hyper-V?") — the agent retains context from the previous question in the same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the answer says the documentation does not cover something, that is the agent being accurate — it will not guess. Rephrasing with more specific terms sometimes helps; otherwise the information may genuinely not be in the indexed documents.</w:t>
      </w:r>
    </w:p>
    <w:p>
      <w:pPr>
        <w:pStyle w:val="Heading1"/>
        <w:spacing w:after="120" w:before="240"/>
      </w:pPr>
      <w:r>
        <w:t xml:space="preserve">4. Structured Question Template</w:t>
      </w:r>
    </w:p>
    <w:p>
      <w:pPr>
        <w:spacing w:after="160"/>
      </w:pPr>
      <w:r>
        <w:t xml:space="preserve">For technical troubleshooting questions, following this shape produces the most accurate answers:</w:t>
      </w:r>
    </w:p>
    <w:p>
      <w:pPr>
        <w:spacing w:after="60" w:before="120"/>
      </w:pPr>
      <w:r>
        <w:rPr>
          <w:b/>
          <w:bCs/>
          <w:color w:val="2E7D32"/>
          <w:sz w:val="20"/>
          <w:szCs w:val="20"/>
        </w:rPr>
        <w:t xml:space="preserve">TEMPLATE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[Product/Vendor] + [specific component or feature] + [exact problem or error] + [context, if relevant]</w:t>
            </w:r>
          </w:p>
        </w:tc>
      </w:tr>
    </w:tbl>
    <w:p>
      <w:pPr>
        <w:spacing w:after="160"/>
      </w:pPr>
      <w:r>
        <w:t xml:space="preserve">Context can include the platform (VMware/Hyper-V/Nutanix), a version number, or what you were doing when the issue occurred.</w:t>
      </w:r>
    </w:p>
    <w:p>
      <w:pPr>
        <w:pStyle w:val="Heading1"/>
        <w:spacing w:after="120" w:before="240"/>
      </w:pPr>
      <w:r>
        <w:t xml:space="preserve">5. Examples: Weak vs. Strong Questions</w:t>
      </w:r>
    </w:p>
    <w:p>
      <w:pPr>
        <w:spacing w:after="60" w:before="100"/>
      </w:pPr>
      <w:r>
        <w:rPr>
          <w:b/>
          <w:bCs/>
        </w:rPr>
        <w:t xml:space="preserve">Example A — Backup failure</w:t>
      </w:r>
    </w:p>
    <w:p>
      <w:pPr>
        <w:spacing w:after="60" w:before="120"/>
      </w:pPr>
      <w:r>
        <w:rPr>
          <w:b/>
          <w:bCs/>
          <w:color w:val="B00020"/>
          <w:sz w:val="20"/>
          <w:szCs w:val="20"/>
        </w:rPr>
        <w:t xml:space="preserve">Weak: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backup is not working</w:t>
            </w:r>
          </w:p>
        </w:tc>
      </w:tr>
    </w:tbl>
    <w:p>
      <w:pPr>
        <w:spacing w:after="60" w:before="120"/>
      </w:pPr>
      <w:r>
        <w:rPr>
          <w:b/>
          <w:bCs/>
          <w:color w:val="2E7D32"/>
          <w:sz w:val="20"/>
          <w:szCs w:val="20"/>
        </w:rPr>
        <w:t xml:space="preserve">Strong: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Veeam Backup &amp; Replication job fails with "insufficient disk space"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 the target repository. What are the recommended troubleshooting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steps?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Example B — Vendor-specific lookup</w:t>
      </w:r>
    </w:p>
    <w:p>
      <w:pPr>
        <w:spacing w:after="60" w:before="120"/>
      </w:pPr>
      <w:r>
        <w:rPr>
          <w:b/>
          <w:bCs/>
          <w:color w:val="B00020"/>
          <w:sz w:val="20"/>
          <w:szCs w:val="20"/>
        </w:rPr>
        <w:t xml:space="preserve">Weak: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tell me about storage</w:t>
            </w:r>
          </w:p>
        </w:tc>
      </w:tr>
    </w:tbl>
    <w:p>
      <w:pPr>
        <w:spacing w:after="60" w:before="120"/>
      </w:pPr>
      <w:r>
        <w:rPr>
          <w:b/>
          <w:bCs/>
          <w:color w:val="2E7D32"/>
          <w:sz w:val="20"/>
          <w:szCs w:val="20"/>
        </w:rPr>
        <w:t xml:space="preserve">Strong: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What are the AFF A-Series storage efficiency features in ONTAP 9,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specifically around inline compression and deduplication?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Example C — Follow-up in the same session</w:t>
      </w:r>
    </w:p>
    <w:p>
      <w:pPr>
        <w:spacing w:after="60" w:before="120"/>
      </w:pPr>
      <w:r>
        <w:rPr>
          <w:b/>
          <w:bCs/>
          <w:color w:val="2E7D32"/>
          <w:sz w:val="20"/>
          <w:szCs w:val="20"/>
        </w:rPr>
        <w:t xml:space="preserve">First question: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What is active-active multipathing on AFF systems?</w:t>
            </w:r>
          </w:p>
        </w:tc>
      </w:tr>
    </w:tbl>
    <w:p>
      <w:pPr>
        <w:spacing w:after="60" w:before="120"/>
      </w:pPr>
      <w:r>
        <w:rPr>
          <w:b/>
          <w:bCs/>
          <w:color w:val="2E7D32"/>
          <w:sz w:val="20"/>
          <w:szCs w:val="20"/>
        </w:rPr>
        <w:t xml:space="preserve">Good follow-up: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Does this apply to ASA r2 systems as well?</w:t>
            </w:r>
          </w:p>
        </w:tc>
      </w:tr>
    </w:tbl>
    <w:p>
      <w:pPr>
        <w:spacing w:after="60" w:before="120"/>
      </w:pPr>
      <w:r>
        <w:rPr>
          <w:b/>
          <w:bCs/>
          <w:color w:val="B00020"/>
          <w:sz w:val="20"/>
          <w:szCs w:val="20"/>
        </w:rPr>
        <w:t xml:space="preserve">Weak follow-up: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elaborate more</w:t>
            </w:r>
          </w:p>
        </w:tc>
      </w:tr>
    </w:tbl>
    <w:p>
      <w:pPr>
        <w:spacing w:after="160"/>
      </w:pPr>
      <w:r>
        <w:t xml:space="preserve">A short follow-up like "elaborate" still works because the agent includes the previous question for context — but adding a specific angle ("...for ASA r2 systems") retrieves more precise information than a bare "elaborate."</w:t>
      </w:r>
    </w:p>
    <w:p>
      <w:pPr>
        <w:pStyle w:val="Heading1"/>
        <w:spacing w:after="120" w:before="240"/>
      </w:pPr>
      <w:r>
        <w:t xml:space="preserve">6. Using the Temporary Document Mode</w:t>
      </w:r>
    </w:p>
    <w:p>
      <w:pPr>
        <w:spacing w:after="160"/>
      </w:pPr>
      <w:r>
        <w:t xml:space="preserve">When asking about an uploaded file rather than the shared knowledge 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 the file uploaded successfully (a confirmation message appears in the sidebar) before asking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 the document type or section if the file is long, e.g., "According to the recommended maximums table, what is the limit for concurrent jobs?"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Remember this document is not saved — if you need to ask about it again later, re-upload it in a new session.</w:t>
      </w:r>
    </w:p>
    <w:p>
      <w:pPr>
        <w:pStyle w:val="Heading1"/>
        <w:spacing w:after="120" w:before="240"/>
      </w:pPr>
      <w:r>
        <w:t xml:space="preserve">7. Quick Checklist Before 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Correct mode selected (Knowledge Base vs. Temporary Document)?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Category narrowed to the right vendor, if known?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Product/vendor named explicitly?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Exact error message or code included, if available?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One question per message?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Platform/version mentioned if it affects the answer?</w:t>
      </w:r>
    </w:p>
    <w:p>
      <w:pPr>
        <w:pBdr>
          <w:bottom w:val="single" w:color="CCCCCC" w:sz="6" w:space="1"/>
        </w:pBdr>
        <w:spacing w:after="200"/>
      </w:pPr>
    </w:p>
    <w:p>
      <w:r>
        <w:rPr>
          <w:i/>
          <w:iCs/>
          <w:color w:val="888888"/>
          <w:sz w:val="18"/>
          <w:szCs w:val="18"/>
        </w:rPr>
        <w:t xml:space="preserve">Internal use — Troubleshooting Agent project documentation.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2026-09-15T04:06:00.416Z</dcterms:created>
  <dcterms:modified xsi:type="dcterms:W3CDTF">2026-09-15T04:06:00.425Z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