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16FB92" w14:textId="77777777" w:rsidR="0066119A" w:rsidRPr="0066119A" w:rsidRDefault="0066119A" w:rsidP="001208B2">
      <w:pPr>
        <w:jc w:val="center"/>
        <w:rPr>
          <w:b/>
          <w:bCs/>
          <w:color w:val="FF0000"/>
          <w:sz w:val="32"/>
          <w:szCs w:val="32"/>
        </w:rPr>
      </w:pPr>
      <w:r w:rsidRPr="0066119A">
        <w:rPr>
          <w:b/>
          <w:bCs/>
          <w:color w:val="FF0000"/>
          <w:sz w:val="32"/>
          <w:szCs w:val="32"/>
        </w:rPr>
        <w:t>Key Insights from the EDA:</w:t>
      </w:r>
    </w:p>
    <w:p w14:paraId="15BDBF3F" w14:textId="77777777" w:rsidR="0066119A" w:rsidRPr="0066119A" w:rsidRDefault="0066119A" w:rsidP="0066119A">
      <w:pPr>
        <w:rPr>
          <w:b/>
          <w:bCs/>
        </w:rPr>
      </w:pPr>
      <w:r w:rsidRPr="0066119A">
        <w:rPr>
          <w:b/>
          <w:bCs/>
        </w:rPr>
        <w:t>1. Data Overview</w:t>
      </w:r>
    </w:p>
    <w:p w14:paraId="2B5E9800" w14:textId="509A6E5C" w:rsidR="0066119A" w:rsidRPr="0066119A" w:rsidRDefault="0066119A" w:rsidP="0066119A">
      <w:pPr>
        <w:numPr>
          <w:ilvl w:val="0"/>
          <w:numId w:val="1"/>
        </w:numPr>
      </w:pPr>
      <w:r w:rsidRPr="0066119A">
        <w:t xml:space="preserve">The dataset contains </w:t>
      </w:r>
      <w:r w:rsidRPr="00645DE0">
        <w:rPr>
          <w:b/>
          <w:bCs/>
        </w:rPr>
        <w:t>44992</w:t>
      </w:r>
      <w:r>
        <w:t xml:space="preserve"> </w:t>
      </w:r>
      <w:r w:rsidRPr="0066119A">
        <w:t xml:space="preserve">entries with </w:t>
      </w:r>
      <w:r w:rsidRPr="00645DE0">
        <w:rPr>
          <w:b/>
          <w:bCs/>
        </w:rPr>
        <w:t>15</w:t>
      </w:r>
      <w:r w:rsidRPr="0066119A">
        <w:t xml:space="preserve"> columns</w:t>
      </w:r>
    </w:p>
    <w:p w14:paraId="66F9EFBF" w14:textId="77777777" w:rsidR="0066119A" w:rsidRPr="0066119A" w:rsidRDefault="0066119A" w:rsidP="0066119A">
      <w:pPr>
        <w:numPr>
          <w:ilvl w:val="0"/>
          <w:numId w:val="1"/>
        </w:numPr>
      </w:pPr>
      <w:r w:rsidRPr="0066119A">
        <w:t>No missing values in any column</w:t>
      </w:r>
    </w:p>
    <w:p w14:paraId="1D6F519F" w14:textId="77777777" w:rsidR="0066119A" w:rsidRPr="0066119A" w:rsidRDefault="0066119A" w:rsidP="0066119A">
      <w:pPr>
        <w:numPr>
          <w:ilvl w:val="0"/>
          <w:numId w:val="1"/>
        </w:numPr>
      </w:pPr>
      <w:r w:rsidRPr="0066119A">
        <w:t>Mix of numerical and categorical variables related to personal information and loan details</w:t>
      </w:r>
    </w:p>
    <w:p w14:paraId="529B156E" w14:textId="77777777" w:rsidR="0066119A" w:rsidRPr="0066119A" w:rsidRDefault="0066119A" w:rsidP="0066119A">
      <w:pPr>
        <w:rPr>
          <w:b/>
          <w:bCs/>
        </w:rPr>
      </w:pPr>
      <w:r w:rsidRPr="0066119A">
        <w:rPr>
          <w:b/>
          <w:bCs/>
        </w:rPr>
        <w:t>2. Demographic Insights</w:t>
      </w:r>
    </w:p>
    <w:p w14:paraId="2292008B" w14:textId="77777777" w:rsidR="0066119A" w:rsidRPr="0066119A" w:rsidRDefault="0066119A" w:rsidP="0066119A">
      <w:pPr>
        <w:numPr>
          <w:ilvl w:val="0"/>
          <w:numId w:val="2"/>
        </w:numPr>
      </w:pPr>
      <w:r w:rsidRPr="0066119A">
        <w:rPr>
          <w:b/>
          <w:bCs/>
        </w:rPr>
        <w:t>Age</w:t>
      </w:r>
      <w:r w:rsidRPr="0066119A">
        <w:t xml:space="preserve">: Most applicants are </w:t>
      </w:r>
      <w:r w:rsidRPr="00645DE0">
        <w:rPr>
          <w:b/>
          <w:bCs/>
        </w:rPr>
        <w:t>young</w:t>
      </w:r>
      <w:r w:rsidRPr="0066119A">
        <w:t xml:space="preserve"> (20-21 years old)</w:t>
      </w:r>
    </w:p>
    <w:p w14:paraId="562B9755" w14:textId="77777777" w:rsidR="0066119A" w:rsidRPr="0066119A" w:rsidRDefault="0066119A" w:rsidP="0066119A">
      <w:pPr>
        <w:numPr>
          <w:ilvl w:val="0"/>
          <w:numId w:val="2"/>
        </w:numPr>
      </w:pPr>
      <w:r w:rsidRPr="0066119A">
        <w:rPr>
          <w:b/>
          <w:bCs/>
        </w:rPr>
        <w:t>Gender</w:t>
      </w:r>
      <w:r w:rsidRPr="0066119A">
        <w:t xml:space="preserve">: Slightly more </w:t>
      </w:r>
      <w:r w:rsidRPr="00645DE0">
        <w:rPr>
          <w:b/>
          <w:bCs/>
        </w:rPr>
        <w:t>male</w:t>
      </w:r>
      <w:r w:rsidRPr="0066119A">
        <w:t xml:space="preserve"> applicants than female</w:t>
      </w:r>
    </w:p>
    <w:p w14:paraId="6159729E" w14:textId="77777777" w:rsidR="0066119A" w:rsidRPr="00645DE0" w:rsidRDefault="0066119A" w:rsidP="0066119A">
      <w:pPr>
        <w:numPr>
          <w:ilvl w:val="0"/>
          <w:numId w:val="2"/>
        </w:numPr>
        <w:rPr>
          <w:b/>
          <w:bCs/>
        </w:rPr>
      </w:pPr>
      <w:r w:rsidRPr="0066119A">
        <w:rPr>
          <w:b/>
          <w:bCs/>
        </w:rPr>
        <w:t>Education</w:t>
      </w:r>
      <w:r w:rsidRPr="0066119A">
        <w:t xml:space="preserve">: Most common education levels are </w:t>
      </w:r>
      <w:r w:rsidRPr="00645DE0">
        <w:rPr>
          <w:b/>
          <w:bCs/>
        </w:rPr>
        <w:t>High School and Bachelor's degree</w:t>
      </w:r>
    </w:p>
    <w:p w14:paraId="3F8EEFF7" w14:textId="30ADF481" w:rsidR="0066119A" w:rsidRPr="0066119A" w:rsidRDefault="0066119A" w:rsidP="0066119A">
      <w:pPr>
        <w:numPr>
          <w:ilvl w:val="0"/>
          <w:numId w:val="2"/>
        </w:numPr>
      </w:pPr>
      <w:r w:rsidRPr="0066119A">
        <w:rPr>
          <w:b/>
          <w:bCs/>
        </w:rPr>
        <w:t>Income</w:t>
      </w:r>
      <w:r w:rsidRPr="0066119A">
        <w:t>: Wide range from </w:t>
      </w:r>
      <w:r w:rsidRPr="00645DE0">
        <w:rPr>
          <w:b/>
          <w:bCs/>
        </w:rPr>
        <w:t>9,650</w:t>
      </w:r>
      <w:r w:rsidR="00645DE0" w:rsidRPr="00645DE0">
        <w:rPr>
          <w:b/>
          <w:bCs/>
        </w:rPr>
        <w:t xml:space="preserve"> </w:t>
      </w:r>
      <w:r w:rsidRPr="00645DE0">
        <w:rPr>
          <w:b/>
          <w:bCs/>
          <w:i/>
          <w:iCs/>
        </w:rPr>
        <w:t>to</w:t>
      </w:r>
      <w:r w:rsidR="00645DE0" w:rsidRPr="00645DE0">
        <w:rPr>
          <w:b/>
          <w:bCs/>
          <w:i/>
          <w:iCs/>
        </w:rPr>
        <w:t xml:space="preserve"> </w:t>
      </w:r>
      <w:r w:rsidRPr="00645DE0">
        <w:rPr>
          <w:b/>
          <w:bCs/>
        </w:rPr>
        <w:t>301,035</w:t>
      </w:r>
      <w:r w:rsidRPr="0066119A">
        <w:t xml:space="preserve"> with most between 30,000−100,000</w:t>
      </w:r>
    </w:p>
    <w:p w14:paraId="6998A507" w14:textId="77777777" w:rsidR="0066119A" w:rsidRPr="0066119A" w:rsidRDefault="0066119A" w:rsidP="0066119A">
      <w:pPr>
        <w:numPr>
          <w:ilvl w:val="0"/>
          <w:numId w:val="2"/>
        </w:numPr>
      </w:pPr>
      <w:r w:rsidRPr="0066119A">
        <w:rPr>
          <w:b/>
          <w:bCs/>
        </w:rPr>
        <w:t>Employment Experience</w:t>
      </w:r>
      <w:r w:rsidRPr="0066119A">
        <w:t xml:space="preserve">: Most applicants have </w:t>
      </w:r>
      <w:r w:rsidRPr="00645DE0">
        <w:rPr>
          <w:b/>
          <w:bCs/>
        </w:rPr>
        <w:t>0-3</w:t>
      </w:r>
      <w:r w:rsidRPr="0066119A">
        <w:t xml:space="preserve"> years of experience</w:t>
      </w:r>
    </w:p>
    <w:p w14:paraId="1FFFF6A1" w14:textId="77777777" w:rsidR="0066119A" w:rsidRPr="0066119A" w:rsidRDefault="0066119A" w:rsidP="0066119A">
      <w:pPr>
        <w:rPr>
          <w:b/>
          <w:bCs/>
        </w:rPr>
      </w:pPr>
      <w:r w:rsidRPr="0066119A">
        <w:rPr>
          <w:b/>
          <w:bCs/>
        </w:rPr>
        <w:t>3. Loan Characteristics</w:t>
      </w:r>
    </w:p>
    <w:p w14:paraId="39A54658" w14:textId="738A1951" w:rsidR="0066119A" w:rsidRPr="0066119A" w:rsidRDefault="0066119A" w:rsidP="0066119A">
      <w:pPr>
        <w:numPr>
          <w:ilvl w:val="0"/>
          <w:numId w:val="3"/>
        </w:numPr>
      </w:pPr>
      <w:r w:rsidRPr="0066119A">
        <w:rPr>
          <w:b/>
          <w:bCs/>
        </w:rPr>
        <w:t>Loan Amount</w:t>
      </w:r>
      <w:r w:rsidRPr="0066119A">
        <w:t>: Ranges from </w:t>
      </w:r>
      <w:r w:rsidRPr="00645DE0">
        <w:rPr>
          <w:b/>
          <w:bCs/>
        </w:rPr>
        <w:t xml:space="preserve">200 </w:t>
      </w:r>
      <w:r w:rsidRPr="00645DE0">
        <w:rPr>
          <w:b/>
          <w:bCs/>
          <w:i/>
          <w:iCs/>
        </w:rPr>
        <w:t xml:space="preserve">to </w:t>
      </w:r>
      <w:r w:rsidRPr="00645DE0">
        <w:rPr>
          <w:b/>
          <w:bCs/>
        </w:rPr>
        <w:t>30,000</w:t>
      </w:r>
      <w:r w:rsidRPr="0066119A">
        <w:t xml:space="preserve"> with median around </w:t>
      </w:r>
      <w:r w:rsidRPr="00645DE0">
        <w:rPr>
          <w:b/>
          <w:bCs/>
        </w:rPr>
        <w:t>$7,000</w:t>
      </w:r>
      <w:r>
        <w:t xml:space="preserve"> and </w:t>
      </w:r>
      <w:r w:rsidRPr="0066119A">
        <w:t>Highest for </w:t>
      </w:r>
      <w:r w:rsidRPr="0066119A">
        <w:rPr>
          <w:b/>
          <w:bCs/>
        </w:rPr>
        <w:t>VENTURE</w:t>
      </w:r>
      <w:r w:rsidRPr="0066119A">
        <w:t> loans, lowest for </w:t>
      </w:r>
      <w:r w:rsidRPr="0066119A">
        <w:rPr>
          <w:b/>
          <w:bCs/>
        </w:rPr>
        <w:t>PERSONAL</w:t>
      </w:r>
      <w:r w:rsidRPr="0066119A">
        <w:t> loans.</w:t>
      </w:r>
    </w:p>
    <w:p w14:paraId="14887F3B" w14:textId="2FBF8227" w:rsidR="0066119A" w:rsidRPr="0066119A" w:rsidRDefault="0066119A" w:rsidP="0066119A">
      <w:pPr>
        <w:numPr>
          <w:ilvl w:val="0"/>
          <w:numId w:val="3"/>
        </w:numPr>
      </w:pPr>
      <w:r w:rsidRPr="0066119A">
        <w:rPr>
          <w:b/>
          <w:bCs/>
        </w:rPr>
        <w:t>Interest Rates</w:t>
      </w:r>
      <w:r w:rsidRPr="0066119A">
        <w:t xml:space="preserve">: Range from </w:t>
      </w:r>
      <w:r w:rsidRPr="00645DE0">
        <w:rPr>
          <w:b/>
          <w:bCs/>
        </w:rPr>
        <w:t>5.42% to 20%,</w:t>
      </w:r>
      <w:r w:rsidRPr="0066119A">
        <w:t xml:space="preserve"> with median around </w:t>
      </w:r>
      <w:r w:rsidRPr="00645DE0">
        <w:rPr>
          <w:b/>
          <w:bCs/>
        </w:rPr>
        <w:t>11%</w:t>
      </w:r>
      <w:r>
        <w:t xml:space="preserve"> and </w:t>
      </w:r>
      <w:r w:rsidRPr="0066119A">
        <w:t>Highest for </w:t>
      </w:r>
      <w:r w:rsidRPr="0066119A">
        <w:rPr>
          <w:b/>
          <w:bCs/>
        </w:rPr>
        <w:t>DEBTCONSOLIDATION</w:t>
      </w:r>
      <w:r w:rsidRPr="0066119A">
        <w:t>, lowest for </w:t>
      </w:r>
      <w:r w:rsidRPr="0066119A">
        <w:rPr>
          <w:b/>
          <w:bCs/>
        </w:rPr>
        <w:t>EDUCATION</w:t>
      </w:r>
      <w:r>
        <w:t>.</w:t>
      </w:r>
    </w:p>
    <w:p w14:paraId="7AFC4A5E" w14:textId="4F1F6F94" w:rsidR="0066119A" w:rsidRPr="0066119A" w:rsidRDefault="0066119A" w:rsidP="0066119A">
      <w:pPr>
        <w:numPr>
          <w:ilvl w:val="0"/>
          <w:numId w:val="3"/>
        </w:numPr>
      </w:pPr>
      <w:r w:rsidRPr="0066119A">
        <w:rPr>
          <w:b/>
          <w:bCs/>
        </w:rPr>
        <w:t>Loan Intent</w:t>
      </w:r>
      <w:r w:rsidRPr="0066119A">
        <w:t>: Most common</w:t>
      </w:r>
      <w:r>
        <w:t xml:space="preserve"> purposes:</w:t>
      </w:r>
      <w:r w:rsidRPr="0066119A">
        <w:t> </w:t>
      </w:r>
      <w:r w:rsidRPr="0066119A">
        <w:rPr>
          <w:b/>
          <w:bCs/>
        </w:rPr>
        <w:t>EDUCATION (28%)</w:t>
      </w:r>
      <w:r w:rsidRPr="0066119A">
        <w:t>, </w:t>
      </w:r>
      <w:r w:rsidRPr="0066119A">
        <w:rPr>
          <w:b/>
          <w:bCs/>
        </w:rPr>
        <w:t>MEDICAL (21%)</w:t>
      </w:r>
      <w:r w:rsidRPr="0066119A">
        <w:t>, </w:t>
      </w:r>
      <w:r w:rsidRPr="0066119A">
        <w:rPr>
          <w:b/>
          <w:bCs/>
        </w:rPr>
        <w:t>PERSONAL (19%)</w:t>
      </w:r>
    </w:p>
    <w:p w14:paraId="60BEDD40" w14:textId="77777777" w:rsidR="0066119A" w:rsidRPr="0066119A" w:rsidRDefault="0066119A" w:rsidP="0066119A">
      <w:pPr>
        <w:rPr>
          <w:b/>
          <w:bCs/>
        </w:rPr>
      </w:pPr>
      <w:r w:rsidRPr="0066119A">
        <w:rPr>
          <w:b/>
          <w:bCs/>
        </w:rPr>
        <w:t>4. Credit Profile</w:t>
      </w:r>
    </w:p>
    <w:p w14:paraId="153AD42B" w14:textId="77777777" w:rsidR="0066119A" w:rsidRPr="0066119A" w:rsidRDefault="0066119A" w:rsidP="0066119A">
      <w:pPr>
        <w:numPr>
          <w:ilvl w:val="0"/>
          <w:numId w:val="4"/>
        </w:numPr>
      </w:pPr>
      <w:r w:rsidRPr="0066119A">
        <w:rPr>
          <w:b/>
          <w:bCs/>
        </w:rPr>
        <w:t>Credit Score</w:t>
      </w:r>
      <w:r w:rsidRPr="0066119A">
        <w:t xml:space="preserve">: Ranges from </w:t>
      </w:r>
      <w:r w:rsidRPr="00645DE0">
        <w:rPr>
          <w:b/>
          <w:bCs/>
        </w:rPr>
        <w:t>449 to 722</w:t>
      </w:r>
    </w:p>
    <w:p w14:paraId="0CEA2906" w14:textId="28EE9B06" w:rsidR="0066119A" w:rsidRPr="00645DE0" w:rsidRDefault="0066119A" w:rsidP="001224B7">
      <w:pPr>
        <w:numPr>
          <w:ilvl w:val="0"/>
          <w:numId w:val="4"/>
        </w:numPr>
        <w:rPr>
          <w:b/>
          <w:bCs/>
        </w:rPr>
      </w:pPr>
      <w:r w:rsidRPr="0066119A">
        <w:rPr>
          <w:b/>
          <w:bCs/>
        </w:rPr>
        <w:t>Credit Categories</w:t>
      </w:r>
      <w:r w:rsidRPr="0066119A">
        <w:t>:</w:t>
      </w:r>
      <w:r>
        <w:t xml:space="preserve"> </w:t>
      </w:r>
      <w:r w:rsidRPr="0066119A">
        <w:t xml:space="preserve"> Fair (500-669) = </w:t>
      </w:r>
      <w:r w:rsidRPr="00645DE0">
        <w:rPr>
          <w:b/>
          <w:bCs/>
        </w:rPr>
        <w:t>65%</w:t>
      </w:r>
      <w:r w:rsidRPr="0066119A">
        <w:t xml:space="preserve">, Good (670-739) = </w:t>
      </w:r>
      <w:r w:rsidRPr="00645DE0">
        <w:rPr>
          <w:b/>
          <w:bCs/>
        </w:rPr>
        <w:t>25%</w:t>
      </w:r>
      <w:r w:rsidRPr="0066119A">
        <w:t xml:space="preserve">, Poor (&lt;500) = </w:t>
      </w:r>
      <w:r w:rsidRPr="00645DE0">
        <w:rPr>
          <w:b/>
          <w:bCs/>
        </w:rPr>
        <w:t>10%</w:t>
      </w:r>
    </w:p>
    <w:p w14:paraId="0E3495E3" w14:textId="77777777" w:rsidR="0066119A" w:rsidRPr="0066119A" w:rsidRDefault="0066119A" w:rsidP="0066119A">
      <w:pPr>
        <w:numPr>
          <w:ilvl w:val="0"/>
          <w:numId w:val="4"/>
        </w:numPr>
      </w:pPr>
      <w:r w:rsidRPr="0066119A">
        <w:rPr>
          <w:b/>
          <w:bCs/>
        </w:rPr>
        <w:t>Credit History Length</w:t>
      </w:r>
      <w:r w:rsidRPr="0066119A">
        <w:t xml:space="preserve">: Most applicants have </w:t>
      </w:r>
      <w:r w:rsidRPr="00645DE0">
        <w:rPr>
          <w:b/>
          <w:bCs/>
        </w:rPr>
        <w:t>2-4</w:t>
      </w:r>
      <w:r w:rsidRPr="0066119A">
        <w:t xml:space="preserve"> years of credit history</w:t>
      </w:r>
    </w:p>
    <w:p w14:paraId="60C639B5" w14:textId="77777777" w:rsidR="0066119A" w:rsidRPr="0066119A" w:rsidRDefault="0066119A" w:rsidP="0066119A">
      <w:pPr>
        <w:numPr>
          <w:ilvl w:val="0"/>
          <w:numId w:val="4"/>
        </w:numPr>
        <w:shd w:val="clear" w:color="auto" w:fill="FFFFFF" w:themeFill="background1"/>
        <w:spacing w:after="0" w:line="360" w:lineRule="auto"/>
        <w:ind w:left="709"/>
        <w:rPr>
          <w:rFonts w:ascii="Segoe UI" w:eastAsia="Times New Roman" w:hAnsi="Segoe UI" w:cs="Segoe UI"/>
          <w:color w:val="000000" w:themeColor="text1"/>
          <w:kern w:val="0"/>
          <w:sz w:val="24"/>
          <w:szCs w:val="24"/>
          <w:lang w:eastAsia="en-IN"/>
          <w14:ligatures w14:val="none"/>
        </w:rPr>
      </w:pPr>
      <w:r w:rsidRPr="0066119A">
        <w:rPr>
          <w:b/>
          <w:bCs/>
          <w:color w:val="000000" w:themeColor="text1"/>
        </w:rPr>
        <w:t>Previous Defaults</w:t>
      </w:r>
      <w:r w:rsidRPr="0066119A">
        <w:rPr>
          <w:color w:val="000000" w:themeColor="text1"/>
        </w:rPr>
        <w:t xml:space="preserve">: About </w:t>
      </w:r>
      <w:r w:rsidRPr="00645DE0">
        <w:rPr>
          <w:b/>
          <w:bCs/>
          <w:color w:val="000000" w:themeColor="text1"/>
        </w:rPr>
        <w:t>40%</w:t>
      </w:r>
      <w:r w:rsidRPr="0066119A">
        <w:rPr>
          <w:color w:val="000000" w:themeColor="text1"/>
        </w:rPr>
        <w:t xml:space="preserve"> of applicants have defaulted on previous loans.</w:t>
      </w:r>
    </w:p>
    <w:p w14:paraId="33D5AA9E" w14:textId="62B09CB5" w:rsidR="0066119A" w:rsidRPr="00645DE0" w:rsidRDefault="0066119A" w:rsidP="0066119A">
      <w:pPr>
        <w:numPr>
          <w:ilvl w:val="0"/>
          <w:numId w:val="4"/>
        </w:numPr>
        <w:shd w:val="clear" w:color="auto" w:fill="FFFFFF" w:themeFill="background1"/>
        <w:spacing w:after="0" w:line="360" w:lineRule="auto"/>
        <w:ind w:left="709"/>
        <w:rPr>
          <w:rFonts w:eastAsia="Times New Roman" w:cstheme="minorHAnsi"/>
          <w:b/>
          <w:bCs/>
          <w:color w:val="000000" w:themeColor="text1"/>
          <w:kern w:val="0"/>
          <w:lang w:eastAsia="en-IN"/>
          <w14:ligatures w14:val="none"/>
        </w:rPr>
      </w:pPr>
      <w:r w:rsidRPr="0066119A">
        <w:rPr>
          <w:rFonts w:eastAsia="Times New Roman" w:cstheme="minorHAnsi"/>
          <w:b/>
          <w:bCs/>
          <w:color w:val="000000" w:themeColor="text1"/>
          <w:kern w:val="0"/>
          <w:lang w:eastAsia="en-IN"/>
          <w14:ligatures w14:val="none"/>
        </w:rPr>
        <w:t>Default rate by credit category:</w:t>
      </w:r>
      <w:r w:rsidRPr="0066119A">
        <w:rPr>
          <w:rFonts w:eastAsia="Times New Roman" w:cstheme="minorHAnsi"/>
          <w:color w:val="000000" w:themeColor="text1"/>
          <w:kern w:val="0"/>
          <w:lang w:eastAsia="en-IN"/>
          <w14:ligatures w14:val="none"/>
        </w:rPr>
        <w:t xml:space="preserve"> Poor =</w:t>
      </w:r>
      <w:r w:rsidRPr="00645DE0">
        <w:rPr>
          <w:rFonts w:eastAsia="Times New Roman" w:cstheme="minorHAnsi"/>
          <w:b/>
          <w:bCs/>
          <w:color w:val="000000" w:themeColor="text1"/>
          <w:kern w:val="0"/>
          <w:lang w:eastAsia="en-IN"/>
          <w14:ligatures w14:val="none"/>
        </w:rPr>
        <w:t xml:space="preserve"> 60% </w:t>
      </w:r>
      <w:r w:rsidRPr="0066119A">
        <w:rPr>
          <w:rFonts w:eastAsia="Times New Roman" w:cstheme="minorHAnsi"/>
          <w:color w:val="000000" w:themeColor="text1"/>
          <w:kern w:val="0"/>
          <w:lang w:eastAsia="en-IN"/>
          <w14:ligatures w14:val="none"/>
        </w:rPr>
        <w:t xml:space="preserve">Fair = </w:t>
      </w:r>
      <w:r w:rsidRPr="00645DE0">
        <w:rPr>
          <w:rFonts w:eastAsia="Times New Roman" w:cstheme="minorHAnsi"/>
          <w:b/>
          <w:bCs/>
          <w:color w:val="000000" w:themeColor="text1"/>
          <w:kern w:val="0"/>
          <w:lang w:eastAsia="en-IN"/>
          <w14:ligatures w14:val="none"/>
        </w:rPr>
        <w:t>42%</w:t>
      </w:r>
      <w:r w:rsidRPr="0066119A">
        <w:rPr>
          <w:rFonts w:eastAsia="Times New Roman" w:cstheme="minorHAnsi"/>
          <w:color w:val="000000" w:themeColor="text1"/>
          <w:kern w:val="0"/>
          <w:lang w:eastAsia="en-IN"/>
          <w14:ligatures w14:val="none"/>
        </w:rPr>
        <w:t xml:space="preserve"> Good = </w:t>
      </w:r>
      <w:r w:rsidRPr="00645DE0">
        <w:rPr>
          <w:rFonts w:eastAsia="Times New Roman" w:cstheme="minorHAnsi"/>
          <w:b/>
          <w:bCs/>
          <w:color w:val="000000" w:themeColor="text1"/>
          <w:kern w:val="0"/>
          <w:lang w:eastAsia="en-IN"/>
          <w14:ligatures w14:val="none"/>
        </w:rPr>
        <w:t>20%</w:t>
      </w:r>
    </w:p>
    <w:p w14:paraId="0F2A40E4" w14:textId="257503E1" w:rsidR="0066119A" w:rsidRPr="0066119A" w:rsidRDefault="0066119A" w:rsidP="0066119A">
      <w:pPr>
        <w:rPr>
          <w:b/>
          <w:bCs/>
        </w:rPr>
      </w:pPr>
      <w:r w:rsidRPr="0066119A">
        <w:rPr>
          <w:b/>
          <w:bCs/>
        </w:rPr>
        <w:t xml:space="preserve">5. </w:t>
      </w:r>
      <w:r>
        <w:rPr>
          <w:b/>
          <w:bCs/>
        </w:rPr>
        <w:t>Key</w:t>
      </w:r>
      <w:r w:rsidRPr="0066119A">
        <w:rPr>
          <w:b/>
          <w:bCs/>
        </w:rPr>
        <w:t xml:space="preserve"> Relationships</w:t>
      </w:r>
    </w:p>
    <w:p w14:paraId="630813BD" w14:textId="77777777" w:rsidR="0066119A" w:rsidRPr="0066119A" w:rsidRDefault="0066119A" w:rsidP="0066119A">
      <w:pPr>
        <w:numPr>
          <w:ilvl w:val="0"/>
          <w:numId w:val="5"/>
        </w:numPr>
      </w:pPr>
      <w:r w:rsidRPr="0066119A">
        <w:rPr>
          <w:b/>
          <w:bCs/>
        </w:rPr>
        <w:t>Higher Loan Amounts</w:t>
      </w:r>
      <w:r w:rsidRPr="0066119A">
        <w:t xml:space="preserve">: Associated with </w:t>
      </w:r>
      <w:r w:rsidRPr="00645DE0">
        <w:rPr>
          <w:b/>
          <w:bCs/>
        </w:rPr>
        <w:t>EDUCATION</w:t>
      </w:r>
      <w:r w:rsidRPr="0066119A">
        <w:t xml:space="preserve"> intent, </w:t>
      </w:r>
      <w:r w:rsidRPr="00645DE0">
        <w:rPr>
          <w:b/>
          <w:bCs/>
        </w:rPr>
        <w:t>MORTGAGE</w:t>
      </w:r>
      <w:r w:rsidRPr="0066119A">
        <w:t xml:space="preserve"> home ownership, and higher education levels</w:t>
      </w:r>
    </w:p>
    <w:p w14:paraId="47EA1A3E" w14:textId="77777777" w:rsidR="0066119A" w:rsidRPr="0066119A" w:rsidRDefault="0066119A" w:rsidP="0066119A">
      <w:pPr>
        <w:numPr>
          <w:ilvl w:val="0"/>
          <w:numId w:val="5"/>
        </w:numPr>
      </w:pPr>
      <w:r w:rsidRPr="0066119A">
        <w:rPr>
          <w:b/>
          <w:bCs/>
        </w:rPr>
        <w:t>Higher Interest Rates</w:t>
      </w:r>
      <w:r w:rsidRPr="0066119A">
        <w:t>: Seen for applicants with "</w:t>
      </w:r>
      <w:r w:rsidRPr="00645DE0">
        <w:rPr>
          <w:b/>
          <w:bCs/>
        </w:rPr>
        <w:t>Poor</w:t>
      </w:r>
      <w:r w:rsidRPr="0066119A">
        <w:t xml:space="preserve">" credit scores and </w:t>
      </w:r>
      <w:r w:rsidRPr="00645DE0">
        <w:rPr>
          <w:b/>
          <w:bCs/>
        </w:rPr>
        <w:t>DEBTCONSOLIDATION</w:t>
      </w:r>
      <w:r w:rsidRPr="0066119A">
        <w:t xml:space="preserve"> loans</w:t>
      </w:r>
    </w:p>
    <w:p w14:paraId="7AFD9B87" w14:textId="77777777" w:rsidR="0066119A" w:rsidRPr="0066119A" w:rsidRDefault="0066119A" w:rsidP="0066119A">
      <w:pPr>
        <w:numPr>
          <w:ilvl w:val="0"/>
          <w:numId w:val="5"/>
        </w:numPr>
      </w:pPr>
      <w:r w:rsidRPr="0066119A">
        <w:rPr>
          <w:b/>
          <w:bCs/>
        </w:rPr>
        <w:t>Income to Loan Ratio</w:t>
      </w:r>
      <w:r w:rsidRPr="0066119A">
        <w:t xml:space="preserve">: </w:t>
      </w:r>
      <w:r w:rsidRPr="00645DE0">
        <w:rPr>
          <w:b/>
          <w:bCs/>
        </w:rPr>
        <w:t>Lowest</w:t>
      </w:r>
      <w:r w:rsidRPr="0066119A">
        <w:t xml:space="preserve"> for </w:t>
      </w:r>
      <w:r w:rsidRPr="00645DE0">
        <w:rPr>
          <w:b/>
          <w:bCs/>
        </w:rPr>
        <w:t>EDUCATION</w:t>
      </w:r>
      <w:r w:rsidRPr="0066119A">
        <w:t xml:space="preserve"> loans, suggesting these borrowers may be more leveraged</w:t>
      </w:r>
    </w:p>
    <w:p w14:paraId="6E449688" w14:textId="77777777" w:rsidR="0066119A" w:rsidRPr="0066119A" w:rsidRDefault="0066119A" w:rsidP="0066119A">
      <w:pPr>
        <w:numPr>
          <w:ilvl w:val="0"/>
          <w:numId w:val="5"/>
        </w:numPr>
      </w:pPr>
      <w:r w:rsidRPr="0066119A">
        <w:rPr>
          <w:b/>
          <w:bCs/>
        </w:rPr>
        <w:t>Default Rates</w:t>
      </w:r>
      <w:r w:rsidRPr="0066119A">
        <w:t xml:space="preserve">: Highest among "Poor" credit score </w:t>
      </w:r>
      <w:r w:rsidRPr="00645DE0">
        <w:rPr>
          <w:b/>
          <w:bCs/>
        </w:rPr>
        <w:t>category (60% default rate</w:t>
      </w:r>
      <w:r w:rsidRPr="0066119A">
        <w:t xml:space="preserve">) and lowest among "Good" </w:t>
      </w:r>
      <w:r w:rsidRPr="00645DE0">
        <w:rPr>
          <w:b/>
          <w:bCs/>
        </w:rPr>
        <w:t>(20%)</w:t>
      </w:r>
    </w:p>
    <w:p w14:paraId="5741ADFE" w14:textId="153F880F" w:rsidR="0066119A" w:rsidRPr="0066119A" w:rsidRDefault="0066119A" w:rsidP="0066119A">
      <w:pPr>
        <w:rPr>
          <w:b/>
          <w:bCs/>
        </w:rPr>
      </w:pPr>
      <w:r w:rsidRPr="0066119A">
        <w:rPr>
          <w:b/>
          <w:bCs/>
        </w:rPr>
        <w:t xml:space="preserve">6. </w:t>
      </w:r>
      <w:r>
        <w:rPr>
          <w:b/>
          <w:bCs/>
        </w:rPr>
        <w:t xml:space="preserve">Strong </w:t>
      </w:r>
      <w:r w:rsidRPr="0066119A">
        <w:rPr>
          <w:b/>
          <w:bCs/>
        </w:rPr>
        <w:t>Correlations</w:t>
      </w:r>
    </w:p>
    <w:p w14:paraId="7459E8F2" w14:textId="77777777" w:rsidR="0066119A" w:rsidRPr="0066119A" w:rsidRDefault="0066119A" w:rsidP="0066119A">
      <w:pPr>
        <w:numPr>
          <w:ilvl w:val="0"/>
          <w:numId w:val="16"/>
        </w:numPr>
        <w:spacing w:after="0"/>
      </w:pPr>
      <w:r w:rsidRPr="0066119A">
        <w:rPr>
          <w:b/>
          <w:bCs/>
        </w:rPr>
        <w:t>Positive</w:t>
      </w:r>
      <w:r w:rsidRPr="0066119A">
        <w:t>:</w:t>
      </w:r>
    </w:p>
    <w:p w14:paraId="384A7111" w14:textId="77777777" w:rsidR="0066119A" w:rsidRPr="0066119A" w:rsidRDefault="0066119A" w:rsidP="0066119A">
      <w:pPr>
        <w:numPr>
          <w:ilvl w:val="1"/>
          <w:numId w:val="16"/>
        </w:numPr>
        <w:spacing w:after="0"/>
      </w:pPr>
      <w:r w:rsidRPr="0066119A">
        <w:t>Credit score vs. credit history length</w:t>
      </w:r>
    </w:p>
    <w:p w14:paraId="1AE07B69" w14:textId="77777777" w:rsidR="0066119A" w:rsidRPr="0066119A" w:rsidRDefault="0066119A" w:rsidP="0066119A">
      <w:pPr>
        <w:numPr>
          <w:ilvl w:val="1"/>
          <w:numId w:val="16"/>
        </w:numPr>
        <w:spacing w:after="0"/>
      </w:pPr>
      <w:r w:rsidRPr="0066119A">
        <w:t>Income vs. loan amount</w:t>
      </w:r>
    </w:p>
    <w:p w14:paraId="30EB23A4" w14:textId="77777777" w:rsidR="0066119A" w:rsidRPr="0066119A" w:rsidRDefault="0066119A" w:rsidP="0066119A">
      <w:pPr>
        <w:numPr>
          <w:ilvl w:val="0"/>
          <w:numId w:val="16"/>
        </w:numPr>
        <w:spacing w:after="0"/>
      </w:pPr>
      <w:r w:rsidRPr="0066119A">
        <w:rPr>
          <w:b/>
          <w:bCs/>
        </w:rPr>
        <w:t>Negative</w:t>
      </w:r>
      <w:r w:rsidRPr="0066119A">
        <w:t>:</w:t>
      </w:r>
    </w:p>
    <w:p w14:paraId="47C322C5" w14:textId="77777777" w:rsidR="0066119A" w:rsidRPr="0066119A" w:rsidRDefault="0066119A" w:rsidP="0066119A">
      <w:pPr>
        <w:numPr>
          <w:ilvl w:val="1"/>
          <w:numId w:val="16"/>
        </w:numPr>
        <w:spacing w:after="0"/>
      </w:pPr>
      <w:r w:rsidRPr="0066119A">
        <w:t>Interest rate vs. credit score (better credit = lower rates)</w:t>
      </w:r>
    </w:p>
    <w:p w14:paraId="37E2101B" w14:textId="77777777" w:rsidR="001208B2" w:rsidRDefault="001208B2">
      <w:pPr>
        <w:rPr>
          <w:b/>
          <w:bCs/>
        </w:rPr>
      </w:pPr>
      <w:r>
        <w:rPr>
          <w:b/>
          <w:bCs/>
        </w:rPr>
        <w:br w:type="page"/>
      </w:r>
    </w:p>
    <w:p w14:paraId="1DCBE8AA" w14:textId="415368A3" w:rsidR="0066119A" w:rsidRPr="0066119A" w:rsidRDefault="0066119A" w:rsidP="0066119A">
      <w:pPr>
        <w:rPr>
          <w:b/>
          <w:bCs/>
        </w:rPr>
      </w:pPr>
      <w:r w:rsidRPr="0066119A">
        <w:rPr>
          <w:b/>
          <w:bCs/>
        </w:rPr>
        <w:lastRenderedPageBreak/>
        <w:t>7. Home Ownership Patterns</w:t>
      </w:r>
    </w:p>
    <w:p w14:paraId="2B8B244C" w14:textId="77777777" w:rsidR="0066119A" w:rsidRPr="0066119A" w:rsidRDefault="0066119A" w:rsidP="0066119A">
      <w:pPr>
        <w:numPr>
          <w:ilvl w:val="0"/>
          <w:numId w:val="15"/>
        </w:numPr>
      </w:pPr>
      <w:r w:rsidRPr="0066119A">
        <w:rPr>
          <w:b/>
          <w:bCs/>
        </w:rPr>
        <w:t>MORTGAGE holders (45%)</w:t>
      </w:r>
      <w:r w:rsidRPr="0066119A">
        <w:t> take </w:t>
      </w:r>
      <w:r w:rsidRPr="0066119A">
        <w:rPr>
          <w:b/>
          <w:bCs/>
        </w:rPr>
        <w:t>larger loans</w:t>
      </w:r>
      <w:r w:rsidRPr="0066119A">
        <w:t> than </w:t>
      </w:r>
      <w:proofErr w:type="spellStart"/>
      <w:r w:rsidRPr="0066119A">
        <w:rPr>
          <w:b/>
          <w:bCs/>
        </w:rPr>
        <w:t>RENTers</w:t>
      </w:r>
      <w:proofErr w:type="spellEnd"/>
      <w:r w:rsidRPr="0066119A">
        <w:rPr>
          <w:b/>
          <w:bCs/>
        </w:rPr>
        <w:t xml:space="preserve"> (40%)</w:t>
      </w:r>
    </w:p>
    <w:p w14:paraId="13FC319B" w14:textId="77777777" w:rsidR="0066119A" w:rsidRPr="0066119A" w:rsidRDefault="0066119A" w:rsidP="0066119A">
      <w:pPr>
        <w:numPr>
          <w:ilvl w:val="0"/>
          <w:numId w:val="15"/>
        </w:numPr>
      </w:pPr>
      <w:proofErr w:type="spellStart"/>
      <w:r w:rsidRPr="0066119A">
        <w:rPr>
          <w:b/>
          <w:bCs/>
        </w:rPr>
        <w:t>OWNers</w:t>
      </w:r>
      <w:proofErr w:type="spellEnd"/>
      <w:r w:rsidRPr="0066119A">
        <w:rPr>
          <w:b/>
          <w:bCs/>
        </w:rPr>
        <w:t xml:space="preserve"> (15%)</w:t>
      </w:r>
      <w:r w:rsidRPr="0066119A">
        <w:t> have the </w:t>
      </w:r>
      <w:r w:rsidRPr="0066119A">
        <w:rPr>
          <w:b/>
          <w:bCs/>
        </w:rPr>
        <w:t>highest income-to-loan ratios</w:t>
      </w:r>
    </w:p>
    <w:p w14:paraId="52723673" w14:textId="77777777" w:rsidR="0066119A" w:rsidRPr="0066119A" w:rsidRDefault="0066119A" w:rsidP="0066119A">
      <w:pPr>
        <w:rPr>
          <w:b/>
          <w:bCs/>
        </w:rPr>
      </w:pPr>
      <w:r w:rsidRPr="0066119A">
        <w:rPr>
          <w:b/>
          <w:bCs/>
        </w:rPr>
        <w:t>8. Education Impact</w:t>
      </w:r>
    </w:p>
    <w:p w14:paraId="029FBBA3" w14:textId="6897AF29" w:rsidR="0066119A" w:rsidRPr="0066119A" w:rsidRDefault="0066119A" w:rsidP="0066119A">
      <w:pPr>
        <w:numPr>
          <w:ilvl w:val="0"/>
          <w:numId w:val="8"/>
        </w:numPr>
      </w:pPr>
      <w:r w:rsidRPr="0066119A">
        <w:t xml:space="preserve">Those with Master's degrees tend to have higher credit </w:t>
      </w:r>
      <w:r w:rsidR="001208B2" w:rsidRPr="0066119A">
        <w:t>scores (</w:t>
      </w:r>
      <w:r w:rsidRPr="0066119A">
        <w:rPr>
          <w:b/>
          <w:bCs/>
        </w:rPr>
        <w:t>680+</w:t>
      </w:r>
      <w:r w:rsidRPr="0066119A">
        <w:t xml:space="preserve">) and lower default </w:t>
      </w:r>
      <w:r w:rsidR="001208B2" w:rsidRPr="0066119A">
        <w:t>rates (</w:t>
      </w:r>
      <w:r w:rsidRPr="0066119A">
        <w:rPr>
          <w:b/>
          <w:bCs/>
        </w:rPr>
        <w:t>25%</w:t>
      </w:r>
      <w:r w:rsidRPr="0066119A">
        <w:t>)</w:t>
      </w:r>
    </w:p>
    <w:p w14:paraId="44EE183C" w14:textId="7CF01EFE" w:rsidR="0066119A" w:rsidRPr="0066119A" w:rsidRDefault="0066119A" w:rsidP="0066119A">
      <w:pPr>
        <w:numPr>
          <w:ilvl w:val="0"/>
          <w:numId w:val="8"/>
        </w:numPr>
      </w:pPr>
      <w:r w:rsidRPr="0066119A">
        <w:t xml:space="preserve">High School educated applicants have the highest default </w:t>
      </w:r>
      <w:r w:rsidR="001208B2" w:rsidRPr="0066119A">
        <w:t>rates (</w:t>
      </w:r>
      <w:r w:rsidRPr="0066119A">
        <w:rPr>
          <w:b/>
          <w:bCs/>
        </w:rPr>
        <w:t>50%</w:t>
      </w:r>
      <w:r w:rsidRPr="0066119A">
        <w:t>)</w:t>
      </w:r>
      <w:r>
        <w:t xml:space="preserve"> and lowest average loan amounts.</w:t>
      </w:r>
    </w:p>
    <w:p w14:paraId="7D247C3A" w14:textId="77777777" w:rsidR="0066119A" w:rsidRPr="0066119A" w:rsidRDefault="0066119A" w:rsidP="0066119A">
      <w:pPr>
        <w:rPr>
          <w:b/>
          <w:bCs/>
        </w:rPr>
      </w:pPr>
      <w:r w:rsidRPr="0066119A">
        <w:rPr>
          <w:b/>
          <w:bCs/>
        </w:rPr>
        <w:t>9. Loan Purpose Insights</w:t>
      </w:r>
    </w:p>
    <w:p w14:paraId="1EA9E82B" w14:textId="7EF14F72" w:rsidR="0066119A" w:rsidRPr="0066119A" w:rsidRDefault="0066119A" w:rsidP="001208B2">
      <w:pPr>
        <w:numPr>
          <w:ilvl w:val="0"/>
          <w:numId w:val="9"/>
        </w:numPr>
      </w:pPr>
      <w:r w:rsidRPr="0066119A">
        <w:t>MEDICAL loans have the highest average interest rates</w:t>
      </w:r>
      <w:r w:rsidR="001208B2">
        <w:t xml:space="preserve"> </w:t>
      </w:r>
      <w:r w:rsidR="001208B2" w:rsidRPr="001208B2">
        <w:t>(</w:t>
      </w:r>
      <w:r w:rsidR="001208B2" w:rsidRPr="001208B2">
        <w:rPr>
          <w:b/>
          <w:bCs/>
        </w:rPr>
        <w:t>13.5%</w:t>
      </w:r>
      <w:r w:rsidR="001208B2" w:rsidRPr="001208B2">
        <w:t>)</w:t>
      </w:r>
    </w:p>
    <w:p w14:paraId="773C82AC" w14:textId="497FE22A" w:rsidR="0066119A" w:rsidRPr="0066119A" w:rsidRDefault="0066119A" w:rsidP="0066119A">
      <w:pPr>
        <w:numPr>
          <w:ilvl w:val="0"/>
          <w:numId w:val="9"/>
        </w:numPr>
      </w:pPr>
      <w:r w:rsidRPr="0066119A">
        <w:t xml:space="preserve">VENTURE loans have the highest average loan </w:t>
      </w:r>
      <w:r w:rsidR="001208B2" w:rsidRPr="0066119A">
        <w:t>amounts</w:t>
      </w:r>
      <w:r w:rsidR="001208B2" w:rsidRPr="001208B2">
        <w:t xml:space="preserve"> (</w:t>
      </w:r>
      <w:r w:rsidR="001208B2" w:rsidRPr="001208B2">
        <w:rPr>
          <w:b/>
          <w:bCs/>
        </w:rPr>
        <w:t>$9,200</w:t>
      </w:r>
      <w:r w:rsidR="001208B2" w:rsidRPr="001208B2">
        <w:t>)</w:t>
      </w:r>
    </w:p>
    <w:p w14:paraId="676E0482" w14:textId="77777777" w:rsidR="0066119A" w:rsidRDefault="0066119A" w:rsidP="0066119A">
      <w:pPr>
        <w:numPr>
          <w:ilvl w:val="0"/>
          <w:numId w:val="9"/>
        </w:numPr>
      </w:pPr>
      <w:r w:rsidRPr="0066119A">
        <w:t>EDUCATION loans have the lowest income-to-loan ratios, indicating potential financial strain</w:t>
      </w:r>
    </w:p>
    <w:p w14:paraId="5D026CEE" w14:textId="77777777" w:rsidR="001208B2" w:rsidRPr="001208B2" w:rsidRDefault="001208B2" w:rsidP="000F2865">
      <w:pPr>
        <w:spacing w:after="0" w:line="276" w:lineRule="auto"/>
        <w:rPr>
          <w:b/>
          <w:bCs/>
        </w:rPr>
      </w:pPr>
      <w:r w:rsidRPr="001208B2">
        <w:rPr>
          <w:b/>
          <w:bCs/>
        </w:rPr>
        <w:t>10. Employment &amp; Risk</w:t>
      </w:r>
    </w:p>
    <w:p w14:paraId="4119D4FB" w14:textId="77777777" w:rsidR="001208B2" w:rsidRPr="001208B2" w:rsidRDefault="001208B2" w:rsidP="000F2865">
      <w:pPr>
        <w:numPr>
          <w:ilvl w:val="0"/>
          <w:numId w:val="18"/>
        </w:numPr>
        <w:spacing w:after="0" w:line="276" w:lineRule="auto"/>
      </w:pPr>
      <w:r w:rsidRPr="001208B2">
        <w:t>Applicants with </w:t>
      </w:r>
      <w:r w:rsidRPr="001208B2">
        <w:rPr>
          <w:b/>
          <w:bCs/>
        </w:rPr>
        <w:t>0 years of experience</w:t>
      </w:r>
      <w:r w:rsidRPr="001208B2">
        <w:t>:</w:t>
      </w:r>
    </w:p>
    <w:p w14:paraId="170C77F4" w14:textId="77777777" w:rsidR="001208B2" w:rsidRPr="001208B2" w:rsidRDefault="001208B2" w:rsidP="000F2865">
      <w:pPr>
        <w:numPr>
          <w:ilvl w:val="1"/>
          <w:numId w:val="18"/>
        </w:numPr>
        <w:spacing w:after="0" w:line="276" w:lineRule="auto"/>
      </w:pPr>
      <w:r w:rsidRPr="001208B2">
        <w:t>Higher default rates (</w:t>
      </w:r>
      <w:r w:rsidRPr="001208B2">
        <w:rPr>
          <w:b/>
          <w:bCs/>
        </w:rPr>
        <w:t>45%</w:t>
      </w:r>
      <w:r w:rsidRPr="001208B2">
        <w:t>)</w:t>
      </w:r>
    </w:p>
    <w:p w14:paraId="54628C27" w14:textId="77777777" w:rsidR="001208B2" w:rsidRPr="001208B2" w:rsidRDefault="001208B2" w:rsidP="000F2865">
      <w:pPr>
        <w:numPr>
          <w:ilvl w:val="1"/>
          <w:numId w:val="18"/>
        </w:numPr>
        <w:spacing w:after="0" w:line="276" w:lineRule="auto"/>
      </w:pPr>
      <w:r w:rsidRPr="001208B2">
        <w:t>Smaller loan amounts approved</w:t>
      </w:r>
    </w:p>
    <w:p w14:paraId="63A79D11" w14:textId="77777777" w:rsidR="001208B2" w:rsidRPr="001208B2" w:rsidRDefault="001208B2" w:rsidP="000F2865">
      <w:pPr>
        <w:numPr>
          <w:ilvl w:val="0"/>
          <w:numId w:val="18"/>
        </w:numPr>
        <w:spacing w:after="0" w:line="276" w:lineRule="auto"/>
      </w:pPr>
      <w:r w:rsidRPr="001208B2">
        <w:rPr>
          <w:b/>
          <w:bCs/>
        </w:rPr>
        <w:t>3+ years of experience</w:t>
      </w:r>
      <w:r w:rsidRPr="001208B2">
        <w:t>:</w:t>
      </w:r>
    </w:p>
    <w:p w14:paraId="30417A68" w14:textId="77777777" w:rsidR="001208B2" w:rsidRPr="001208B2" w:rsidRDefault="001208B2" w:rsidP="000F2865">
      <w:pPr>
        <w:numPr>
          <w:ilvl w:val="1"/>
          <w:numId w:val="18"/>
        </w:numPr>
        <w:spacing w:after="0" w:line="276" w:lineRule="auto"/>
      </w:pPr>
      <w:r w:rsidRPr="001208B2">
        <w:t>Lower default rates (</w:t>
      </w:r>
      <w:r w:rsidRPr="001208B2">
        <w:rPr>
          <w:b/>
          <w:bCs/>
        </w:rPr>
        <w:t>30%</w:t>
      </w:r>
      <w:r w:rsidRPr="001208B2">
        <w:t>)</w:t>
      </w:r>
    </w:p>
    <w:p w14:paraId="5B01AA77" w14:textId="77777777" w:rsidR="001208B2" w:rsidRPr="001208B2" w:rsidRDefault="001208B2" w:rsidP="000F2865">
      <w:pPr>
        <w:numPr>
          <w:ilvl w:val="1"/>
          <w:numId w:val="18"/>
        </w:numPr>
        <w:spacing w:after="0" w:line="276" w:lineRule="auto"/>
      </w:pPr>
      <w:r w:rsidRPr="001208B2">
        <w:t>Higher credit scores</w:t>
      </w:r>
    </w:p>
    <w:p w14:paraId="69F58A65" w14:textId="77777777" w:rsidR="001208B2" w:rsidRPr="001208B2" w:rsidRDefault="001208B2" w:rsidP="000F2865">
      <w:pPr>
        <w:spacing w:after="0" w:line="276" w:lineRule="auto"/>
        <w:rPr>
          <w:b/>
          <w:bCs/>
        </w:rPr>
      </w:pPr>
      <w:r w:rsidRPr="001208B2">
        <w:rPr>
          <w:b/>
          <w:bCs/>
        </w:rPr>
        <w:t>11. Gender Differences</w:t>
      </w:r>
    </w:p>
    <w:p w14:paraId="0BCB2581" w14:textId="77777777" w:rsidR="001208B2" w:rsidRPr="001208B2" w:rsidRDefault="001208B2" w:rsidP="000F2865">
      <w:pPr>
        <w:numPr>
          <w:ilvl w:val="0"/>
          <w:numId w:val="19"/>
        </w:numPr>
        <w:spacing w:after="0" w:line="276" w:lineRule="auto"/>
      </w:pPr>
      <w:r w:rsidRPr="001208B2">
        <w:rPr>
          <w:b/>
          <w:bCs/>
        </w:rPr>
        <w:t>Male applicants</w:t>
      </w:r>
      <w:r w:rsidRPr="001208B2">
        <w:t>:</w:t>
      </w:r>
    </w:p>
    <w:p w14:paraId="0B6A6D0E" w14:textId="77777777" w:rsidR="001208B2" w:rsidRPr="001208B2" w:rsidRDefault="001208B2" w:rsidP="000F2865">
      <w:pPr>
        <w:numPr>
          <w:ilvl w:val="1"/>
          <w:numId w:val="19"/>
        </w:numPr>
        <w:spacing w:after="0" w:line="276" w:lineRule="auto"/>
      </w:pPr>
      <w:r w:rsidRPr="001208B2">
        <w:t>Slightly higher average loan amounts</w:t>
      </w:r>
    </w:p>
    <w:p w14:paraId="0CE6657D" w14:textId="77777777" w:rsidR="001208B2" w:rsidRPr="001208B2" w:rsidRDefault="001208B2" w:rsidP="000F2865">
      <w:pPr>
        <w:numPr>
          <w:ilvl w:val="1"/>
          <w:numId w:val="19"/>
        </w:numPr>
        <w:spacing w:after="0" w:line="276" w:lineRule="auto"/>
      </w:pPr>
      <w:r w:rsidRPr="001208B2">
        <w:t>More likely to take </w:t>
      </w:r>
      <w:r w:rsidRPr="001208B2">
        <w:rPr>
          <w:b/>
          <w:bCs/>
        </w:rPr>
        <w:t>VENTURE/EDUCATION</w:t>
      </w:r>
      <w:r w:rsidRPr="001208B2">
        <w:t> loans</w:t>
      </w:r>
    </w:p>
    <w:p w14:paraId="7DD0371C" w14:textId="77777777" w:rsidR="001208B2" w:rsidRPr="001208B2" w:rsidRDefault="001208B2" w:rsidP="000F2865">
      <w:pPr>
        <w:numPr>
          <w:ilvl w:val="0"/>
          <w:numId w:val="19"/>
        </w:numPr>
        <w:spacing w:after="0" w:line="276" w:lineRule="auto"/>
      </w:pPr>
      <w:r w:rsidRPr="001208B2">
        <w:rPr>
          <w:b/>
          <w:bCs/>
        </w:rPr>
        <w:t>Female applicants</w:t>
      </w:r>
      <w:r w:rsidRPr="001208B2">
        <w:t>:</w:t>
      </w:r>
    </w:p>
    <w:p w14:paraId="37DF310C" w14:textId="77777777" w:rsidR="001208B2" w:rsidRPr="001208B2" w:rsidRDefault="001208B2" w:rsidP="000F2865">
      <w:pPr>
        <w:numPr>
          <w:ilvl w:val="1"/>
          <w:numId w:val="19"/>
        </w:numPr>
        <w:spacing w:after="0" w:line="276" w:lineRule="auto"/>
      </w:pPr>
      <w:r w:rsidRPr="001208B2">
        <w:t>More likely to take </w:t>
      </w:r>
      <w:r w:rsidRPr="001208B2">
        <w:rPr>
          <w:b/>
          <w:bCs/>
        </w:rPr>
        <w:t>MEDICAL/PERSONAL</w:t>
      </w:r>
      <w:r w:rsidRPr="001208B2">
        <w:t> loans</w:t>
      </w:r>
    </w:p>
    <w:p w14:paraId="08696737" w14:textId="77777777" w:rsidR="001208B2" w:rsidRDefault="001208B2" w:rsidP="000F2865">
      <w:pPr>
        <w:numPr>
          <w:ilvl w:val="1"/>
          <w:numId w:val="19"/>
        </w:numPr>
        <w:spacing w:after="0" w:line="276" w:lineRule="auto"/>
      </w:pPr>
      <w:r w:rsidRPr="001208B2">
        <w:t>Slightly lower default rates (</w:t>
      </w:r>
      <w:r w:rsidRPr="001208B2">
        <w:rPr>
          <w:b/>
          <w:bCs/>
        </w:rPr>
        <w:t>38% vs. 42% for males</w:t>
      </w:r>
      <w:r w:rsidRPr="001208B2">
        <w:t>)</w:t>
      </w:r>
    </w:p>
    <w:p w14:paraId="1B01F404" w14:textId="77777777" w:rsidR="001208B2" w:rsidRPr="001208B2" w:rsidRDefault="001208B2" w:rsidP="000F2865">
      <w:pPr>
        <w:spacing w:after="0" w:line="276" w:lineRule="auto"/>
        <w:rPr>
          <w:b/>
          <w:bCs/>
        </w:rPr>
      </w:pPr>
      <w:r w:rsidRPr="001208B2">
        <w:rPr>
          <w:b/>
          <w:bCs/>
        </w:rPr>
        <w:t>12. Risk Segmentation</w:t>
      </w:r>
    </w:p>
    <w:p w14:paraId="34FAEC0F" w14:textId="77777777" w:rsidR="001208B2" w:rsidRPr="001208B2" w:rsidRDefault="001208B2" w:rsidP="000F2865">
      <w:pPr>
        <w:numPr>
          <w:ilvl w:val="0"/>
          <w:numId w:val="20"/>
        </w:numPr>
        <w:spacing w:after="0" w:line="276" w:lineRule="auto"/>
      </w:pPr>
      <w:r w:rsidRPr="001208B2">
        <w:rPr>
          <w:b/>
          <w:bCs/>
        </w:rPr>
        <w:t>High-risk applicants</w:t>
      </w:r>
      <w:r w:rsidRPr="001208B2">
        <w:t>:</w:t>
      </w:r>
    </w:p>
    <w:p w14:paraId="193ED48B" w14:textId="77777777" w:rsidR="001208B2" w:rsidRPr="001208B2" w:rsidRDefault="001208B2" w:rsidP="000F2865">
      <w:pPr>
        <w:numPr>
          <w:ilvl w:val="1"/>
          <w:numId w:val="20"/>
        </w:numPr>
        <w:spacing w:after="0" w:line="276" w:lineRule="auto"/>
      </w:pPr>
      <w:r w:rsidRPr="001208B2">
        <w:rPr>
          <w:b/>
          <w:bCs/>
        </w:rPr>
        <w:t>Poor credit + EDUCATION loans</w:t>
      </w:r>
      <w:r w:rsidRPr="001208B2">
        <w:t> (default rate = </w:t>
      </w:r>
      <w:r w:rsidRPr="001208B2">
        <w:rPr>
          <w:b/>
          <w:bCs/>
        </w:rPr>
        <w:t>70%</w:t>
      </w:r>
      <w:r w:rsidRPr="001208B2">
        <w:t>)</w:t>
      </w:r>
    </w:p>
    <w:p w14:paraId="1A6C8ADA" w14:textId="77777777" w:rsidR="001208B2" w:rsidRPr="001208B2" w:rsidRDefault="001208B2" w:rsidP="000F2865">
      <w:pPr>
        <w:numPr>
          <w:ilvl w:val="1"/>
          <w:numId w:val="20"/>
        </w:numPr>
        <w:spacing w:after="0" w:line="276" w:lineRule="auto"/>
      </w:pPr>
      <w:r w:rsidRPr="001208B2">
        <w:rPr>
          <w:b/>
          <w:bCs/>
        </w:rPr>
        <w:t>High School education + low income</w:t>
      </w:r>
    </w:p>
    <w:p w14:paraId="51178311" w14:textId="77777777" w:rsidR="001208B2" w:rsidRPr="001208B2" w:rsidRDefault="001208B2" w:rsidP="000F2865">
      <w:pPr>
        <w:numPr>
          <w:ilvl w:val="0"/>
          <w:numId w:val="20"/>
        </w:numPr>
        <w:spacing w:after="0" w:line="276" w:lineRule="auto"/>
      </w:pPr>
      <w:r w:rsidRPr="001208B2">
        <w:rPr>
          <w:b/>
          <w:bCs/>
        </w:rPr>
        <w:t>Low-risk applicants</w:t>
      </w:r>
      <w:r w:rsidRPr="001208B2">
        <w:t>:</w:t>
      </w:r>
    </w:p>
    <w:p w14:paraId="0E0C1405" w14:textId="77777777" w:rsidR="001208B2" w:rsidRPr="001208B2" w:rsidRDefault="001208B2" w:rsidP="000F2865">
      <w:pPr>
        <w:numPr>
          <w:ilvl w:val="1"/>
          <w:numId w:val="20"/>
        </w:numPr>
        <w:spacing w:after="0" w:line="276" w:lineRule="auto"/>
      </w:pPr>
      <w:r w:rsidRPr="001208B2">
        <w:rPr>
          <w:b/>
          <w:bCs/>
        </w:rPr>
        <w:t>Good credit + MORTGAGE ownership</w:t>
      </w:r>
      <w:r w:rsidRPr="001208B2">
        <w:t> (default rate = </w:t>
      </w:r>
      <w:r w:rsidRPr="001208B2">
        <w:rPr>
          <w:b/>
          <w:bCs/>
        </w:rPr>
        <w:t>15%</w:t>
      </w:r>
      <w:r w:rsidRPr="001208B2">
        <w:t>)</w:t>
      </w:r>
    </w:p>
    <w:p w14:paraId="378D8445" w14:textId="66C8D780" w:rsidR="001208B2" w:rsidRPr="001208B2" w:rsidRDefault="001208B2" w:rsidP="000F2865">
      <w:pPr>
        <w:numPr>
          <w:ilvl w:val="1"/>
          <w:numId w:val="20"/>
        </w:numPr>
        <w:spacing w:line="276" w:lineRule="auto"/>
      </w:pPr>
      <w:r w:rsidRPr="001208B2">
        <w:rPr>
          <w:b/>
          <w:bCs/>
        </w:rPr>
        <w:t>Master's degree + higher income</w:t>
      </w:r>
    </w:p>
    <w:p w14:paraId="02AFCB2B" w14:textId="77777777" w:rsidR="0066119A" w:rsidRPr="0066119A" w:rsidRDefault="0066119A" w:rsidP="0066119A">
      <w:r w:rsidRPr="0066119A">
        <w:t>This EDA provides a comprehensive understanding of the loan applicant characteristics and how they relate to loan terms. The insights could be valuable for risk assessment, pricing strategies, and targeted marketing in the lending business.</w:t>
      </w:r>
    </w:p>
    <w:p w14:paraId="21522DE7" w14:textId="77777777" w:rsidR="007411D5" w:rsidRDefault="007411D5"/>
    <w:sectPr w:rsidR="007411D5" w:rsidSect="001208B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F593F"/>
    <w:multiLevelType w:val="multilevel"/>
    <w:tmpl w:val="17C64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87372"/>
    <w:multiLevelType w:val="multilevel"/>
    <w:tmpl w:val="57003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13266"/>
    <w:multiLevelType w:val="multilevel"/>
    <w:tmpl w:val="7E7E3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DA524E"/>
    <w:multiLevelType w:val="multilevel"/>
    <w:tmpl w:val="627CB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D97E8E"/>
    <w:multiLevelType w:val="multilevel"/>
    <w:tmpl w:val="B0403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CE1295"/>
    <w:multiLevelType w:val="multilevel"/>
    <w:tmpl w:val="0E029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B616D1"/>
    <w:multiLevelType w:val="multilevel"/>
    <w:tmpl w:val="F984C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B8078F"/>
    <w:multiLevelType w:val="multilevel"/>
    <w:tmpl w:val="70C0D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19791A"/>
    <w:multiLevelType w:val="multilevel"/>
    <w:tmpl w:val="65586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0921F9"/>
    <w:multiLevelType w:val="multilevel"/>
    <w:tmpl w:val="17625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B62A99"/>
    <w:multiLevelType w:val="multilevel"/>
    <w:tmpl w:val="E27C7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C67833"/>
    <w:multiLevelType w:val="multilevel"/>
    <w:tmpl w:val="0ECAC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836F3E"/>
    <w:multiLevelType w:val="multilevel"/>
    <w:tmpl w:val="CD86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463C93"/>
    <w:multiLevelType w:val="multilevel"/>
    <w:tmpl w:val="17A8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7E4F98"/>
    <w:multiLevelType w:val="multilevel"/>
    <w:tmpl w:val="81AE9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7E659F"/>
    <w:multiLevelType w:val="multilevel"/>
    <w:tmpl w:val="85AEE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127E8B"/>
    <w:multiLevelType w:val="multilevel"/>
    <w:tmpl w:val="CD889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855542"/>
    <w:multiLevelType w:val="multilevel"/>
    <w:tmpl w:val="238E6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1F13B8"/>
    <w:multiLevelType w:val="multilevel"/>
    <w:tmpl w:val="7102C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E71366"/>
    <w:multiLevelType w:val="multilevel"/>
    <w:tmpl w:val="DBCCA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8596486">
    <w:abstractNumId w:val="19"/>
  </w:num>
  <w:num w:numId="2" w16cid:durableId="1345791026">
    <w:abstractNumId w:val="12"/>
  </w:num>
  <w:num w:numId="3" w16cid:durableId="1507596126">
    <w:abstractNumId w:val="11"/>
  </w:num>
  <w:num w:numId="4" w16cid:durableId="2073693722">
    <w:abstractNumId w:val="4"/>
  </w:num>
  <w:num w:numId="5" w16cid:durableId="530648833">
    <w:abstractNumId w:val="5"/>
  </w:num>
  <w:num w:numId="6" w16cid:durableId="1988779057">
    <w:abstractNumId w:val="15"/>
  </w:num>
  <w:num w:numId="7" w16cid:durableId="1069615505">
    <w:abstractNumId w:val="1"/>
  </w:num>
  <w:num w:numId="8" w16cid:durableId="645276979">
    <w:abstractNumId w:val="7"/>
  </w:num>
  <w:num w:numId="9" w16cid:durableId="254364076">
    <w:abstractNumId w:val="10"/>
  </w:num>
  <w:num w:numId="10" w16cid:durableId="381754692">
    <w:abstractNumId w:val="6"/>
  </w:num>
  <w:num w:numId="11" w16cid:durableId="684402916">
    <w:abstractNumId w:val="9"/>
  </w:num>
  <w:num w:numId="12" w16cid:durableId="1897475319">
    <w:abstractNumId w:val="16"/>
  </w:num>
  <w:num w:numId="13" w16cid:durableId="551580210">
    <w:abstractNumId w:val="17"/>
  </w:num>
  <w:num w:numId="14" w16cid:durableId="2062746994">
    <w:abstractNumId w:val="14"/>
  </w:num>
  <w:num w:numId="15" w16cid:durableId="1803034993">
    <w:abstractNumId w:val="13"/>
  </w:num>
  <w:num w:numId="16" w16cid:durableId="1281956859">
    <w:abstractNumId w:val="2"/>
  </w:num>
  <w:num w:numId="17" w16cid:durableId="1887837587">
    <w:abstractNumId w:val="18"/>
  </w:num>
  <w:num w:numId="18" w16cid:durableId="1047920996">
    <w:abstractNumId w:val="0"/>
  </w:num>
  <w:num w:numId="19" w16cid:durableId="1769807405">
    <w:abstractNumId w:val="3"/>
  </w:num>
  <w:num w:numId="20" w16cid:durableId="203253415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19A"/>
    <w:rsid w:val="000F2865"/>
    <w:rsid w:val="00107BFA"/>
    <w:rsid w:val="001208B2"/>
    <w:rsid w:val="00645DE0"/>
    <w:rsid w:val="0066119A"/>
    <w:rsid w:val="007411D5"/>
    <w:rsid w:val="00C04418"/>
    <w:rsid w:val="00E76E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1C0B4"/>
  <w15:chartTrackingRefBased/>
  <w15:docId w15:val="{105985F3-1B9A-45E7-8D84-17434DE68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119A"/>
    <w:rPr>
      <w:rFonts w:ascii="Times New Roman" w:hAnsi="Times New Roman" w:cs="Times New Roman"/>
      <w:sz w:val="24"/>
      <w:szCs w:val="24"/>
    </w:rPr>
  </w:style>
  <w:style w:type="character" w:styleId="Strong">
    <w:name w:val="Strong"/>
    <w:basedOn w:val="DefaultParagraphFont"/>
    <w:uiPriority w:val="22"/>
    <w:qFormat/>
    <w:rsid w:val="006611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15403">
      <w:bodyDiv w:val="1"/>
      <w:marLeft w:val="0"/>
      <w:marRight w:val="0"/>
      <w:marTop w:val="0"/>
      <w:marBottom w:val="0"/>
      <w:divBdr>
        <w:top w:val="none" w:sz="0" w:space="0" w:color="auto"/>
        <w:left w:val="none" w:sz="0" w:space="0" w:color="auto"/>
        <w:bottom w:val="none" w:sz="0" w:space="0" w:color="auto"/>
        <w:right w:val="none" w:sz="0" w:space="0" w:color="auto"/>
      </w:divBdr>
    </w:div>
    <w:div w:id="150217001">
      <w:bodyDiv w:val="1"/>
      <w:marLeft w:val="0"/>
      <w:marRight w:val="0"/>
      <w:marTop w:val="0"/>
      <w:marBottom w:val="0"/>
      <w:divBdr>
        <w:top w:val="none" w:sz="0" w:space="0" w:color="auto"/>
        <w:left w:val="none" w:sz="0" w:space="0" w:color="auto"/>
        <w:bottom w:val="none" w:sz="0" w:space="0" w:color="auto"/>
        <w:right w:val="none" w:sz="0" w:space="0" w:color="auto"/>
      </w:divBdr>
    </w:div>
    <w:div w:id="234316532">
      <w:bodyDiv w:val="1"/>
      <w:marLeft w:val="0"/>
      <w:marRight w:val="0"/>
      <w:marTop w:val="0"/>
      <w:marBottom w:val="0"/>
      <w:divBdr>
        <w:top w:val="none" w:sz="0" w:space="0" w:color="auto"/>
        <w:left w:val="none" w:sz="0" w:space="0" w:color="auto"/>
        <w:bottom w:val="none" w:sz="0" w:space="0" w:color="auto"/>
        <w:right w:val="none" w:sz="0" w:space="0" w:color="auto"/>
      </w:divBdr>
    </w:div>
    <w:div w:id="402875024">
      <w:bodyDiv w:val="1"/>
      <w:marLeft w:val="0"/>
      <w:marRight w:val="0"/>
      <w:marTop w:val="0"/>
      <w:marBottom w:val="0"/>
      <w:divBdr>
        <w:top w:val="none" w:sz="0" w:space="0" w:color="auto"/>
        <w:left w:val="none" w:sz="0" w:space="0" w:color="auto"/>
        <w:bottom w:val="none" w:sz="0" w:space="0" w:color="auto"/>
        <w:right w:val="none" w:sz="0" w:space="0" w:color="auto"/>
      </w:divBdr>
    </w:div>
    <w:div w:id="442656828">
      <w:bodyDiv w:val="1"/>
      <w:marLeft w:val="0"/>
      <w:marRight w:val="0"/>
      <w:marTop w:val="0"/>
      <w:marBottom w:val="0"/>
      <w:divBdr>
        <w:top w:val="none" w:sz="0" w:space="0" w:color="auto"/>
        <w:left w:val="none" w:sz="0" w:space="0" w:color="auto"/>
        <w:bottom w:val="none" w:sz="0" w:space="0" w:color="auto"/>
        <w:right w:val="none" w:sz="0" w:space="0" w:color="auto"/>
      </w:divBdr>
    </w:div>
    <w:div w:id="475034151">
      <w:bodyDiv w:val="1"/>
      <w:marLeft w:val="0"/>
      <w:marRight w:val="0"/>
      <w:marTop w:val="0"/>
      <w:marBottom w:val="0"/>
      <w:divBdr>
        <w:top w:val="none" w:sz="0" w:space="0" w:color="auto"/>
        <w:left w:val="none" w:sz="0" w:space="0" w:color="auto"/>
        <w:bottom w:val="none" w:sz="0" w:space="0" w:color="auto"/>
        <w:right w:val="none" w:sz="0" w:space="0" w:color="auto"/>
      </w:divBdr>
    </w:div>
    <w:div w:id="529223967">
      <w:bodyDiv w:val="1"/>
      <w:marLeft w:val="0"/>
      <w:marRight w:val="0"/>
      <w:marTop w:val="0"/>
      <w:marBottom w:val="0"/>
      <w:divBdr>
        <w:top w:val="none" w:sz="0" w:space="0" w:color="auto"/>
        <w:left w:val="none" w:sz="0" w:space="0" w:color="auto"/>
        <w:bottom w:val="none" w:sz="0" w:space="0" w:color="auto"/>
        <w:right w:val="none" w:sz="0" w:space="0" w:color="auto"/>
      </w:divBdr>
    </w:div>
    <w:div w:id="595675925">
      <w:bodyDiv w:val="1"/>
      <w:marLeft w:val="0"/>
      <w:marRight w:val="0"/>
      <w:marTop w:val="0"/>
      <w:marBottom w:val="0"/>
      <w:divBdr>
        <w:top w:val="none" w:sz="0" w:space="0" w:color="auto"/>
        <w:left w:val="none" w:sz="0" w:space="0" w:color="auto"/>
        <w:bottom w:val="none" w:sz="0" w:space="0" w:color="auto"/>
        <w:right w:val="none" w:sz="0" w:space="0" w:color="auto"/>
      </w:divBdr>
    </w:div>
    <w:div w:id="662666931">
      <w:bodyDiv w:val="1"/>
      <w:marLeft w:val="0"/>
      <w:marRight w:val="0"/>
      <w:marTop w:val="0"/>
      <w:marBottom w:val="0"/>
      <w:divBdr>
        <w:top w:val="none" w:sz="0" w:space="0" w:color="auto"/>
        <w:left w:val="none" w:sz="0" w:space="0" w:color="auto"/>
        <w:bottom w:val="none" w:sz="0" w:space="0" w:color="auto"/>
        <w:right w:val="none" w:sz="0" w:space="0" w:color="auto"/>
      </w:divBdr>
    </w:div>
    <w:div w:id="683480861">
      <w:bodyDiv w:val="1"/>
      <w:marLeft w:val="0"/>
      <w:marRight w:val="0"/>
      <w:marTop w:val="0"/>
      <w:marBottom w:val="0"/>
      <w:divBdr>
        <w:top w:val="none" w:sz="0" w:space="0" w:color="auto"/>
        <w:left w:val="none" w:sz="0" w:space="0" w:color="auto"/>
        <w:bottom w:val="none" w:sz="0" w:space="0" w:color="auto"/>
        <w:right w:val="none" w:sz="0" w:space="0" w:color="auto"/>
      </w:divBdr>
    </w:div>
    <w:div w:id="879242182">
      <w:bodyDiv w:val="1"/>
      <w:marLeft w:val="0"/>
      <w:marRight w:val="0"/>
      <w:marTop w:val="0"/>
      <w:marBottom w:val="0"/>
      <w:divBdr>
        <w:top w:val="none" w:sz="0" w:space="0" w:color="auto"/>
        <w:left w:val="none" w:sz="0" w:space="0" w:color="auto"/>
        <w:bottom w:val="none" w:sz="0" w:space="0" w:color="auto"/>
        <w:right w:val="none" w:sz="0" w:space="0" w:color="auto"/>
      </w:divBdr>
    </w:div>
    <w:div w:id="885290477">
      <w:bodyDiv w:val="1"/>
      <w:marLeft w:val="0"/>
      <w:marRight w:val="0"/>
      <w:marTop w:val="0"/>
      <w:marBottom w:val="0"/>
      <w:divBdr>
        <w:top w:val="none" w:sz="0" w:space="0" w:color="auto"/>
        <w:left w:val="none" w:sz="0" w:space="0" w:color="auto"/>
        <w:bottom w:val="none" w:sz="0" w:space="0" w:color="auto"/>
        <w:right w:val="none" w:sz="0" w:space="0" w:color="auto"/>
      </w:divBdr>
    </w:div>
    <w:div w:id="920135841">
      <w:bodyDiv w:val="1"/>
      <w:marLeft w:val="0"/>
      <w:marRight w:val="0"/>
      <w:marTop w:val="0"/>
      <w:marBottom w:val="0"/>
      <w:divBdr>
        <w:top w:val="none" w:sz="0" w:space="0" w:color="auto"/>
        <w:left w:val="none" w:sz="0" w:space="0" w:color="auto"/>
        <w:bottom w:val="none" w:sz="0" w:space="0" w:color="auto"/>
        <w:right w:val="none" w:sz="0" w:space="0" w:color="auto"/>
      </w:divBdr>
    </w:div>
    <w:div w:id="920602673">
      <w:bodyDiv w:val="1"/>
      <w:marLeft w:val="0"/>
      <w:marRight w:val="0"/>
      <w:marTop w:val="0"/>
      <w:marBottom w:val="0"/>
      <w:divBdr>
        <w:top w:val="none" w:sz="0" w:space="0" w:color="auto"/>
        <w:left w:val="none" w:sz="0" w:space="0" w:color="auto"/>
        <w:bottom w:val="none" w:sz="0" w:space="0" w:color="auto"/>
        <w:right w:val="none" w:sz="0" w:space="0" w:color="auto"/>
      </w:divBdr>
    </w:div>
    <w:div w:id="950817401">
      <w:bodyDiv w:val="1"/>
      <w:marLeft w:val="0"/>
      <w:marRight w:val="0"/>
      <w:marTop w:val="0"/>
      <w:marBottom w:val="0"/>
      <w:divBdr>
        <w:top w:val="none" w:sz="0" w:space="0" w:color="auto"/>
        <w:left w:val="none" w:sz="0" w:space="0" w:color="auto"/>
        <w:bottom w:val="none" w:sz="0" w:space="0" w:color="auto"/>
        <w:right w:val="none" w:sz="0" w:space="0" w:color="auto"/>
      </w:divBdr>
    </w:div>
    <w:div w:id="992370059">
      <w:bodyDiv w:val="1"/>
      <w:marLeft w:val="0"/>
      <w:marRight w:val="0"/>
      <w:marTop w:val="0"/>
      <w:marBottom w:val="0"/>
      <w:divBdr>
        <w:top w:val="none" w:sz="0" w:space="0" w:color="auto"/>
        <w:left w:val="none" w:sz="0" w:space="0" w:color="auto"/>
        <w:bottom w:val="none" w:sz="0" w:space="0" w:color="auto"/>
        <w:right w:val="none" w:sz="0" w:space="0" w:color="auto"/>
      </w:divBdr>
    </w:div>
    <w:div w:id="1005399133">
      <w:bodyDiv w:val="1"/>
      <w:marLeft w:val="0"/>
      <w:marRight w:val="0"/>
      <w:marTop w:val="0"/>
      <w:marBottom w:val="0"/>
      <w:divBdr>
        <w:top w:val="none" w:sz="0" w:space="0" w:color="auto"/>
        <w:left w:val="none" w:sz="0" w:space="0" w:color="auto"/>
        <w:bottom w:val="none" w:sz="0" w:space="0" w:color="auto"/>
        <w:right w:val="none" w:sz="0" w:space="0" w:color="auto"/>
      </w:divBdr>
    </w:div>
    <w:div w:id="1295984885">
      <w:bodyDiv w:val="1"/>
      <w:marLeft w:val="0"/>
      <w:marRight w:val="0"/>
      <w:marTop w:val="0"/>
      <w:marBottom w:val="0"/>
      <w:divBdr>
        <w:top w:val="none" w:sz="0" w:space="0" w:color="auto"/>
        <w:left w:val="none" w:sz="0" w:space="0" w:color="auto"/>
        <w:bottom w:val="none" w:sz="0" w:space="0" w:color="auto"/>
        <w:right w:val="none" w:sz="0" w:space="0" w:color="auto"/>
      </w:divBdr>
    </w:div>
    <w:div w:id="1381634136">
      <w:bodyDiv w:val="1"/>
      <w:marLeft w:val="0"/>
      <w:marRight w:val="0"/>
      <w:marTop w:val="0"/>
      <w:marBottom w:val="0"/>
      <w:divBdr>
        <w:top w:val="none" w:sz="0" w:space="0" w:color="auto"/>
        <w:left w:val="none" w:sz="0" w:space="0" w:color="auto"/>
        <w:bottom w:val="none" w:sz="0" w:space="0" w:color="auto"/>
        <w:right w:val="none" w:sz="0" w:space="0" w:color="auto"/>
      </w:divBdr>
    </w:div>
    <w:div w:id="1393427199">
      <w:bodyDiv w:val="1"/>
      <w:marLeft w:val="0"/>
      <w:marRight w:val="0"/>
      <w:marTop w:val="0"/>
      <w:marBottom w:val="0"/>
      <w:divBdr>
        <w:top w:val="none" w:sz="0" w:space="0" w:color="auto"/>
        <w:left w:val="none" w:sz="0" w:space="0" w:color="auto"/>
        <w:bottom w:val="none" w:sz="0" w:space="0" w:color="auto"/>
        <w:right w:val="none" w:sz="0" w:space="0" w:color="auto"/>
      </w:divBdr>
    </w:div>
    <w:div w:id="1484546505">
      <w:bodyDiv w:val="1"/>
      <w:marLeft w:val="0"/>
      <w:marRight w:val="0"/>
      <w:marTop w:val="0"/>
      <w:marBottom w:val="0"/>
      <w:divBdr>
        <w:top w:val="none" w:sz="0" w:space="0" w:color="auto"/>
        <w:left w:val="none" w:sz="0" w:space="0" w:color="auto"/>
        <w:bottom w:val="none" w:sz="0" w:space="0" w:color="auto"/>
        <w:right w:val="none" w:sz="0" w:space="0" w:color="auto"/>
      </w:divBdr>
    </w:div>
    <w:div w:id="1569653336">
      <w:bodyDiv w:val="1"/>
      <w:marLeft w:val="0"/>
      <w:marRight w:val="0"/>
      <w:marTop w:val="0"/>
      <w:marBottom w:val="0"/>
      <w:divBdr>
        <w:top w:val="none" w:sz="0" w:space="0" w:color="auto"/>
        <w:left w:val="none" w:sz="0" w:space="0" w:color="auto"/>
        <w:bottom w:val="none" w:sz="0" w:space="0" w:color="auto"/>
        <w:right w:val="none" w:sz="0" w:space="0" w:color="auto"/>
      </w:divBdr>
    </w:div>
    <w:div w:id="1693652377">
      <w:bodyDiv w:val="1"/>
      <w:marLeft w:val="0"/>
      <w:marRight w:val="0"/>
      <w:marTop w:val="0"/>
      <w:marBottom w:val="0"/>
      <w:divBdr>
        <w:top w:val="none" w:sz="0" w:space="0" w:color="auto"/>
        <w:left w:val="none" w:sz="0" w:space="0" w:color="auto"/>
        <w:bottom w:val="none" w:sz="0" w:space="0" w:color="auto"/>
        <w:right w:val="none" w:sz="0" w:space="0" w:color="auto"/>
      </w:divBdr>
    </w:div>
    <w:div w:id="1725830471">
      <w:bodyDiv w:val="1"/>
      <w:marLeft w:val="0"/>
      <w:marRight w:val="0"/>
      <w:marTop w:val="0"/>
      <w:marBottom w:val="0"/>
      <w:divBdr>
        <w:top w:val="none" w:sz="0" w:space="0" w:color="auto"/>
        <w:left w:val="none" w:sz="0" w:space="0" w:color="auto"/>
        <w:bottom w:val="none" w:sz="0" w:space="0" w:color="auto"/>
        <w:right w:val="none" w:sz="0" w:space="0" w:color="auto"/>
      </w:divBdr>
    </w:div>
    <w:div w:id="1763645167">
      <w:bodyDiv w:val="1"/>
      <w:marLeft w:val="0"/>
      <w:marRight w:val="0"/>
      <w:marTop w:val="0"/>
      <w:marBottom w:val="0"/>
      <w:divBdr>
        <w:top w:val="none" w:sz="0" w:space="0" w:color="auto"/>
        <w:left w:val="none" w:sz="0" w:space="0" w:color="auto"/>
        <w:bottom w:val="none" w:sz="0" w:space="0" w:color="auto"/>
        <w:right w:val="none" w:sz="0" w:space="0" w:color="auto"/>
      </w:divBdr>
    </w:div>
    <w:div w:id="1858153451">
      <w:bodyDiv w:val="1"/>
      <w:marLeft w:val="0"/>
      <w:marRight w:val="0"/>
      <w:marTop w:val="0"/>
      <w:marBottom w:val="0"/>
      <w:divBdr>
        <w:top w:val="none" w:sz="0" w:space="0" w:color="auto"/>
        <w:left w:val="none" w:sz="0" w:space="0" w:color="auto"/>
        <w:bottom w:val="none" w:sz="0" w:space="0" w:color="auto"/>
        <w:right w:val="none" w:sz="0" w:space="0" w:color="auto"/>
      </w:divBdr>
    </w:div>
    <w:div w:id="1914855147">
      <w:bodyDiv w:val="1"/>
      <w:marLeft w:val="0"/>
      <w:marRight w:val="0"/>
      <w:marTop w:val="0"/>
      <w:marBottom w:val="0"/>
      <w:divBdr>
        <w:top w:val="none" w:sz="0" w:space="0" w:color="auto"/>
        <w:left w:val="none" w:sz="0" w:space="0" w:color="auto"/>
        <w:bottom w:val="none" w:sz="0" w:space="0" w:color="auto"/>
        <w:right w:val="none" w:sz="0" w:space="0" w:color="auto"/>
      </w:divBdr>
    </w:div>
    <w:div w:id="1932540344">
      <w:bodyDiv w:val="1"/>
      <w:marLeft w:val="0"/>
      <w:marRight w:val="0"/>
      <w:marTop w:val="0"/>
      <w:marBottom w:val="0"/>
      <w:divBdr>
        <w:top w:val="none" w:sz="0" w:space="0" w:color="auto"/>
        <w:left w:val="none" w:sz="0" w:space="0" w:color="auto"/>
        <w:bottom w:val="none" w:sz="0" w:space="0" w:color="auto"/>
        <w:right w:val="none" w:sz="0" w:space="0" w:color="auto"/>
      </w:divBdr>
    </w:div>
    <w:div w:id="197979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Mohan S</cp:lastModifiedBy>
  <cp:revision>3</cp:revision>
  <dcterms:created xsi:type="dcterms:W3CDTF">2025-04-07T03:34:00Z</dcterms:created>
  <dcterms:modified xsi:type="dcterms:W3CDTF">2025-04-07T03:51:00Z</dcterms:modified>
</cp:coreProperties>
</file>