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C9A84C" w:sz="6" w:space="8"/>
        </w:pBdr>
        <w:spacing w:after="500"/>
        <w:ind w:left="1200" w:right="800"/>
      </w:pPr>
      <w:r>
        <w:rPr>
          <w:rFonts w:ascii="Calibri" w:eastAsia="SimHei"/>
          <w:color w:val="C9A84C"/>
          <w:spacing w:val="40"/>
          <w:sz w:val="18"/>
          <w:szCs w:val="18"/>
        </w:rPr>
        <w:t xml:space="preserve">C A P I T A L G R A P H   C N</w:t>
      </w:r>
    </w:p>
    <w:p>
      <w:pPr>
        <w:spacing w:after="120" w:line="736" w:lineRule="atLeast"/>
        <w:ind w:left="1200"/>
      </w:pPr>
      <w:r>
        <w:rPr>
          <w:rFonts w:ascii="Times New Roman" w:eastAsia="SimHei"/>
          <w:b/>
          <w:bCs/>
          <w:color w:val="FFFFFF"/>
          <w:sz w:val="64"/>
          <w:szCs w:val="64"/>
        </w:rPr>
        <w:t xml:space="preserve">项目操作、功能说明、</w:t>
      </w:r>
    </w:p>
    <w:p>
      <w:pPr>
        <w:spacing w:after="120" w:line="736" w:lineRule="atLeast"/>
        <w:ind w:left="1200"/>
      </w:pPr>
      <w:r>
        <w:rPr>
          <w:rFonts w:ascii="Times New Roman" w:eastAsia="SimHei"/>
          <w:b/>
          <w:bCs/>
          <w:color w:val="FFFFFF"/>
          <w:sz w:val="64"/>
          <w:szCs w:val="64"/>
        </w:rPr>
        <w:t xml:space="preserve">二次开发与调试手册</w:t>
      </w:r>
    </w:p>
    <w:p>
      <w:pPr>
        <w:spacing w:after="600"/>
        <w:ind w:left="1200"/>
      </w:pPr>
      <w:r>
        <w:rPr>
          <w:rFonts w:ascii="Times New Roman" w:eastAsia="SimSun"/>
          <w:color w:val="B0B8C0"/>
          <w:sz w:val="22"/>
          <w:szCs w:val="22"/>
        </w:rPr>
        <w:t xml:space="preserve">CapitalGraph CN · 中国企业资本关系研究平台 · v0.11.0</w:t>
      </w:r>
    </w:p>
    <w:p>
      <w:pPr>
        <w:pBdr>
          <w:left w:val="single" w:color="C9A84C" w:sz="8" w:space="12"/>
        </w:pBdr>
        <w:spacing w:after="140"/>
        <w:ind w:left="1200" w:right="800"/>
      </w:pPr>
      <w:r>
        <w:rPr>
          <w:rFonts w:ascii="Times New Roman" w:eastAsia="SimSun"/>
          <w:color w:val="90989F"/>
          <w:sz w:val="20"/>
          <w:szCs w:val="20"/>
        </w:rPr>
        <w:t xml:space="preserve">文档版本：1.0（2026-09-19 生成）</w:t>
      </w:r>
    </w:p>
    <w:p>
      <w:pPr>
        <w:pBdr>
          <w:left w:val="single" w:color="C9A84C" w:sz="8" w:space="12"/>
        </w:pBdr>
        <w:spacing w:after="140"/>
        <w:ind w:left="1200" w:right="800"/>
      </w:pPr>
      <w:r>
        <w:rPr>
          <w:rFonts w:ascii="Times New Roman" w:eastAsia="SimSun"/>
          <w:color w:val="90989F"/>
          <w:sz w:val="20"/>
          <w:szCs w:val="20"/>
        </w:rPr>
        <w:t xml:space="preserve">适用范围：开发、二次开发、运维与 Debug</w:t>
      </w:r>
    </w:p>
    <w:p>
      <w:pPr>
        <w:pBdr>
          <w:left w:val="single" w:color="C9A84C" w:sz="8" w:space="12"/>
        </w:pBdr>
        <w:spacing w:after="140"/>
        <w:ind w:left="1200" w:right="800"/>
      </w:pPr>
      <w:r>
        <w:rPr>
          <w:rFonts w:ascii="Times New Roman" w:eastAsia="SimSun"/>
          <w:color w:val="90989F"/>
          <w:sz w:val="20"/>
          <w:szCs w:val="20"/>
        </w:rPr>
        <w:t xml:space="preserve">生成方式：基于仓库真实代码与 17 轮开发实测记录</w:t>
      </w:r>
    </w:p>
    <w:p>
      <w:pPr>
        <w:spacing w:before="2200"/>
      </w:pPr>
    </w:p>
    <w:p>
      <w:pPr>
        <w:pBdr>
          <w:top w:val="single" w:color="C9A84C" w:sz="6" w:space="8"/>
        </w:pBdr>
        <w:spacing w:before="200"/>
        <w:ind w:left="1200" w:right="800"/>
      </w:pPr>
      <w:r>
        <w:rPr>
          <w:rFonts w:ascii="Times New Roman" w:eastAsia="SimSun"/>
          <w:color w:val="687078"/>
          <w:sz w:val="16"/>
          <w:szCs w:val="16"/>
        </w:rPr>
        <w:t xml:space="preserve">Apache-2.0 · 内部技术文档 · 全部内容基于仓库真实代码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项目基本信息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核心业务能力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完成度评估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 2 章 技术栈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技术栈总表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安装与运行要求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 3 章 项目目录结构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3.1 目录树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3.2 关键路径速查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第 4 章 系统整体运行原理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请求全链路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三层架构纪律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 5 章 开发环境安装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 需要安装的软件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 6 章 第一次运行项目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 获取代码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6.2 最快路径（一键脚本）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6.3 手动路径（开发推荐）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6.4 演示账号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 7 章 环境变量配置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 8 章 数据库准备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8.1 默认 SQLite（零配置）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8.2 切换 PostgreSQL（可选）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8.3 核心表一览（20 张）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8.4 确认连接成功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 9 章 启动项目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9.1 启动后端（终端 1）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9.2 启动前端（终端 2，开发模式）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9.3 E2E 后端惯例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第 10 章 如何关闭项目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 11 章 运行成功确认清单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 12 章 项目功能总览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 13 章 核心功能详解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13.1 功能：检索（相关度排序）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功能作用与操作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相关度口径（ADR-003 补记）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调用链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常见失败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13.2 功能：股权穿透与证据链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功能作用与操作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调用链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常见失败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13.3 功能：证据工作台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调用链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13.4 功能：数据导入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第 14 章 API 接口总表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第 15 章 数据库说明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15.1 数据模型核心关系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15.2 关键设计约定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 16 章 如何修改已有功能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16.1 按修改类型的路线图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16.2 示例：给证据工作台加一个新统计维度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第 17 章 修改功能的标准流程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第 18 章 如何新增功能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第 19 章 如何新增页面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第 20 章 如何新增后端 API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第 21 章 如何修改数据库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第 22 章 如何修改项目配置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第 23 章 日常继续开发流程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第 24 章 Debug 总体方法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第 25 章 前端 Debug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第 26 章 后端 Debug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第 27 章 API Debug 速查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第 28 章 数据库 Debug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第 29 章 常见错误及解决方法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第 30 章 项目测试方法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第 31 章 回归测试清单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第 32 章 项目维护注意事项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第 33 章 给 AI 的「修改现有功能」提示词模板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第 34 章 给 AI 的「新增功能」提示词模板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第 35 章 给 AI 的「Bug Debug」提示词模板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第 36 章 给 AI 的「解释代码」提示词模板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附录 A 文档交付质量自检清单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附录 B 代码修改记录（本手册生成轮）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说明：目录由域代码生成。编辑后请在 Word 中右键目录并选择「更新域」以刷新页码。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200" w:right="1300" w:bottom="1200" w:left="1300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40" w:before="480"/>
      </w:pPr>
      <w:bookmarkStart w:id="100000" w:name="_Toc10000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 章 项目概述</w:t>
      </w:r>
      <w:bookmarkEnd w:id="100000"/>
    </w:p>
    <w:p>
      <w:pPr>
        <w:pStyle w:val="Heading2"/>
        <w:spacing w:after="180" w:before="320"/>
      </w:pPr>
      <w:bookmarkStart w:id="100001" w:name="_Toc10000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1.1 项目基本信息</w:t>
      </w:r>
      <w:bookmarkEnd w:id="100001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项目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项目名称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CapitalGraph CN（资本图谱）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项目类型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前后端分离的 Web 研究平台（B/S 架构）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项目用途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中国企业资本关系研究：股权穿透、资本流动、系族识别、变更追踪、证据链与数据质量治理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主要用户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企业研究/尽调人员、数据工程师（单人维护 + AI 辅助开发模式）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当前版本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v0.11.0（应用版本，见 CHANGELOG.md）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代码许可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Apache-2.0</w:t>
            </w:r>
          </w:p>
        </w:tc>
      </w:tr>
    </w:tbl>
    <w:p>
      <w:pPr>
        <w:pStyle w:val="Heading2"/>
        <w:spacing w:after="180" w:before="320"/>
      </w:pPr>
      <w:bookmarkStart w:id="100002" w:name="_Toc10000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1.2 核心业务能力</w:t>
      </w:r>
      <w:bookmarkEnd w:id="100002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平台以「声明 + 证据链」为核心数据模型：每一个结论（穿透路径、实际控制人候选、系族归属、风险传导）都关联可回溯的证据链 document → snapshot(sha256) → fragment。所有分析结果标注「算法候选」并附算法版本与口径说明，不构成法律或投资认定。</w:t>
      </w:r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六大功能板块：</w:t>
      </w:r>
      <w:r>
        <w:rPr>
          <w:rFonts w:ascii="Times New Roman" w:eastAsia="SimSun"/>
          <w:b/>
          <w:bCs/>
          <w:sz w:val="21"/>
          <w:szCs w:val="21"/>
        </w:rPr>
        <w:t xml:space="preserve">股权穿透与 UBO</w:t>
      </w:r>
      <w:r>
        <w:rPr>
          <w:rFonts w:ascii="Times New Roman" w:eastAsia="SimSun"/>
          <w:sz w:val="21"/>
          <w:szCs w:val="21"/>
        </w:rPr>
        <w:t xml:space="preserve">（多层穿透、环路检测、聚合权益）；</w:t>
      </w:r>
      <w:r>
        <w:rPr>
          <w:rFonts w:ascii="Times New Roman" w:eastAsia="SimSun"/>
          <w:b/>
          <w:bCs/>
          <w:sz w:val="21"/>
          <w:szCs w:val="21"/>
        </w:rPr>
        <w:t xml:space="preserve">资本流动</w:t>
      </w:r>
      <w:r>
        <w:rPr>
          <w:rFonts w:ascii="Times New Roman" w:eastAsia="SimSun"/>
          <w:sz w:val="21"/>
          <w:szCs w:val="21"/>
        </w:rPr>
        <w:t xml:space="preserve">（省际流向地图、桑基、HHI 集中度）；</w:t>
      </w:r>
      <w:r>
        <w:rPr>
          <w:rFonts w:ascii="Times New Roman" w:eastAsia="SimSun"/>
          <w:b/>
          <w:bCs/>
          <w:sz w:val="21"/>
          <w:szCs w:val="21"/>
        </w:rPr>
        <w:t xml:space="preserve">资本系谱与风险</w:t>
      </w:r>
      <w:r>
        <w:rPr>
          <w:rFonts w:ascii="Times New Roman" w:eastAsia="SimSun"/>
          <w:sz w:val="21"/>
          <w:szCs w:val="21"/>
        </w:rPr>
        <w:t xml:space="preserve">（控制人聚类、担保圈传导）；</w:t>
      </w:r>
      <w:r>
        <w:rPr>
          <w:rFonts w:ascii="Times New Roman" w:eastAsia="SimSun"/>
          <w:b/>
          <w:bCs/>
          <w:sz w:val="21"/>
          <w:szCs w:val="21"/>
        </w:rPr>
        <w:t xml:space="preserve">异动与对比</w:t>
      </w:r>
      <w:r>
        <w:rPr>
          <w:rFonts w:ascii="Times New Roman" w:eastAsia="SimSun"/>
          <w:sz w:val="21"/>
          <w:szCs w:val="21"/>
        </w:rPr>
        <w:t xml:space="preserve">（两时点声明事件流、格局对比）；</w:t>
      </w:r>
      <w:r>
        <w:rPr>
          <w:rFonts w:ascii="Times New Roman" w:eastAsia="SimSun"/>
          <w:b/>
          <w:bCs/>
          <w:sz w:val="21"/>
          <w:szCs w:val="21"/>
        </w:rPr>
        <w:t xml:space="preserve">证据工作台</w:t>
      </w:r>
      <w:r>
        <w:rPr>
          <w:rFonts w:ascii="Times New Roman" w:eastAsia="SimSun"/>
          <w:sz w:val="21"/>
          <w:szCs w:val="21"/>
        </w:rPr>
        <w:t xml:space="preserve">（覆盖率统计、按声明反查、deep-link）；</w:t>
      </w:r>
      <w:r>
        <w:rPr>
          <w:rFonts w:ascii="Times New Roman" w:eastAsia="SimSun"/>
          <w:b/>
          <w:bCs/>
          <w:sz w:val="21"/>
          <w:szCs w:val="21"/>
        </w:rPr>
        <w:t xml:space="preserve">数据质量治理</w:t>
      </w:r>
      <w:r>
        <w:rPr>
          <w:rFonts w:ascii="Times New Roman" w:eastAsia="SimSun"/>
          <w:sz w:val="21"/>
          <w:szCs w:val="21"/>
        </w:rPr>
        <w:t xml:space="preserve">（六维质量规则、比例合计交叉验证、登记处置闭环、真实公告数据接入）。</w:t>
      </w:r>
    </w:p>
    <w:p>
      <w:pPr>
        <w:pStyle w:val="Heading2"/>
        <w:spacing w:after="180" w:before="320"/>
      </w:pPr>
      <w:bookmarkStart w:id="100003" w:name="_Toc10000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1.3 完成度评估</w:t>
      </w:r>
      <w:bookmarkEnd w:id="100003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维度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核心功能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完成（v0.1–v0.11 共 11 个功能版本，40 章验收清单全勾）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测试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 261 项 / 覆盖率 94.9%；前端 vitest 79 项；E2E 24 项（CI 自动重试）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安全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威胁模型 T01–T10 全部有缓解与测试；bandit / npm audit / pip-audit 零公告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文档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README + 13 份 docs/ 文档 + CHANGELOG + .env.example + SBOM，全部与实现同步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工程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mypy 全仓零错、ruff 全规则族、CI 并行常绿、迁移漂移检测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未完成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LLM 自然语言查询层（阶段三规划）、PostgreSQL 生产部署实测（compose 就绪未验证）</w:t>
            </w:r>
          </w:p>
        </w:tc>
      </w:tr>
    </w:tbl>
    <w:p>
      <w:pPr>
        <w:pStyle w:val="Heading1"/>
        <w:spacing w:after="240" w:before="480"/>
      </w:pPr>
      <w:bookmarkStart w:id="100004" w:name="_Toc10000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 章 技术栈</w:t>
      </w:r>
      <w:bookmarkEnd w:id="100004"/>
    </w:p>
    <w:p>
      <w:pPr>
        <w:pStyle w:val="Heading2"/>
        <w:spacing w:after="180" w:before="320"/>
      </w:pPr>
      <w:bookmarkStart w:id="100005" w:name="_Toc10000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2.1 技术栈总表</w:t>
      </w:r>
      <w:bookmarkEnd w:id="100005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类别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实际版本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后端语言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Python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3.12（uv 管理）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全部后端与算法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后端框架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FastAPI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0.11x（lock 锁定）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REST API、OpenAPI 文档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SQLAlchemy 2.x（async）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2.0.53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数据模型与异步访问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SQLite（aiosqlite）/ PostgreSQL 可选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SQLite 3 内置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默认单文件库，生产可切 PG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迁移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Alembic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1.14+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schema 版本管理（CI 漂移检测）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鉴权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argon2-cffi + PyJWT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argon2 23.x / PyJWT 2.14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口令哈希与 HS256 令牌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前端框架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React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18.3.1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SPA UI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前端语言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TypeScript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5.9.3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类型安全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构建工具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8.3.0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开发服务器与打包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图表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Apache ECharts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6.1.0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地图/柱线/桑基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关系图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Cytoscape.js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3.30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穿透图与系族子图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前端路由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react-router-dom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7.18.4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SPA 路由（懒加载）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测试（后端）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pytest + pytest-cov + pytest-xdist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8.x / 6.x / 3.8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261 项测试并行执行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测试（前端）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vitest + @testing-library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5.0.1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79 项组件与纯函数测试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Playwright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1.x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24 项浏览器端到端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包管理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/ npm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0.5+ / npm 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Python workspace / 前端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状态管理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React 内置 state + Context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无 Redux 等额外方案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缓存/消息队列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无（单机内存限流）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多实例部署需 Redis（未实施）</w:t>
            </w:r>
          </w:p>
        </w:tc>
      </w:tr>
    </w:tbl>
    <w:p>
      <w:pPr>
        <w:pStyle w:val="Heading2"/>
        <w:spacing w:after="180" w:before="320"/>
      </w:pPr>
      <w:bookmarkStart w:id="100006" w:name="_Toc10000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2.2 安装与运行要求</w:t>
      </w:r>
      <w:bookmarkEnd w:id="100006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组件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性质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+ Python 3.12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必须安装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后端运行时与依赖管理（uv 自动装 Python）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Node.js ≥ 20 + npm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必须安装（前端开发/构建）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仅运行后端托管 dist 时可跳过 npm run dev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sqlite3 CLI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可选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scripts/backup.sh 的 SQLite 备份依赖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Docker + PostgreSQL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可选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生产部署选项，默认不用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LibreOffice / 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可选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查看本手册无需额外软件</w:t>
            </w:r>
          </w:p>
        </w:tc>
      </w:tr>
    </w:tbl>
    <w:p>
      <w:pPr>
        <w:pStyle w:val="Heading1"/>
        <w:spacing w:after="240" w:before="480"/>
      </w:pPr>
      <w:bookmarkStart w:id="100007" w:name="_Toc100007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 章 项目目录结构</w:t>
      </w:r>
      <w:bookmarkEnd w:id="100007"/>
    </w:p>
    <w:p>
      <w:pPr>
        <w:pStyle w:val="Heading2"/>
        <w:spacing w:after="180" w:before="320"/>
      </w:pPr>
      <w:bookmarkStart w:id="100008" w:name="_Toc10000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3.1 目录树</w:t>
      </w:r>
      <w:bookmarkEnd w:id="100008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capitalgraph/（仓库根，目录名「资本图谱」）
├── apps/
│   ├── api/                 # FastAPI 服务（cg-api 包）
│   │   ├── src/cg_api/      #   路由/鉴权/限流/审计/种子
│   │   └── pyproject.toml   #   版本 0.11.0，入口 cg_api.main:app
│   └── web/                 # React 前端
│       ├── src/pages/       #   11 个页面组件（懒加载）
│       ├── src/components/  #   EChart / GraphCanvas / EvidenceTable
│       ├── e2e/             #   Playwright 用例（24 项）
│       └── dist/            #   构建产物（后端托管）
├── packages/
│   ├── domain/              # 领域模型 + ORM + 仓储（cg-domain）
│   ├── capital_graph/       # 算法纯函数：穿透/系族/事件/对比/质量（cg-capital-graph）
│   ├── entity_resolution/   # 实体解析与打分（cg-entity-resolution）
│   └── connectors/          # 连接器 SDK + 合成数据 + CSV（cg-connectors）
├── workers/                 # 幂等采集 worker（cg-workers）
├── migrations/versions/     # Alembic 迁移（2 个版本）
├── tests/                   # api/capital_graph/connectors/domain/performance/workers
├── scripts/                 # sbom / backup / module_graph / secret_scan
├── data/                    # SQLite 库 + CSV 样例（gitignore，sample 白名单）
├── docs/                    # 14 份文档（含本手册）
└── .github/workflows/ci.yml # CI（后端/前端两 job）</w:t>
      </w:r>
    </w:p>
    <w:p>
      <w:pPr>
        <w:pStyle w:val="Heading2"/>
        <w:spacing w:after="180" w:before="320"/>
      </w:pPr>
      <w:bookmarkStart w:id="100009" w:name="_Toc10000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3.2 关键路径速查</w:t>
      </w:r>
      <w:bookmarkEnd w:id="100009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路径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作用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什么情况下修改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apps/api/src/cg_api/routers/*.py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 REST 端点（11 个路由模块）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新增/修改 API（高频）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packages/capital_graph/src/*.py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算法纯函数（穿透/系族/事件/质量规则）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改业务口径（高频）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packages/domain/src/cg_domain/orm.py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 20 张表的 ORM 定义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改数据库字段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packages/domain/src/cg_domain/repo/*.py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数据访问层（查询/写入）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新增查询（高频）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apps/web/src/pages/*.tsx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页面组件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改页面（高频）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apps/web/src/api.ts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前端统一 API 客户端与类型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后端响应变化时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apps/web/src/styles.css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全部样式与动效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改视觉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migrations/versions/*.py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数据库迁移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 ORM 后必须建迁移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tests/**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全部测试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每次改动（必须）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docs/DECISIONS.md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23 条 ADR（口径与取舍）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改口径前先写 ADR</w:t>
            </w:r>
          </w:p>
        </w:tc>
      </w:tr>
    </w:tbl>
    <w:p>
      <w:pPr>
        <w:pStyle w:val="Heading1"/>
        <w:spacing w:after="240" w:before="480"/>
      </w:pPr>
      <w:bookmarkStart w:id="100010" w:name="_Toc10001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4 章 系统整体运行原理</w:t>
      </w:r>
      <w:bookmarkEnd w:id="100010"/>
    </w:p>
    <w:p>
      <w:pPr>
        <w:pStyle w:val="Heading2"/>
        <w:spacing w:after="180" w:before="320"/>
      </w:pPr>
      <w:bookmarkStart w:id="100011" w:name="_Toc10001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4.1 请求全链路</w:t>
      </w:r>
      <w:bookmarkEnd w:id="100011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用户浏览器
 ↓
前端页面（React SPA，http://127.0.0.1:8300 或 vite 5273）
 ↓
apps/web/src/api.ts（统一客户端：自动附 Bearer Token、统一错误处理）
 ↓（开发模式经 vite 代理 /api → 8300）
HTTP /api/v1/*
 ↓
FastAPI 中间件链（apps/api/src/cg_api/main.py）：
   GZip 压缩 → CORS → 限流（令牌桶）→ 安全头(CSP) → 审计准备
 ↓
路由层 routers/*.py（鉴权依赖注入：Viewer/Analyst/Admin）
 ↓
cg_domain/repo/*.py（仓储查询，全部批量无 N+1）
 ↓
cg_capital_graph 纯函数（算法计算，零 IO）
 ↓
SQLAlchemy async → SQLite/PostgreSQL
 ↓
JSON 响应（附 algorithm_version + assumptions 口径说明）
 ↓
前端状态更新 → ECharts/Cytoscape 渲染</w:t>
      </w:r>
    </w:p>
    <w:p>
      <w:pPr>
        <w:pStyle w:val="Heading2"/>
        <w:spacing w:after="180" w:before="320"/>
      </w:pPr>
      <w:bookmarkStart w:id="100012" w:name="_Toc10001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4.2 三层架构纪律</w:t>
      </w:r>
      <w:bookmarkEnd w:id="100012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层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位置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职责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禁止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算法层（纯函数）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packages/capital_graph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全部业务计算，输出排序确定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禁止 import 数据库/IO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数据层（仓储）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packages/domain/repo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查询投影与写入，时态过滤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禁止反向依赖算法包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路由层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apps/api/src/cg_api/routers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鉴权/RBAC/参数校验/组装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禁止写业务算法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该分层由 scripts/module_graph.py 在 CI 强制校验：依赖方向 domain ← capital_graph ← api，反向依赖直接失败。</w:t>
      </w:r>
    </w:p>
    <w:p>
      <w:pPr>
        <w:pStyle w:val="Heading1"/>
        <w:spacing w:after="240" w:before="480"/>
      </w:pPr>
      <w:bookmarkStart w:id="100013" w:name="_Toc10001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5 章 开发环境安装</w:t>
      </w:r>
      <w:bookmarkEnd w:id="100013"/>
    </w:p>
    <w:p>
      <w:pPr>
        <w:pStyle w:val="Heading2"/>
        <w:spacing w:after="180" w:before="320"/>
      </w:pPr>
      <w:bookmarkStart w:id="100014" w:name="_Toc10001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5.1 需要安装的软件</w:t>
      </w:r>
      <w:bookmarkEnd w:id="100014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软件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版本要求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用途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获取方式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最新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Python 与依赖管理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https://docs.astral.sh/uv/ 一键脚本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Node.js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≥ 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前端开发/构建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https://nodejs.org LTS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任意较新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版本管理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git-scm.com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sqlite3 CLI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任意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备份脚本依赖（可选）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sqlite.org 或系统包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不需要安装：PostgreSQL（默认 SQLite）、Redis（未使用）、Docker（可选部署方式）。Python 3.12 由 uv 自动下载管理，无需手动安装。IDE 推荐 VS Code（Python + TypeScript 插件）或 PyCharm。</w:t>
      </w:r>
    </w:p>
    <w:p>
      <w:pPr>
        <w:pStyle w:val="Heading1"/>
        <w:spacing w:after="240" w:before="480"/>
      </w:pPr>
      <w:bookmarkStart w:id="100015" w:name="_Toc100015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6 章 第一次运行项目</w:t>
      </w:r>
      <w:bookmarkEnd w:id="100015"/>
    </w:p>
    <w:p>
      <w:pPr>
        <w:pStyle w:val="Heading2"/>
        <w:spacing w:after="180" w:before="320"/>
      </w:pPr>
      <w:bookmarkStart w:id="100016" w:name="_Toc10001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6.1 获取代码</w:t>
      </w:r>
      <w:bookmarkEnd w:id="100016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git clone https://github.com/Aisiweiyang/capitalgraph-cn.git
cd capitalgraph-cn        # 仓库目录名可能为「资本图谱」</w:t>
      </w:r>
    </w:p>
    <w:p>
      <w:pPr>
        <w:pStyle w:val="Heading2"/>
        <w:spacing w:after="180" w:before="320"/>
      </w:pPr>
      <w:bookmarkStart w:id="100017" w:name="_Toc10001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6.2 最快路径（一键脚本）</w:t>
      </w:r>
      <w:bookmarkEnd w:id="100017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# Windows：双击仓库根目录
启动演示.cmd
# 等价于：uv sync --frozen → alembic upgrade head → cg-seed --entities 40 → uvicorn 启动
# 浏览器打开 http://127.0.0.1:8300，登录 viewer / viewer-demo-password</w:t>
      </w:r>
    </w:p>
    <w:p>
      <w:pPr>
        <w:pStyle w:val="Heading2"/>
        <w:spacing w:after="180" w:before="320"/>
      </w:pPr>
      <w:bookmarkStart w:id="100018" w:name="_Toc10001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6.3 手动路径（开发推荐）</w:t>
      </w:r>
      <w:bookmarkEnd w:id="100018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# 后端依赖 + 迁移 + 种子
uv sync --frozen
uv run alembic upgrade head
uv run cg-seed --entities 40          # 幂等：重复执行自动跳过
# 后端启动（托管前端 dist）
uv run uvicorn cg_api.main:app --port 8300
# 前端开发模式（另开终端；热更新）
cd apps/web &amp;&amp; npm install &amp;&amp; npm run dev   # http://localhost:5273</w:t>
      </w:r>
    </w:p>
    <w:p>
      <w:pPr>
        <w:pBdr>
          <w:left w:val="single" w:color="C9A84C" w:sz="12" w:space="8"/>
        </w:pBdr>
        <w:spacing w:after="140" w:before="100" w:line="300"/>
        <w:ind w:left="240"/>
      </w:pPr>
      <w:r>
        <w:rPr>
          <w:rFonts w:eastAsia="SimHei"/>
          <w:b/>
          <w:bCs/>
          <w:sz w:val="20"/>
          <w:szCs w:val="20"/>
        </w:rPr>
        <w:t xml:space="preserve">注意：</w:t>
      </w:r>
      <w:r>
        <w:rPr>
          <w:rFonts w:ascii="Times New Roman" w:eastAsia="SimSun"/>
          <w:sz w:val="21"/>
          <w:szCs w:val="21"/>
        </w:rPr>
        <w:t xml:space="preserve">前端生产模式无需 npm run dev：后端已托管 apps/web/dist（构建产物存在时自动启用）。修改前端代码后需 npm run build 才反映到 8300。</w:t>
      </w:r>
    </w:p>
    <w:p>
      <w:pPr>
        <w:pStyle w:val="Heading2"/>
        <w:spacing w:after="180" w:before="320"/>
      </w:pPr>
      <w:bookmarkStart w:id="100019" w:name="_Toc10001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6.4 演示账号</w:t>
      </w:r>
      <w:bookmarkEnd w:id="100019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用户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口令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角色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权限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admin-demo-password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 + 管理端/审计/用户管理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analyst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analyst-demo-password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analyst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读 + 扫描登记/复核处置等写操作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viewer-demo-password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只读</w:t>
            </w:r>
          </w:p>
        </w:tc>
      </w:tr>
    </w:tbl>
    <w:p>
      <w:pPr>
        <w:pStyle w:val="Heading1"/>
        <w:spacing w:after="240" w:before="480"/>
      </w:pPr>
      <w:bookmarkStart w:id="100020" w:name="_Toc10002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7 章 环境变量配置</w:t>
      </w:r>
      <w:bookmarkEnd w:id="100020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完整清单见仓库根目录 .env.example（变量名与代码逐一核对）。注意：项目使用 os.environ 直读，.env 文件需通过 uvicorn --env-file .env 显式加载。</w:t>
      </w:r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变量名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作用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使用位置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CG_SECRET_KEY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JWT 签名密钥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生产必填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（dev 自动生成临时值）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cg_api/auth.py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CG_ENV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运行环境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development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auth.py（prod 强制密钥）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CG_DATABASE_URL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数据库连接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sqlite+aiosqlite:///./data/capitalgraph.sqlite3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cg_domain/db.py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CG_RATE_LIMIT_PER_MINUTE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每 IP 限流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120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cg_api/ratelimit.py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CG_TRUST_PROXY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信任 X-Forwarded-For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cg_api/ratelimit.py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CG_ARGON2_TIME_COST 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口令哈希成本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与库默认一致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cg_api/auth.py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CG_CORS_ORIGINS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CORS 白名单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localhost:5173/5273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cg_api/main.py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CG_WEB_DIST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前端产物目录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apps/web/dist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cg_api/main.py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CG_LOG_LEVEL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日志级别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INFO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cg_api/main.py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CG_API_PROXY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vite 代理目标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前端开发用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http://127.0.0.1:8300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vite.config.ts</w:t>
            </w:r>
          </w:p>
        </w:tc>
      </w:tr>
    </w:tbl>
    <w:p>
      <w:pPr>
        <w:pStyle w:val="Heading1"/>
        <w:spacing w:after="240" w:before="480"/>
      </w:pPr>
      <w:bookmarkStart w:id="100021" w:name="_Toc10002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8 章 数据库准备</w:t>
      </w:r>
      <w:bookmarkEnd w:id="100021"/>
    </w:p>
    <w:p>
      <w:pPr>
        <w:pStyle w:val="Heading2"/>
        <w:spacing w:after="180" w:before="320"/>
      </w:pPr>
      <w:bookmarkStart w:id="100022" w:name="_Toc10002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8.1 默认 SQLite（零配置）</w:t>
      </w:r>
      <w:bookmarkEnd w:id="100022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数据库文件 data/capitalgraph.sqlite3 由 alembic upgrade head 自动创建（父目录自动确保存在），无需手工建库。迁移后执行 uv run cg-seed 写入演示数据（3 用户 + 合成实体/声明/证据）。</w:t>
      </w:r>
    </w:p>
    <w:p>
      <w:pPr>
        <w:pStyle w:val="Heading2"/>
        <w:spacing w:after="180" w:before="320"/>
      </w:pPr>
      <w:bookmarkStart w:id="100023" w:name="_Toc10002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8.2 切换 PostgreSQL（可选）</w:t>
      </w:r>
      <w:bookmarkEnd w:id="100023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# infra/docker-compose.yml 提供 PG 服务
docker compose -f infra/docker-compose.yml up -d
# .env / 环境变量设置连接串
CG_DATABASE_URL=postgresql+asyncpg://cg:cg@localhost:5432/capitalgraph
uv run alembic upgrade head    # 迁移双方言兼容</w:t>
      </w:r>
    </w:p>
    <w:p>
      <w:pPr>
        <w:pStyle w:val="Heading2"/>
        <w:spacing w:after="180" w:before="320"/>
      </w:pPr>
      <w:bookmarkStart w:id="100024" w:name="_Toc10002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8.3 核心表一览（20 张）</w:t>
      </w:r>
      <w:bookmarkEnd w:id="100024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表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用途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关键字段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entities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主体主档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id, primary_norm_name, kind, region_code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entity_identifiers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主体标识符（uscc/lei/src 命名空间）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namespace, value（唯一约束）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name_aliases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名称别名/曾用名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entity_id, name, alias_type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relationship_statements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关系声明（时态左闭右开）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subject_id, predicate, object_id, share_ratio_scaled, valid_from/to, status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statement_evidence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声明-证据关联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statement_id, evidence_fragment_id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source_documents / source_snapshots / evidence_fragments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证据三层链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title/source_url, content_sha256/fetched_at, field_path/raw_value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risk_flags / quality_issues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风险标记 / 质量登记（处置闭环）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flag_type / rule_name, status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users / audit_log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用户 / 审计日志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username, role / actor, action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ingestion_runs / resolution_* / ownership_calculations / derived_paths / review_queue / tasks / dataset_licenses / securities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采集运行/解析/计算/复核队列/任务/许可/证券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详见 orm.py</w:t>
            </w:r>
          </w:p>
        </w:tc>
      </w:tr>
    </w:tbl>
    <w:p>
      <w:pPr>
        <w:pStyle w:val="Heading2"/>
        <w:spacing w:after="180" w:before="320"/>
      </w:pPr>
      <w:bookmarkStart w:id="100025" w:name="_Toc10002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8.4 确认连接成功</w:t>
      </w:r>
      <w:bookmarkEnd w:id="100025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curl http://127.0.0.1:8300/api/v1/health
# 期望：{"status":"ok","database":"ok",...}
# status=degraded 表示数据库不可达：检查 CG_DATABASE_URL 与迁移</w:t>
      </w:r>
    </w:p>
    <w:p>
      <w:pPr>
        <w:pStyle w:val="Heading1"/>
        <w:spacing w:after="240" w:before="480"/>
      </w:pPr>
      <w:bookmarkStart w:id="100026" w:name="_Toc100026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9 章 启动项目</w:t>
      </w:r>
      <w:bookmarkEnd w:id="100026"/>
    </w:p>
    <w:p>
      <w:pPr>
        <w:pStyle w:val="Heading2"/>
        <w:spacing w:after="180" w:before="320"/>
      </w:pPr>
      <w:bookmarkStart w:id="100027" w:name="_Toc10002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9.1 启动后端（终端 1）</w:t>
      </w:r>
      <w:bookmarkEnd w:id="100027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cd capitalgraph（仓库根）
uv run uvicorn cg_api.main:app --port 8300
# 成功标志：INFO: Uvicorn running on http://127.0.0.1:8300
# API 文档：http://127.0.0.1:8300/api/v1/docs</w:t>
      </w:r>
    </w:p>
    <w:p>
      <w:pPr>
        <w:pStyle w:val="Heading2"/>
        <w:spacing w:after="180" w:before="320"/>
      </w:pPr>
      <w:bookmarkStart w:id="100028" w:name="_Toc10002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9.2 启动前端（终端 2，开发模式）</w:t>
      </w:r>
      <w:bookmarkEnd w:id="100028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cd apps/web
npm run dev
# 成功标志：VITE ready，地址 http://localhost:5273
# 后端不在 8300 时：CG_API_PROXY=http://127.0.0.1:&lt;端口&gt; npm run dev</w:t>
      </w:r>
    </w:p>
    <w:p>
      <w:pPr>
        <w:pStyle w:val="Heading2"/>
        <w:spacing w:after="180" w:before="320"/>
      </w:pPr>
      <w:bookmarkStart w:id="100029" w:name="_Toc10002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9.3 E2E 后端惯例</w:t>
      </w:r>
      <w:bookmarkEnd w:id="100029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# E2E 用独立种子库与更高限流（24 项用例并发会触发默认限流）
CG_DATABASE_URL=sqlite+aiosqlite:///./data/e2e-v05.sqlite3
CG_RATE_LIMIT_PER_MINUTE=1200
uv run uvicorn cg_api.main:app --port 8301</w:t>
      </w:r>
    </w:p>
    <w:p>
      <w:pPr>
        <w:pStyle w:val="Heading1"/>
        <w:spacing w:after="240" w:before="480"/>
      </w:pPr>
      <w:bookmarkStart w:id="100030" w:name="_Toc10003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10 章 如何关闭项目</w:t>
      </w:r>
      <w:bookmarkEnd w:id="100030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前后端均为前台进程：Ctrl + C 停止。SQLite 无独立服务进程。Docker 场景：docker compose down（数据卷保留）。E2E 后端（8301）若后台运行，用任务管理器或 kill 结束 uvicorn 进程。</w:t>
      </w:r>
    </w:p>
    <w:p>
      <w:pPr>
        <w:pStyle w:val="Heading1"/>
        <w:spacing w:after="240" w:before="480"/>
      </w:pPr>
      <w:bookmarkStart w:id="100031" w:name="_Toc10003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11 章 运行成功确认清单</w:t>
      </w:r>
      <w:bookmarkEnd w:id="100031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检查项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方法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期望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后端存活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curl http://127.0.0.1:8300/api/v1/health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status=ok, database=ok, version=0.11.0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前端页面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浏览器打开 http://127.0.0.1:8300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登录页/仪表板正常显示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登录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viewer-demo-password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跳转仪表板，右上角显示角色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检索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检索「有限公司」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结果列表按相关度排序（每行显示相关度百分比）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Console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F12 控制台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无红色错误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Network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F12 网络面板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无 5xx；401 仅在未登录时出现</w:t>
            </w:r>
          </w:p>
        </w:tc>
      </w:tr>
    </w:tbl>
    <w:p>
      <w:pPr>
        <w:pStyle w:val="Heading1"/>
        <w:spacing w:after="240" w:before="480"/>
      </w:pPr>
      <w:bookmarkStart w:id="100032" w:name="_Toc10003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12 章 项目功能总览</w:t>
      </w:r>
      <w:bookmarkEnd w:id="100032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功能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用户入口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前端代码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后端路由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API 前缀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核心表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检索与详情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首页 / 检索页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Search.tsx, Entity.tsx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entities.py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/entities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entities, entity_identifiers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股权穿透/UBO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详情页→穿透图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Explore.tsx, GraphCanvas.tsx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penetration.py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/penetration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relationship_statements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资本流动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流动页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Flows.tsx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flows.py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/flows/*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relationship_statements(聚合)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资本系谱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系谱页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Families.tsx, FamilyGraph.tsx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families.py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/families/*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relationship_statements(聚合)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风险传导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实体页风险区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Entity.tsx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risk.py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/risk/*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risk_flags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变更事件流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异动页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Events.tsx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events.py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relationship_statements(对比)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证据工作台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Evidence.tsx, EvidenceTable.tsx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evidence.py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/evidence/*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source_documents/snapshots/fragments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数据质量治理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证据页质量总览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Evidence.tsx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evidence.py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/evidence/quality*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派生 + quality_issues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复核队列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复核页（analyst）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Review.tsx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ops.py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/review, /quality/issues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review_queue, quality_issues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管理与审计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管理页（admin）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Admin.tsx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ops.py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/admin/*, /audit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users, audit_log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数据导入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管理页/接口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Admin.tsx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ingest.py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/ingest/*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ingestion_runs + 全部主档表</w:t>
            </w:r>
          </w:p>
        </w:tc>
      </w:tr>
    </w:tbl>
    <w:p>
      <w:pPr>
        <w:pStyle w:val="Heading1"/>
        <w:spacing w:after="240" w:before="480"/>
      </w:pPr>
      <w:bookmarkStart w:id="100033" w:name="_Toc10003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13 章 核心功能详解</w:t>
      </w:r>
      <w:bookmarkEnd w:id="100033"/>
    </w:p>
    <w:p>
      <w:pPr>
        <w:pStyle w:val="Heading2"/>
        <w:spacing w:after="180" w:before="320"/>
      </w:pPr>
      <w:bookmarkStart w:id="100034" w:name="_Toc10003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13.1 功能：检索（相关度排序）</w:t>
      </w:r>
      <w:bookmarkEnd w:id="100034"/>
    </w:p>
    <w:p>
      <w:pPr>
        <w:pStyle w:val="Heading3"/>
        <w:spacing w:after="120" w:before="240"/>
      </w:pPr>
      <w:bookmarkStart w:id="100035" w:name="_Toc100035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功能作用与操作</w:t>
      </w:r>
      <w:bookmarkEnd w:id="100035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全站数据入口：输入公司/人名/统一社会信用代码/证券代码，命中后点击进入详情。检索词自动写入地址栏（/?q=…），可分享刷新。</w:t>
      </w:r>
    </w:p>
    <w:p>
      <w:pPr>
        <w:pStyle w:val="Heading3"/>
        <w:spacing w:after="120" w:before="240"/>
      </w:pPr>
      <w:bookmarkStart w:id="100036" w:name="_Toc100036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相关度口径（ADR-003 补记）</w:t>
      </w:r>
      <w:bookmarkEnd w:id="100036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命中集合由 SQL 包含匹配决定；展示顺序由 score_name_match 纯函数评分：完全相等 1.0、前缀 0.9、包含 0.85、2-gram Dice×0.8。每行显示相关度百分比；超过 20 条用「加载更多」增量分页。</w:t>
      </w:r>
    </w:p>
    <w:p>
      <w:pPr>
        <w:pStyle w:val="Heading3"/>
        <w:spacing w:after="120" w:before="240"/>
      </w:pPr>
      <w:bookmarkStart w:id="100037" w:name="_Toc100037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调用链</w:t>
      </w:r>
      <w:bookmarkEnd w:id="100037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Search.tsx → api.search() → GET /api/v1/entities/search?q=&amp;limit=&amp;offset=
 → entities.py:search_entities → repo.search（SQL 包含匹配）
 → score_name_match 评分排序（内存分页，候选上限 1000）
 → 响应 {total, hits:[{id,kind,primary_name,score}]}</w:t>
      </w:r>
    </w:p>
    <w:p>
      <w:pPr>
        <w:pStyle w:val="Heading3"/>
        <w:spacing w:after="120" w:before="240"/>
      </w:pPr>
      <w:bookmarkStart w:id="100038" w:name="_Toc100038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常见失败</w:t>
      </w:r>
      <w:bookmarkEnd w:id="100038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现象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原因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检查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零命中但有数据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查询词过短或全为标点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换长词；检查 normalize 行为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只显示 20 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分页设计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点击「加载更多」</w:t>
            </w:r>
          </w:p>
        </w:tc>
      </w:tr>
    </w:tbl>
    <w:p>
      <w:pPr>
        <w:pStyle w:val="Heading2"/>
        <w:spacing w:after="180" w:before="320"/>
      </w:pPr>
      <w:bookmarkStart w:id="100039" w:name="_Toc10003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13.2 功能：股权穿透与证据链</w:t>
      </w:r>
      <w:bookmarkEnd w:id="100039"/>
    </w:p>
    <w:p>
      <w:pPr>
        <w:pStyle w:val="Heading3"/>
        <w:spacing w:after="120" w:before="240"/>
      </w:pPr>
      <w:bookmarkStart w:id="100040" w:name="_Toc100040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功能作用与操作</w:t>
      </w:r>
      <w:bookmarkEnd w:id="100040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从详情页进入穿透图：向上/向下多层展开股权与控制关系，检测环路/交叉持股，聚合有效权益并给出 UBO 候选（R1/R2 规则）。左侧栏每条结论带「查看」证据链接，一键跳转证据工作台反查 document → snapshot(sha256) → fragment。</w:t>
      </w:r>
    </w:p>
    <w:p>
      <w:pPr>
        <w:pStyle w:val="Heading3"/>
        <w:spacing w:after="120" w:before="240"/>
      </w:pPr>
      <w:bookmarkStart w:id="100041" w:name="_Toc100041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调用链</w:t>
      </w:r>
      <w:bookmarkEnd w:id="100041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Explore.tsx → GET /api/v1/penetration/{entity_id}?direction=&amp;at=&amp;max_depth=
 → penetration.py（RBAC viewer）→ cg_capital_graph.penetrate 纯函数
 → build_adjacency(relationship_statements 投影) → DFS + 环检测 + 聚合
 → 响应（nodes/edges/cycles/ubo_candidates，附 ALGORITHM_VERSION 与假设）
 → GraphCanvas（Cytoscape breadthfirst 布局渲染，双击节点展开）</w:t>
      </w:r>
    </w:p>
    <w:p>
      <w:pPr>
        <w:pStyle w:val="Heading3"/>
        <w:spacing w:after="120" w:before="240"/>
      </w:pPr>
      <w:bookmarkStart w:id="100042" w:name="_Toc100042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常见失败</w:t>
      </w:r>
      <w:bookmarkEnd w:id="100042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现象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原因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检查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max_depth 超护栏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默认 6，服务端硬上限拒绝放宽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图形空白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数据无声明或时点过滤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切换 at 时点；检查声明 status</w:t>
            </w:r>
          </w:p>
        </w:tc>
      </w:tr>
    </w:tbl>
    <w:p>
      <w:pPr>
        <w:pStyle w:val="Heading2"/>
        <w:spacing w:after="180" w:before="320"/>
      </w:pPr>
      <w:bookmarkStart w:id="100043" w:name="_Toc10004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13.3 功能：证据工作台</w:t>
      </w:r>
      <w:bookmarkEnd w:id="100043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证据页从上到下五区：覆盖率卡片（总体/谓词/连接器/年度）、覆盖率趋势（柱线图+数据条）、质量总览（六维度计数 + 各规则候选表）、时效风险（阈值可调）、声明反查与文档浏览。任意行「反查」把声明 ID 填入反查框；deep-link 从全站各结论行汇入（/evidence?statements=id1,id2）。</w:t>
      </w:r>
    </w:p>
    <w:p>
      <w:pPr>
        <w:pStyle w:val="Heading3"/>
        <w:spacing w:after="120" w:before="240"/>
      </w:pPr>
      <w:bookmarkStart w:id="100044" w:name="_Toc100044"/>
      <w:r>
        <w:rPr>
          <w:rFonts w:ascii="Times New Roman" w:eastAsia="SimHei"/>
          <w:b/>
          <w:bCs/>
          <w:color w:val="333333"/>
          <w:sz w:val="24"/>
          <w:szCs w:val="24"/>
        </w:rPr>
        <w:t xml:space="preserve">调用链</w:t>
      </w:r>
      <w:bookmarkEnd w:id="100044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Evidence.tsx 挂载 4 请求：coverage / documents / staleness / quality
 → evidence.py（viewer 可读）→ repo 聚合查询 + cg_capital_graph 质量纯函数
 → 六维度计数（覆盖率缺失/时效/有效性/唯一性/一致性/比例合计）
analyst 额外：POST /staleness/scan、/quality/scan 幂等登记 QualityIssue
 → Review.tsx 复核页可见、可「标记已处理」（resolve 端点，写审计）</w:t>
      </w:r>
    </w:p>
    <w:p>
      <w:pPr>
        <w:pStyle w:val="Heading2"/>
        <w:spacing w:after="180" w:before="320"/>
      </w:pPr>
      <w:bookmarkStart w:id="100045" w:name="_Toc10004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13.4 功能：数据导入</w:t>
      </w:r>
      <w:bookmarkEnd w:id="100045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CSV 连接器支持两种形态：基础模板（data/sample/自备数据模板.csv，15 列）与真实公告风格（真实公告风格示例.csv，20 列，含 evidence_title/evidence_date）。导入入口 POST /ingest/runs（admin），幂等键防重，坏行隔离并留痕，声明携带证据自动登记三层链。</w:t>
      </w:r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新列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evidence_title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公告标题 → 来源文档独立归档，证据链显示标题并可跳转真实 URL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evidence_date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公告日期 → 快照 captured_at，时效规则按真实披露日期判定</w:t>
            </w:r>
          </w:p>
        </w:tc>
      </w:tr>
    </w:tbl>
    <w:p>
      <w:pPr>
        <w:pStyle w:val="Heading1"/>
        <w:spacing w:after="240" w:before="480"/>
      </w:pPr>
      <w:bookmarkStart w:id="100046" w:name="_Toc100046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14 章 API 接口总表</w:t>
      </w:r>
      <w:bookmarkEnd w:id="100046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全部端点前缀 /api/v1，JSON 传输，鉴权为 Bearer Token（登录获取）。下表为全部 50 个端点（按路由模块分组）；交互式文档见 /api/v1/docs（Swagger UI）。</w:t>
      </w:r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模块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Method + 路径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鉴权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认证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POST /auth/login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匿名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用户名口令换 JWT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统计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/stats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仪表板汇总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/entities/search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检索（score 相关度）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/entities/by-region/{code}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按省级行政区划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详情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/entities/{id}/history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历史时点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/entities/{id}/evidence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/entities/{id}/events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实体事件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/entities/{id}/shareholders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股东（含 at 时点）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实体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/entities/{id}/investments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对外投资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穿透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/penetration/{id}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穿透图数据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穿透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/penetration/{id}/export.csv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CSV 导出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流动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/flows/regions|summary|industries|timeline|compare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流动五端点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系谱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/families、/families/compare、/families/flows、/families/{root}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系谱四端点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风险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/risk/chains/{id}、/risk/flags；POST /risk/compute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analyst(写)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担保链与传导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事件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/events、/events/types；GET /entities/{id}/events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事件流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/evidence/coverage、/coverage/timeline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覆盖率与趋势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/evidence/documents、/lookup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文档树/反查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/evidence/quality；POST /evidence/quality/scan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analyst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六维总览/登记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/evidence/staleness；POST /evidence/staleness/scan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analyst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时效候选/登记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导入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/ingest/connectors；POST /ingest/runs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连接器清单/执行导入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复核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/review/items；POST /review/items/{id}/resolve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analyst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复核队列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质量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/quality/issues；POST /quality/issues/{id}/resolve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viewer / analyst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质量登记/处置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/audit、GET /admin/summary；POST /admin/users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审计/汇总/建用户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GET /health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匿名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探活 + 数据库连通</w:t>
            </w:r>
          </w:p>
        </w:tc>
      </w:tr>
    </w:tbl>
    <w:p>
      <w:pPr>
        <w:pBdr>
          <w:left w:val="single" w:color="C9A84C" w:sz="12" w:space="8"/>
        </w:pBdr>
        <w:spacing w:after="140" w:before="100" w:line="300"/>
        <w:ind w:left="240"/>
      </w:pPr>
      <w:r>
        <w:rPr>
          <w:rFonts w:eastAsia="SimHei"/>
          <w:b/>
          <w:bCs/>
          <w:sz w:val="20"/>
          <w:szCs w:val="20"/>
        </w:rPr>
        <w:t xml:space="preserve">注意：</w:t>
      </w:r>
      <w:r>
        <w:rPr>
          <w:rFonts w:ascii="Times New Roman" w:eastAsia="SimSun"/>
          <w:sz w:val="21"/>
          <w:szCs w:val="21"/>
        </w:rPr>
        <w:t xml:space="preserve">错误语义统一：401 未登录（响应「请先登录」且前端清 token）、403 角色不足、422 参数越界（附中文 detail）、429 限流（Retry-After）、500 服务端（不泄露堆栈，细节在日志）。</w:t>
      </w:r>
    </w:p>
    <w:p>
      <w:pPr>
        <w:pStyle w:val="Heading1"/>
        <w:spacing w:after="240" w:before="480"/>
      </w:pPr>
      <w:bookmarkStart w:id="100047" w:name="_Toc100047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15 章 数据库说明</w:t>
      </w:r>
      <w:bookmarkEnd w:id="100047"/>
    </w:p>
    <w:p>
      <w:pPr>
        <w:pStyle w:val="Heading2"/>
        <w:spacing w:after="180" w:before="320"/>
      </w:pPr>
      <w:bookmarkStart w:id="100048" w:name="_Toc10004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15.1 数据模型核心关系</w:t>
      </w:r>
      <w:bookmarkEnd w:id="100048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entities（主体）──1:N──&gt; entity_identifiers（uscc/lei/src 标识符）
entities ──M:N（经 relationship_statements）──&gt; entities  （subject_id → object_id 声明）
relationship_statements ──1:N──&gt; statement_evidence ──N:1──&gt; evidence_fragments
evidence_fragments ──N:1──&gt; source_snapshots ──N:1──&gt; source_documents
relationship_statements：status=active/superseded，valid_from ≤ at &lt; valid_to</w:t>
      </w:r>
    </w:p>
    <w:p>
      <w:pPr>
        <w:pStyle w:val="Heading2"/>
        <w:spacing w:after="180" w:before="320"/>
      </w:pPr>
      <w:bookmarkStart w:id="100049" w:name="_Toc10004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15.2 关键设计约定</w:t>
      </w:r>
      <w:bookmarkEnd w:id="100049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约定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原始层只追加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声明不改写：新事实 = 新声明 + 旧声明 superseded；时点查询永不改历史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比例缩放整数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share_ratio_scaled ∈ 0..1e8（1e8=100%），杜绝浮点进存储；展示经 scaled_to_percent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证据内容哈希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snapshot.content_sha256 为幂等键；原文按配置落对象存储（store_raw_documents）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派生不落库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事件/对比/覆盖率/质量候选均查询时计算；仅 risk_flags/quality_issues/review_queue 可写</w:t>
            </w:r>
          </w:p>
        </w:tc>
      </w:tr>
    </w:tbl>
    <w:p>
      <w:pPr>
        <w:pStyle w:val="Heading1"/>
        <w:spacing w:after="240" w:before="480"/>
      </w:pPr>
      <w:bookmarkStart w:id="100050" w:name="_Toc10005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16 章 如何修改已有功能</w:t>
      </w:r>
      <w:bookmarkEnd w:id="100050"/>
    </w:p>
    <w:p>
      <w:pPr>
        <w:pStyle w:val="Heading2"/>
        <w:spacing w:after="180" w:before="320"/>
      </w:pPr>
      <w:bookmarkStart w:id="100051" w:name="_Toc10005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16.1 按修改类型的路线图</w:t>
      </w:r>
      <w:bookmarkEnd w:id="100051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修改类型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必须触碰的文件（按顺序）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只改页面样式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styles.css（或页面内 className）→ 完成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改前端交互/展示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pages/*.tsx → 需要新数据时加 api.ts 方法与类型 → vitest + 该页 E2E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改请求参数/响应结构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 routers/*.py → schemas.py → 前端 api.ts 类型 → 双端测试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改业务口径/算法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先写 ADR（docs/DECISIONS.md）→ capital_graph 纯函数 + 版本常量升位 → repo 投影 → 路由 → 测试（纯函数/集成/性能）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改数据库字段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orm.py → alembic revision --autogenerate -m "..." → alembic check → repo → 受影响 API → 前端类型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改权限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routers 中依赖声明（ViewerUser/AnalystUser/AdminUser）→ 前端 hasRole 显隐 → RBAC 测试</w:t>
            </w:r>
          </w:p>
        </w:tc>
      </w:tr>
    </w:tbl>
    <w:p>
      <w:pPr>
        <w:pStyle w:val="Heading2"/>
        <w:spacing w:after="180" w:before="320"/>
      </w:pPr>
      <w:bookmarkStart w:id="100052" w:name="_Toc10005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16.2 示例：给证据工作台加一个新统计维度</w:t>
      </w:r>
      <w:bookmarkEnd w:id="100052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1. packages/capital_graph/quality.py（或新模块）：纯函数 + 版本常量 + assumptions
2. tests/capital_graph/：纯函数单测（边界/确定性/排序）
3. packages/domain/repo/statements.py：输入行 dataclass + 查询方法
4. apps/api/routers/evidence.py：/quality counts 增维度 + scan 登记（rule_name）
5. apps/web/src/api.ts：counts 类型 → Evidence.tsx 计数卡（语义色）
6. tests/api/test_evidence_api.py：RBAC + 注入脏数据断言
7. apps/web/e2e：卡数断言同步（toHaveCount）</w:t>
      </w:r>
    </w:p>
    <w:p>
      <w:pPr>
        <w:pStyle w:val="Heading1"/>
        <w:spacing w:after="240" w:before="480"/>
      </w:pPr>
      <w:bookmarkStart w:id="100053" w:name="_Toc10005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17 章 修改功能的标准流程</w:t>
      </w:r>
      <w:bookmarkEnd w:id="100053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明确需求
↓ 找入口：docs/PROJECT_GUIDE.md §3.3 或本手册第 12 章功能表
↓ 确认调用链：grep 路由路径（routers）→ repo → 纯函数
↓ 确认数据结构：orm.py + api.ts 类型
↓ 最小修改（每层一个关注点）
↓ uv run pytest tests/&lt;相关目录&gt; -q      # 快速反馈
↓ npx tsc -b &amp;&amp; npx vitest run          # 前端
↓ uv run pytest tests -n auto           # 全量
↓ uv run ruff check packages apps workers tests
↓ 手工验证页面 + F12
↓ git commit（惯例：feat:/fix:/perf:/chore: 主题——要点）</w:t>
      </w:r>
    </w:p>
    <w:p>
      <w:pPr>
        <w:pStyle w:val="Heading1"/>
        <w:spacing w:after="240" w:before="480"/>
      </w:pPr>
      <w:bookmarkStart w:id="100054" w:name="_Toc10005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18 章 如何新增功能</w:t>
      </w:r>
      <w:bookmarkEnd w:id="100054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项目内置最佳参照：v0.6/v0.7 的质量规则族就是按以下步骤完整走通的实例（可对照 git 历史）。标准顺序：</w:t>
      </w:r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1. docs/DECISIONS.md 新增 ADR（口径先行）
2. packages/capital_graph 新纯函数模块（版本常量 + assumptions + 确定性输出）
3. tests/capital_graph/ 纯函数单测
4. packages/domain/repo/ 输入行 dataclass + 查询（时点过滤口径对齐既有端点）
5. routers/ 端点（只读 viewer / 写 analyst 分离；响应附 version+assumptions）
6. tests/api/ 集成测试（401/403/参数校验/注入验证）
7. apps/web/src/api.ts 类型与方法 → 页面区组件 → E2E 用例
8. 文档：PROJECT_PLAN 验收清单 + TEST_REPORT 实测 + ARCHITECTURE/DATA_MODEL 增量</w:t>
      </w:r>
    </w:p>
    <w:p>
      <w:pPr>
        <w:pStyle w:val="Heading1"/>
        <w:spacing w:after="240" w:before="480"/>
      </w:pPr>
      <w:bookmarkStart w:id="100055" w:name="_Toc100055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19 章 如何新增页面</w:t>
      </w:r>
      <w:bookmarkEnd w:id="100055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1. apps/web/src/pages/NewPage.tsx（默认导出组件，供 React.lazy）
2. App.tsx：const NewPage = lazy(...) + &lt;Route path="/new" element={...}/&gt;
3. 交互元素加 data-testid（E2E 依赖）
4. 侧边导航：App.tsx Header 的 NavLink（按角色 hasRole 显隐）
5. 数据：api.ts 加方法；加载/空/错误三态沿 Evidence.tsx 模式
6. 参照页面：Evidence.tsx（最完整：四区布局 + 语义色 + 处置交互）</w:t>
      </w:r>
    </w:p>
    <w:p>
      <w:pPr>
        <w:pStyle w:val="Heading1"/>
        <w:spacing w:after="240" w:before="480"/>
      </w:pPr>
      <w:bookmarkStart w:id="100056" w:name="_Toc100056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20 章 如何新增后端 API</w:t>
      </w:r>
      <w:bookmarkEnd w:id="100056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FastAPI 模式：
routers/&lt;模块&gt;.py 内
  router = APIRouter(prefix="/xxx", tags=["…"])
  @router.get("/path")            # 依赖注入声明鉴权最低角色
  async def handler(repo: Repo, _user: ViewerUser, ...):
      rows = await repo.xxx(...)          # 数据访问
      return {...}                        # 附 algorithm_version/assumptions
main.py：app.include_router(xxx.router, prefix=API_PREFIX)
参数校验：Query(ge=…, le=…) / Pydantic Body 模型
测试：tests/api/test_xxx.py（参照 test_evidence_api.py：401/403/形状/注入）</w:t>
      </w:r>
    </w:p>
    <w:p>
      <w:pPr>
        <w:pStyle w:val="Heading1"/>
        <w:spacing w:after="240" w:before="480"/>
      </w:pPr>
      <w:bookmarkStart w:id="100057" w:name="_Toc100057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21 章 如何修改数据库</w:t>
      </w:r>
      <w:bookmarkEnd w:id="100057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# 标准流程（CI 有漂移检测：改 ORM 忘建迁移会失败）
1. 改 packages/domain/src/cg_domain/orm.py
2. uv run alembic revision --autogenerate -m "add xxx"
3. 人工检查生成的迁移脚本
4. uv run alembic upgrade head        # 本地应用
5. uv run alembic check               # 零漂移确认
6. 回滚：uv run alembic downgrade -1
# 同步链：repo 查询 → routers → 前端 api.ts 类型 → 表单/校验 → 测试</w:t>
      </w:r>
    </w:p>
    <w:p>
      <w:pPr>
        <w:pStyle w:val="Heading1"/>
        <w:spacing w:after="240" w:before="480"/>
      </w:pPr>
      <w:bookmarkStart w:id="100058" w:name="_Toc100058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22 章 如何修改项目配置</w:t>
      </w:r>
      <w:bookmarkEnd w:id="100058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配置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位置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后端端口/限流/CORS/托管目录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环境变量（.env.example 全清单）或启动参数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vite 代理目标/端口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apps/web/vite.config.ts（CG_API_PROXY / port 5273）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前端依赖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apps/web/package.json（升级前跑 npm audit）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Python 依赖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各包 pyproject.toml + uv lock（CI --frozen 校验）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限流/哈希成本等运行参数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.env.example 全清单</w:t>
            </w:r>
          </w:p>
        </w:tc>
      </w:tr>
    </w:tbl>
    <w:p>
      <w:pPr>
        <w:pStyle w:val="Heading1"/>
        <w:spacing w:after="240" w:before="480"/>
      </w:pPr>
      <w:bookmarkStart w:id="100059" w:name="_Toc100059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23 章 日常继续开发流程</w:t>
      </w:r>
      <w:bookmarkEnd w:id="100059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开始：git pull → uv sync --frozen → 起后端(8300) → 起前端(5273) → 首页正常
修改：先看第 12 章功能表定位调用链 → 最小修改
完成：tsc/lint/vitest → pytest 相关 → pytest 全量 → 手工页面验证 → 提交</w:t>
      </w:r>
    </w:p>
    <w:p>
      <w:pPr>
        <w:pStyle w:val="Heading1"/>
        <w:spacing w:after="240" w:before="480"/>
      </w:pPr>
      <w:bookmarkStart w:id="100060" w:name="_Toc10006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24 章 Debug 总体方法</w:t>
      </w:r>
      <w:bookmarkEnd w:id="100060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先分层定位，不要直接改代码。判断顺序：页面现象 → Console → Network（状态码与载荷）→ 前端 api.ts → 后端路由 → repo/算法 → 数据库。多数问题在 Network 的状态码就分层完毕（下章速查）。</w:t>
      </w:r>
    </w:p>
    <w:p>
      <w:pPr>
        <w:pStyle w:val="Heading1"/>
        <w:spacing w:after="240" w:before="480"/>
      </w:pPr>
      <w:bookmarkStart w:id="100061" w:name="_Toc10006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25 章 前端 Debug</w:t>
      </w:r>
      <w:bookmarkEnd w:id="100061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F12 → Console：TypeError / 未捕获 Promise / React 警告
F12 → Network → Fetch/XHR：URL、Status、Authorization 头、载荷、响应
组件级：window.__echarts_instances 暴露图表实例；React DevTools 看状态
本仓库特性：api.ts 统一错误（ApiError.status + message 取响应 detail）</w:t>
      </w:r>
    </w:p>
    <w:p>
      <w:pPr>
        <w:pStyle w:val="Heading1"/>
        <w:spacing w:after="240" w:before="480"/>
      </w:pPr>
      <w:bookmarkStart w:id="100062" w:name="_Toc10006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26 章 后端 Debug</w:t>
      </w:r>
      <w:bookmarkEnd w:id="100062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uvicorn 终端即后端日志（uv run 时直接输出）。
VS Code 断点调试：.vscode/launch.json 用 debugpy attach 或
  "module": "uvicorn", "args": ["cg_api.main:app", "--port", "8300"]
推荐断点位置：路由处理函数首行 / repo 查询返回处 / 纯函数入口
注意：500 响应不向客户端泄露堆栈（安全设计），细节只在日志。</w:t>
      </w:r>
    </w:p>
    <w:p>
      <w:pPr>
        <w:pStyle w:val="Heading1"/>
        <w:spacing w:after="240" w:before="480"/>
      </w:pPr>
      <w:bookmarkStart w:id="100063" w:name="_Toc10006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27 章 API Debug 速查</w:t>
      </w:r>
      <w:bookmarkEnd w:id="100063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状态码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含义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本仓库检查点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请求未发出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前端逻辑/网络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Console；api.ts 方法是否被调用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路径错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api.ts URL vs routers prefix；API_PREFIX=/api/v1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未带/无效 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localStorage cg_token；auth.ts decode；后端日志 invalid-token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角色不足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路由依赖（Viewer/Analyst/Admin）vs 当前用户角色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参数校验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响应 detail（中文，含边界说明）；Query(ge/le)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限流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Retry-After；E2E 场景提高 CG_RATE_LIMIT_PER_MINUTE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服务端异常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uvicorn 日志（堆栈只在日志）；Exception handler 统一返回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200 但页面不对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取值/类型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对照 api.ts 类型与实际 JSON；null 口径（— 显示）</w:t>
            </w:r>
          </w:p>
        </w:tc>
      </w:tr>
    </w:tbl>
    <w:p>
      <w:pPr>
        <w:pStyle w:val="Heading1"/>
        <w:spacing w:after="240" w:before="480"/>
      </w:pPr>
      <w:bookmarkStart w:id="100064" w:name="_Toc10006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28 章 数据库 Debug</w:t>
      </w:r>
      <w:bookmarkEnd w:id="100064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# 快速直查（SQLite）
uv run python -c "import sqlite3;c=sqlite3.connect('data/capitalgraph.sqlite3');\
print(c.execute('select name from sqlite_master where type=\"table\"').fetchall())"
# 常见：no such table → 迁移未执行（alembic upgrade head）
#       UNIQUE constraint → 幂等键冲突（identifiers 唯一约束/声明去重）
#       NOT NULL → 裸 SQL 绕过 ORM 默认值（补 created_at/recorded_at 等）
#       database is locked → WAL 已启用；检查并发写进程
# 健康检查：GET /api/v1/health 的 database 字段</w:t>
      </w:r>
    </w:p>
    <w:p>
      <w:pPr>
        <w:pStyle w:val="Heading1"/>
        <w:spacing w:after="240" w:before="480"/>
      </w:pPr>
      <w:bookmarkStart w:id="100065" w:name="_Toc100065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29 章 常见错误及解决方法</w:t>
      </w:r>
      <w:bookmarkEnd w:id="100065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错误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常见原因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解决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前端请求全失败/ECONNREFUSED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后端未起或端口不符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起后端；CG_API_PROXY 指向正确端口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打开 5173 无页面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README 笔误已修，实际 5273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用 http://localhost:5273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Port already in use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8300/5273/8301 被占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换端口；启动脚本内修改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429 请求过于频繁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默认限流 120/分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E2E 用 CG_RATE_LIMIT_PER_MINUTE=1200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登录后仍 401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token 过期/密钥变化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退出重登；生产换 CG_SECRET_KEY 后全失效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Target database is not up to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迁移落后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run alembic upgrade head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alembic check 报漂移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改 ORM 未建迁移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alembic revision --autogenerate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pytest 偶发 429/串行中断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E2E 冷启动抖动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CI 已配 retries=1；本地重跑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中文检索零命中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（历史）双重编码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已修（URLSearchParams 不要手动 encodeURIComponent）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npm install 失败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网络/Node 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Node ≥ 20；检查 npm cache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ModuleNotFoundError: cg_xxx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未 uv sync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sync --frozen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页面白屏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组件异常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RootErrorBoundary 兜底显示；Console 看堆栈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推送 GitHub 连接失败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本机网络对 github.com 阻断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git -c http.curloptResolve=github.com:443:140.82.112.3 push（换 IP 重试）</w:t>
            </w:r>
          </w:p>
        </w:tc>
      </w:tr>
    </w:tbl>
    <w:p>
      <w:pPr>
        <w:pStyle w:val="Heading1"/>
        <w:spacing w:after="240" w:before="480"/>
      </w:pPr>
      <w:bookmarkStart w:id="100066" w:name="_Toc100066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30 章 项目测试方法</w:t>
      </w:r>
      <w:bookmarkEnd w:id="100066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层次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命令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数量/说明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后端全量+覆盖率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run pytest tests --cov -q -n auto --dist loadfile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261 项 / 94.9%（并行 ~55s）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后端单文件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run pytest tests/api/test_evidence_api.py -q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快速反馈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按关键字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run pytest tests -k quality -q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定位相关用例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性能基线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uv run pytest tests/performance -q -s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2008 声明规模 p50/max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前端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cd apps/web &amp;&amp; npx vitest run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79 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起 8301 后端 → CG_API_PROXY=…8301 npx playwright test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24 项（show-trace 看失败）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静态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ruff check/format / mypy / tsc -b / module_graph / secret_scan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全部 CI 强制</w:t>
            </w:r>
          </w:p>
        </w:tc>
      </w:tr>
    </w:tbl>
    <w:p>
      <w:pPr>
        <w:pStyle w:val="Heading1"/>
        <w:spacing w:after="240" w:before="480"/>
      </w:pPr>
      <w:bookmarkStart w:id="100067" w:name="_Toc100067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31 章 回归测试清单</w:t>
      </w:r>
      <w:bookmarkEnd w:id="100067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□ uv run pytest tests -n auto 全绿（261）
□ npx tsc -b &amp;&amp; npx vitest run 全绿（78）
□ npm run build 成功
□ ruff check + format --check 全过
□ E2E 24 项全绿（需 8301 后端）
□ 手工：登录/检索/穿透/证据/质量五卡/异动 各点一遍
□ GET /health：version=0.11.0，database=ok</w:t>
      </w:r>
    </w:p>
    <w:p>
      <w:pPr>
        <w:pStyle w:val="Heading1"/>
        <w:spacing w:after="240" w:before="480"/>
      </w:pPr>
      <w:bookmarkStart w:id="100068" w:name="_Toc100068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32 章 项目维护注意事项</w:t>
      </w:r>
      <w:bookmarkEnd w:id="100068"/>
    </w:p>
    <w:tbl>
      <w:tblPr>
        <w:tblW w:type="pct" w:w="100%"/>
        <w:tblBorders>
          <w:top w:val="single" w:color="C9A84C" w:sz="8"/>
          <w:left w:val="none"/>
          <w:bottom w:val="single" w:color="C9A84C" w:sz="8"/>
          <w:right w:val="none"/>
          <w:insideH w:val="single" w:color="DDD5C0" w:sz="2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类别</w:t>
            </w:r>
          </w:p>
        </w:tc>
        <w:tc>
          <w:tcPr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SimHei"/>
                <w:b/>
                <w:bCs/>
                <w:color w:val="1A1A1A"/>
                <w:sz w:val="19"/>
                <w:szCs w:val="19"/>
              </w:rPr>
              <w:t xml:space="preserve">注意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不要随便改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orm.py（需迁移联动）、normalization.py（全部名称比较的基线）、events/compare 口径（seed=42 断言锁定）、ratelimit 默认值（安全语义）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依赖升级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先 npm audit/pip-audit，升后全量回归；echarts 大版本需过 E2E（画布类用例）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敏感配置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CG_SECRET_KEY（不进库）、生产演示口令必须更换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公共模块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api.ts（全站数据层）、EvidenceTable（实体/工作台共用）、auth.tsx（全局状态）——改前看调用方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关键表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relationship_statements（原始层只追加，禁止 UPDATE 历史行）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被多页复用的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/>
                <w:sz w:val="21"/>
                <w:szCs w:val="21"/>
              </w:rPr>
              <w:t xml:space="preserve">/evidence/lookup（穿透/系谱/异动/复核全部 deep-link 到它）</w:t>
            </w:r>
          </w:p>
        </w:tc>
      </w:tr>
    </w:tbl>
    <w:p>
      <w:pPr>
        <w:pStyle w:val="Heading1"/>
        <w:spacing w:after="240" w:before="480"/>
      </w:pPr>
      <w:bookmarkStart w:id="100069" w:name="_Toc100069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33 章 给 AI 的「修改现有功能」提示词模板</w:t>
      </w:r>
      <w:bookmarkEnd w:id="100069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我要继续修改当前项目。
本次需求：【填写需求】
请先阅读项目中和这个功能有关的现有代码，不要直接重写整个项目。
请先告诉我：
1. 当前功能是怎么运行的；2. 用户操作入口在哪里；
3. 前端涉及哪些文件；4. API 涉及哪些文件；5. 后端涉及哪些文件；
6. 数据库涉及哪些表；7. 当前完整调用链；8. 修改后可能影响哪些功能。
然后生成修改计划。修改时每次按以下格式：
【文件路径】【当前代码作用】【需要修改的位置】
【修改前代码】【修改后代码】【为什么这样修改】
【是否影响其他模块】【是否需要重启】【如何验证】
不要大规模重构。完成后告诉我：需要运行什么命令、是否需要重装依赖/执行
迁移/重启前后端、如何测试、正确结果是什么、失败先检查哪里。</w:t>
      </w:r>
    </w:p>
    <w:p>
      <w:pPr>
        <w:pStyle w:val="Heading1"/>
        <w:spacing w:after="240" w:before="480"/>
      </w:pPr>
      <w:bookmarkStart w:id="100070" w:name="_Toc10007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34 章 给 AI 的「新增功能」提示词模板</w:t>
      </w:r>
      <w:bookmarkEnd w:id="100070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我要在当前项目中新增一个功能：【填写功能需求】
请先扫描项目中最相似的现有功能（建议参照：质量规则族 v0.6/v0.7/v0.10 的
完整实现链），分析其页面/组件/路由/前端 API/后端路由/仓储/ORM/测试。
请沿用当前项目已有架构（纯函数算法 + 仓储投影 + 路由适配 + 前端 api.ts），
不要创建第二套架构，不要为简单功能引入大型依赖，不要随意升级框架。
先给开发计划（数据库 → ORM → 纯函数 → 仓储 → 路由 → API → 前端 → 路由
→ 权限 → 测试），每步说明：改哪个文件、为什么、放哪里、影响面、如何验证。
完成后执行完整回归（后端 261 / 前端 79 / E2E 24）。</w:t>
      </w:r>
    </w:p>
    <w:p>
      <w:pPr>
        <w:pStyle w:val="Heading1"/>
        <w:spacing w:after="240" w:before="480"/>
      </w:pPr>
      <w:bookmarkStart w:id="100071" w:name="_Toc10007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35 章 给 AI 的「Bug Debug」提示词模板</w:t>
      </w:r>
      <w:bookmarkEnd w:id="100071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当前项目出现 Bug。
我的操作步骤：【1/2/3】  我执行的命令：【填写】
完整报错：【粘贴完整报错】  预期结果：【填写】  实际结果：【填写】
请不要靠猜测直接修改大量代码。按以下步骤：
1. 判断问题属于：环境/依赖/配置/前端/API/后端/数据库/权限/第三方服务
2. 找到第一个真正的错误；3. 定位具体文件与代码位置；
4. 判断 root cause；5. 告诉我如何验证这个判断；
6. 给出最小修改方案与具体内容；7. 修改后执行什么命令；
8. 如何确认已修复。
暂不确定时用 Console/Network/后端日志/断点/数据库查询逐步缩小，不要乱改多个模块。</w:t>
      </w:r>
    </w:p>
    <w:p>
      <w:pPr>
        <w:pStyle w:val="Heading1"/>
        <w:spacing w:after="240" w:before="480"/>
      </w:pPr>
      <w:bookmarkStart w:id="100072" w:name="_Toc10007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第 36 章 给 AI 的「解释代码」提示词模板</w:t>
      </w:r>
      <w:bookmarkEnd w:id="100072"/>
    </w:p>
    <w:p>
      <w:pPr>
        <w:shd w:fill="F4F1E8" w:val="clear"/>
        <w:spacing w:after="120" w:before="60" w:line="276"/>
        <w:ind w:left="240" w:right="240"/>
      </w:pPr>
      <w:r>
        <w:rPr>
          <w:rFonts w:ascii="Consolas" w:eastAsia="SimHei"/>
          <w:sz w:val="18"/>
          <w:szCs w:val="18"/>
        </w:rPr>
        <w:t xml:space="preserve">请帮我解释下面这个文件或函数。
文件：【文件路径】
请按以下结构解释：【一句话作用】【谁调用它】【它调用谁】【输入】
【处理过程（按执行顺序）】【输出】【涉及数据库】【涉及 API】
【完整数据流（箭头图）】【如果我要修改需要同步检查哪些地方】
请用容易理解的方式，不要只解释语法。</w:t>
      </w:r>
    </w:p>
    <w:p>
      <w:pPr>
        <w:pStyle w:val="Heading1"/>
        <w:spacing w:after="240" w:before="480"/>
      </w:pPr>
      <w:bookmarkStart w:id="100073" w:name="_Toc10007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附录 A 文档交付质量自检清单</w:t>
      </w:r>
      <w:bookmarkEnd w:id="100073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本手册按以下 35 问自检（答案均在对应章节）：项目用途与技术栈（第 1–2 章）；安装与首次运行（第 5–6 章）；环境变量（第 7 章）；数据库准备与确认（第 8 章）；启动/关闭/成功确认（第 9–11 章）；功能清单与逐功能操作、调用链（第 12–13 章）；API 全表与错误语义（第 14 章）；数据模型（第 15 章）；修改/新增功能/页面/API/数据库的路线（第 16–22 章）；日常流程与 Debug 分层（第 23–28 章）；常见错误（第 29 章）；测试与回归（第 30–31 章）；维护注意事项（第 32 章）；AI 协作模板（第 33–36 章）。</w:t>
      </w:r>
    </w:p>
    <w:p>
      <w:pPr>
        <w:pStyle w:val="Heading1"/>
        <w:spacing w:after="240" w:before="480"/>
      </w:pPr>
      <w:bookmarkStart w:id="100074" w:name="_Toc10007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附录 B 代码修改记录（本手册生成轮）</w:t>
      </w:r>
      <w:bookmarkEnd w:id="100074"/>
    </w:p>
    <w:p>
      <w:pPr>
        <w:spacing w:after="120" w:line="312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本手册为纯文档交付，未修改任何业务代码。此前 17 轮开发的代码修改记录见 docs/TEST_REPORT.md（逐轮实测）、CHANGELOG.md（版本摘要）与 docs/DELIVERY.md。</w:t>
      </w:r>
    </w:p>
    <w:sectPr>
      <w:headerReference w:type="default" r:id="rId8"/>
      <w:footerReference w:type="default" r:id="rId9"/>
      <w:type w:val="nextPage"/>
      <w:pgSz w:w="11906" w:h="16838" w:orient="portrait"/>
      <w:pgMar w:top="1200" w:right="1300" w:bottom="1200" w:left="13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Times New Roman" w:eastAsia="SimSun"/>
        <w:color w:val="888888"/>
        <w:sz w:val="16"/>
        <w:szCs w:val="16"/>
      </w:rPr>
      <w:t xml:space="preserve">CapitalGraph CN 技术手册 · v0.11.0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项目操作、功能说明、二次开发与调试手册</dc:title>
  <dc:creator>CapitalGraph CN</dc:creator>
  <cp:lastModifiedBy>Un-named</cp:lastModifiedBy>
  <cp:revision>1</cp:revision>
  <dcterms:created xsi:type="dcterms:W3CDTF">2026-09-19T15:11:11.832Z</dcterms:created>
  <dcterms:modified xsi:type="dcterms:W3CDTF">2026-09-19T15:11:11.833Z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