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B6B9" w14:textId="4B2BAE42" w:rsidR="00AB1376" w:rsidRPr="005D7B4B" w:rsidRDefault="002F6E0C" w:rsidP="002F6E0C">
      <w:pPr>
        <w:pStyle w:val="Title"/>
        <w:jc w:val="center"/>
        <w:rPr>
          <w:color w:val="4472C4" w:themeColor="accent1"/>
          <w:sz w:val="32"/>
          <w:szCs w:val="32"/>
        </w:rPr>
      </w:pPr>
      <w:r w:rsidRPr="005D7B4B">
        <w:rPr>
          <w:color w:val="4472C4" w:themeColor="accent1"/>
          <w:sz w:val="32"/>
          <w:szCs w:val="32"/>
        </w:rPr>
        <w:t>Final Report</w:t>
      </w:r>
    </w:p>
    <w:p w14:paraId="0C5A213B" w14:textId="487FF8B6" w:rsidR="002F6E0C" w:rsidRPr="005D7B4B" w:rsidRDefault="002F6E0C" w:rsidP="002F6E0C">
      <w:pPr>
        <w:pStyle w:val="Title"/>
        <w:jc w:val="center"/>
        <w:rPr>
          <w:color w:val="4472C4" w:themeColor="accent1"/>
          <w:sz w:val="32"/>
          <w:szCs w:val="32"/>
        </w:rPr>
      </w:pPr>
      <w:r w:rsidRPr="005D7B4B">
        <w:rPr>
          <w:color w:val="4472C4" w:themeColor="accent1"/>
          <w:sz w:val="32"/>
          <w:szCs w:val="32"/>
        </w:rPr>
        <w:t>Predicting Sepsis in ICU Patients</w:t>
      </w:r>
    </w:p>
    <w:p w14:paraId="4B7C5F61" w14:textId="789BC54A" w:rsidR="002F6E0C" w:rsidRPr="005D7B4B" w:rsidRDefault="002F6E0C" w:rsidP="006019BD">
      <w:pPr>
        <w:pStyle w:val="Heading4"/>
        <w:jc w:val="center"/>
        <w:rPr>
          <w:rStyle w:val="IntenseEmphasis"/>
          <w:i/>
          <w:iCs/>
          <w:sz w:val="24"/>
          <w:szCs w:val="24"/>
        </w:rPr>
      </w:pPr>
      <w:r w:rsidRPr="005D7B4B">
        <w:rPr>
          <w:rStyle w:val="IntenseEmphasis"/>
          <w:i/>
          <w:iCs/>
          <w:sz w:val="24"/>
          <w:szCs w:val="24"/>
        </w:rPr>
        <w:t>By Aisling Casey</w:t>
      </w:r>
      <w:r w:rsidR="006019BD" w:rsidRPr="005D7B4B">
        <w:rPr>
          <w:rStyle w:val="IntenseEmphasis"/>
          <w:i/>
          <w:iCs/>
          <w:sz w:val="24"/>
          <w:szCs w:val="24"/>
        </w:rPr>
        <w:t xml:space="preserve"> – 05/1</w:t>
      </w:r>
      <w:r w:rsidR="007C0986" w:rsidRPr="005D7B4B">
        <w:rPr>
          <w:rStyle w:val="IntenseEmphasis"/>
          <w:i/>
          <w:iCs/>
          <w:sz w:val="24"/>
          <w:szCs w:val="24"/>
        </w:rPr>
        <w:t>9</w:t>
      </w:r>
      <w:r w:rsidR="006019BD" w:rsidRPr="005D7B4B">
        <w:rPr>
          <w:rStyle w:val="IntenseEmphasis"/>
          <w:i/>
          <w:iCs/>
          <w:sz w:val="24"/>
          <w:szCs w:val="24"/>
        </w:rPr>
        <w:t>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8901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245B9" w14:textId="627DC063" w:rsidR="002F6E0C" w:rsidRPr="007C0986" w:rsidRDefault="006019BD" w:rsidP="00A54FEE">
          <w:pPr>
            <w:pStyle w:val="TOCHeading"/>
            <w:pBdr>
              <w:bottom w:val="single" w:sz="4" w:space="1" w:color="auto"/>
            </w:pBdr>
            <w:rPr>
              <w:sz w:val="22"/>
              <w:szCs w:val="22"/>
            </w:rPr>
          </w:pPr>
          <w:r w:rsidRPr="007C0986">
            <w:rPr>
              <w:sz w:val="22"/>
              <w:szCs w:val="22"/>
            </w:rPr>
            <w:t xml:space="preserve">Table of </w:t>
          </w:r>
          <w:r w:rsidR="002F6E0C" w:rsidRPr="007C0986">
            <w:rPr>
              <w:sz w:val="22"/>
              <w:szCs w:val="22"/>
            </w:rPr>
            <w:t>Contents</w:t>
          </w:r>
        </w:p>
        <w:p w14:paraId="772E4D11" w14:textId="4774CD2C" w:rsidR="00F93F86" w:rsidRDefault="002F6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C0986">
            <w:fldChar w:fldCharType="begin"/>
          </w:r>
          <w:r w:rsidRPr="007C0986">
            <w:instrText xml:space="preserve"> TOC \o "1-3" \h \z \u </w:instrText>
          </w:r>
          <w:r w:rsidRPr="007C0986">
            <w:fldChar w:fldCharType="separate"/>
          </w:r>
          <w:hyperlink w:anchor="_Toc72332767" w:history="1">
            <w:r w:rsidR="00F93F86" w:rsidRPr="00B3548D">
              <w:rPr>
                <w:rStyle w:val="Hyperlink"/>
                <w:noProof/>
              </w:rPr>
              <w:t>Overview</w:t>
            </w:r>
            <w:r w:rsidR="00F93F86">
              <w:rPr>
                <w:noProof/>
                <w:webHidden/>
              </w:rPr>
              <w:tab/>
            </w:r>
            <w:r w:rsidR="00F93F86">
              <w:rPr>
                <w:noProof/>
                <w:webHidden/>
              </w:rPr>
              <w:fldChar w:fldCharType="begin"/>
            </w:r>
            <w:r w:rsidR="00F93F86">
              <w:rPr>
                <w:noProof/>
                <w:webHidden/>
              </w:rPr>
              <w:instrText xml:space="preserve"> PAGEREF _Toc72332767 \h </w:instrText>
            </w:r>
            <w:r w:rsidR="00F93F86">
              <w:rPr>
                <w:noProof/>
                <w:webHidden/>
              </w:rPr>
            </w:r>
            <w:r w:rsidR="00F93F86"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1</w:t>
            </w:r>
            <w:r w:rsidR="00F93F86">
              <w:rPr>
                <w:noProof/>
                <w:webHidden/>
              </w:rPr>
              <w:fldChar w:fldCharType="end"/>
            </w:r>
          </w:hyperlink>
        </w:p>
        <w:p w14:paraId="464F71AC" w14:textId="6BA8AC0C" w:rsidR="00F93F86" w:rsidRDefault="00F93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68" w:history="1">
            <w:r w:rsidRPr="00B3548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ADEC" w14:textId="0360D7A2" w:rsidR="00F93F86" w:rsidRDefault="00F93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69" w:history="1">
            <w:r w:rsidRPr="00B3548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19CA" w14:textId="0417614D" w:rsidR="00F93F86" w:rsidRDefault="00F93F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0" w:history="1">
            <w:r w:rsidRPr="00B3548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3951" w14:textId="6673629C" w:rsidR="00F93F86" w:rsidRDefault="00F93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1" w:history="1">
            <w:r w:rsidRPr="00B3548D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B796" w14:textId="16085511" w:rsidR="00F93F86" w:rsidRDefault="00F93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2" w:history="1">
            <w:r w:rsidRPr="00B3548D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C358" w14:textId="1246ED7B" w:rsidR="00F93F86" w:rsidRDefault="00F93F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3" w:history="1">
            <w:r w:rsidRPr="00B3548D">
              <w:rPr>
                <w:rStyle w:val="Hyperlink"/>
                <w:noProof/>
              </w:rPr>
              <w:t>Vital 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D63E" w14:textId="1DE3A7E6" w:rsidR="00F93F86" w:rsidRDefault="00F93F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4" w:history="1">
            <w:r w:rsidRPr="00B3548D">
              <w:rPr>
                <w:rStyle w:val="Hyperlink"/>
                <w:noProof/>
              </w:rPr>
              <w:t>Lab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E91B" w14:textId="1E28C7C1" w:rsidR="00F93F86" w:rsidRDefault="00F93F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5" w:history="1">
            <w:r w:rsidRPr="00B3548D">
              <w:rPr>
                <w:rStyle w:val="Hyperlink"/>
                <w:rFonts w:eastAsia="Times New Roman"/>
                <w:noProof/>
              </w:rPr>
              <w:t>Demographic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8FD1" w14:textId="6A6F21A5" w:rsidR="00F93F86" w:rsidRDefault="00F93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6" w:history="1">
            <w:r w:rsidRPr="00B3548D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2B0E" w14:textId="49018627" w:rsidR="00F93F86" w:rsidRDefault="00F93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7" w:history="1">
            <w:r w:rsidRPr="00B3548D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81BE" w14:textId="24B72F24" w:rsidR="00F93F86" w:rsidRDefault="00F93F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8" w:history="1">
            <w:r w:rsidRPr="00B3548D">
              <w:rPr>
                <w:rStyle w:val="Hyperlink"/>
                <w:noProof/>
              </w:rPr>
              <w:t>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1EB4" w14:textId="4497A391" w:rsidR="00F93F86" w:rsidRDefault="00F93F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32779" w:history="1">
            <w:r w:rsidRPr="00B3548D">
              <w:rPr>
                <w:rStyle w:val="Hyperlink"/>
                <w:noProof/>
              </w:rPr>
              <w:t>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6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98D4" w14:textId="6F43C092" w:rsidR="002F6E0C" w:rsidRPr="007C0986" w:rsidRDefault="002F6E0C" w:rsidP="002F6E0C">
          <w:r w:rsidRPr="007C0986">
            <w:rPr>
              <w:b/>
              <w:bCs/>
              <w:noProof/>
            </w:rPr>
            <w:fldChar w:fldCharType="end"/>
          </w:r>
        </w:p>
      </w:sdtContent>
    </w:sdt>
    <w:p w14:paraId="66F409FE" w14:textId="7A04A410" w:rsidR="00A54FEE" w:rsidRPr="007C0986" w:rsidRDefault="00A54FEE" w:rsidP="00A54FEE">
      <w:pPr>
        <w:pStyle w:val="Heading1"/>
        <w:rPr>
          <w:sz w:val="22"/>
          <w:szCs w:val="22"/>
        </w:rPr>
      </w:pPr>
      <w:bookmarkStart w:id="0" w:name="_Toc72332767"/>
      <w:r w:rsidRPr="007C0986">
        <w:rPr>
          <w:sz w:val="22"/>
          <w:szCs w:val="22"/>
        </w:rPr>
        <w:t>Overview</w:t>
      </w:r>
      <w:bookmarkEnd w:id="0"/>
      <w:r w:rsidRPr="007C0986">
        <w:rPr>
          <w:sz w:val="22"/>
          <w:szCs w:val="22"/>
        </w:rPr>
        <w:t xml:space="preserve"> </w:t>
      </w:r>
    </w:p>
    <w:p w14:paraId="5ADC9017" w14:textId="44CC26A9" w:rsidR="002F6E0C" w:rsidRPr="007C0986" w:rsidRDefault="002F6E0C" w:rsidP="002F6E0C">
      <w:pPr>
        <w:pStyle w:val="Heading2"/>
        <w:rPr>
          <w:sz w:val="22"/>
          <w:szCs w:val="22"/>
        </w:rPr>
      </w:pPr>
      <w:bookmarkStart w:id="1" w:name="_Toc72332768"/>
      <w:r w:rsidRPr="007C0986">
        <w:rPr>
          <w:sz w:val="22"/>
          <w:szCs w:val="22"/>
        </w:rPr>
        <w:t>Problem Statement</w:t>
      </w:r>
      <w:bookmarkEnd w:id="1"/>
      <w:r w:rsidRPr="007C0986">
        <w:rPr>
          <w:sz w:val="22"/>
          <w:szCs w:val="22"/>
        </w:rPr>
        <w:t xml:space="preserve"> </w:t>
      </w:r>
    </w:p>
    <w:p w14:paraId="1F4C7B58" w14:textId="5424AE64" w:rsidR="00A54FEE" w:rsidRPr="007C0986" w:rsidRDefault="001339FA" w:rsidP="001339FA">
      <w:pPr>
        <w:rPr>
          <w:rFonts w:cstheme="minorHAnsi"/>
        </w:rPr>
      </w:pPr>
      <w:r w:rsidRPr="007C0986">
        <w:rPr>
          <w:rFonts w:cstheme="minorHAnsi"/>
        </w:rPr>
        <w:t xml:space="preserve">Sepsis is a leading cause of death in US hospital patients. Sepsis occurs </w:t>
      </w:r>
      <w:proofErr w:type="gramStart"/>
      <w:r w:rsidRPr="007C0986">
        <w:rPr>
          <w:rFonts w:cstheme="minorHAnsi"/>
        </w:rPr>
        <w:t>when..</w:t>
      </w:r>
      <w:proofErr w:type="gramEnd"/>
      <w:r w:rsidRPr="007C0986">
        <w:rPr>
          <w:rFonts w:cstheme="minorHAnsi"/>
        </w:rPr>
        <w:t xml:space="preserve"> “</w:t>
      </w:r>
      <w:r w:rsidRPr="007C0986">
        <w:rPr>
          <w:rFonts w:cstheme="minorHAnsi"/>
          <w:color w:val="212529"/>
          <w:shd w:val="clear" w:color="auto" w:fill="FFFFFF"/>
        </w:rPr>
        <w:t xml:space="preserve">when the body's response to infection causes tissue damage, organ failure, or </w:t>
      </w:r>
      <w:proofErr w:type="gramStart"/>
      <w:r w:rsidRPr="007C0986">
        <w:rPr>
          <w:rFonts w:cstheme="minorHAnsi"/>
          <w:color w:val="212529"/>
          <w:shd w:val="clear" w:color="auto" w:fill="FFFFFF"/>
        </w:rPr>
        <w:t>death”</w:t>
      </w:r>
      <w:r w:rsidRPr="007C0986">
        <w:rPr>
          <w:rFonts w:cstheme="minorHAnsi"/>
          <w:vertAlign w:val="superscript"/>
        </w:rPr>
        <w:t>[</w:t>
      </w:r>
      <w:proofErr w:type="gramEnd"/>
      <w:r w:rsidRPr="007C0986">
        <w:rPr>
          <w:rFonts w:cstheme="minorHAnsi"/>
          <w:vertAlign w:val="superscript"/>
        </w:rPr>
        <w:t>1][3]</w:t>
      </w:r>
      <w:r w:rsidRPr="007C0986">
        <w:rPr>
          <w:rFonts w:cstheme="minorHAnsi"/>
        </w:rPr>
        <w:t>. Prompt intervention in sepsis patients can improve the likelihood of their condition improving significantly, while unnecessary treatment in non-sepsis patients drains limited hospital resources</w:t>
      </w:r>
      <w:r w:rsidR="006019BD" w:rsidRPr="007C0986">
        <w:rPr>
          <w:rFonts w:cstheme="minorHAnsi"/>
        </w:rPr>
        <w:t xml:space="preserve">. </w:t>
      </w:r>
    </w:p>
    <w:p w14:paraId="1E4320DA" w14:textId="52F3E18E" w:rsidR="00A54FEE" w:rsidRPr="007C0986" w:rsidRDefault="00A54FEE" w:rsidP="001339FA">
      <w:pPr>
        <w:rPr>
          <w:rFonts w:cstheme="minorHAnsi"/>
        </w:rPr>
      </w:pPr>
      <w:r w:rsidRPr="007C0986">
        <w:rPr>
          <w:rFonts w:cstheme="minorHAnsi"/>
        </w:rPr>
        <w:t>The purpose of this project was to create a model that could predict if an ICU patient would develop sepsis in the next six hours</w:t>
      </w:r>
      <w:r w:rsidR="00A778F5" w:rsidRPr="007C0986">
        <w:rPr>
          <w:rFonts w:cstheme="minorHAnsi"/>
        </w:rPr>
        <w:t xml:space="preserve"> using hourly vital sign, </w:t>
      </w:r>
      <w:proofErr w:type="gramStart"/>
      <w:r w:rsidR="00A778F5" w:rsidRPr="007C0986">
        <w:rPr>
          <w:rFonts w:cstheme="minorHAnsi"/>
        </w:rPr>
        <w:t>lab</w:t>
      </w:r>
      <w:proofErr w:type="gramEnd"/>
      <w:r w:rsidR="00A778F5" w:rsidRPr="007C0986">
        <w:rPr>
          <w:rFonts w:cstheme="minorHAnsi"/>
        </w:rPr>
        <w:t xml:space="preserve"> and demographic data</w:t>
      </w:r>
      <w:r w:rsidRPr="007C0986">
        <w:rPr>
          <w:rFonts w:cstheme="minorHAnsi"/>
        </w:rPr>
        <w:t xml:space="preserve">. </w:t>
      </w:r>
      <w:r w:rsidR="005D7B4B">
        <w:rPr>
          <w:rFonts w:cstheme="minorHAnsi"/>
        </w:rPr>
        <w:t>Using the data science method</w:t>
      </w:r>
      <w:r w:rsidRPr="007C0986">
        <w:rPr>
          <w:rFonts w:cstheme="minorHAnsi"/>
        </w:rPr>
        <w:t xml:space="preserve">, I created a model for predicting if sepsis would occur within the next 3 hours, as well as a model that would predict if the patient had sepsis or not. </w:t>
      </w:r>
    </w:p>
    <w:p w14:paraId="40BC5AE7" w14:textId="3C19CCA2" w:rsidR="00A54FEE" w:rsidRPr="007C0986" w:rsidRDefault="00A54FEE" w:rsidP="00A54FEE">
      <w:pPr>
        <w:pStyle w:val="Heading2"/>
        <w:rPr>
          <w:sz w:val="22"/>
          <w:szCs w:val="22"/>
        </w:rPr>
      </w:pPr>
      <w:bookmarkStart w:id="2" w:name="_Toc72332769"/>
      <w:r w:rsidRPr="007C0986">
        <w:rPr>
          <w:sz w:val="22"/>
          <w:szCs w:val="22"/>
        </w:rPr>
        <w:t>Results</w:t>
      </w:r>
      <w:bookmarkEnd w:id="2"/>
      <w:r w:rsidRPr="007C0986">
        <w:rPr>
          <w:sz w:val="22"/>
          <w:szCs w:val="22"/>
        </w:rPr>
        <w:t xml:space="preserve"> </w:t>
      </w:r>
    </w:p>
    <w:p w14:paraId="1F6CED17" w14:textId="43522C65" w:rsidR="003D5655" w:rsidRDefault="00AC4D64" w:rsidP="00AC4D64">
      <w:r w:rsidRPr="007C0986">
        <w:t xml:space="preserve">Unfortunately, I was not able to create a useful model from this problem. The </w:t>
      </w:r>
      <w:r w:rsidR="007C0986" w:rsidRPr="007C0986">
        <w:t>l</w:t>
      </w:r>
      <w:r w:rsidRPr="007C0986">
        <w:t xml:space="preserve">ogistic </w:t>
      </w:r>
      <w:r w:rsidR="007C0986" w:rsidRPr="007C0986">
        <w:t>r</w:t>
      </w:r>
      <w:r w:rsidRPr="007C0986">
        <w:t xml:space="preserve">egression, </w:t>
      </w:r>
      <w:r w:rsidR="007C0986" w:rsidRPr="007C0986">
        <w:t>d</w:t>
      </w:r>
      <w:r w:rsidRPr="007C0986">
        <w:t xml:space="preserve">ecision </w:t>
      </w:r>
      <w:r w:rsidR="007C0986" w:rsidRPr="007C0986">
        <w:t>t</w:t>
      </w:r>
      <w:r w:rsidRPr="007C0986">
        <w:t>ree (</w:t>
      </w:r>
      <w:r w:rsidR="007C0986" w:rsidRPr="007C0986">
        <w:t>r</w:t>
      </w:r>
      <w:r w:rsidRPr="007C0986">
        <w:t xml:space="preserve">andom </w:t>
      </w:r>
      <w:r w:rsidR="007C0986" w:rsidRPr="007C0986">
        <w:t>f</w:t>
      </w:r>
      <w:r w:rsidRPr="007C0986">
        <w:t xml:space="preserve">orest &amp; </w:t>
      </w:r>
      <w:r w:rsidR="007C0986" w:rsidRPr="007C0986">
        <w:t>g</w:t>
      </w:r>
      <w:r w:rsidRPr="007C0986">
        <w:t xml:space="preserve">radient </w:t>
      </w:r>
      <w:r w:rsidR="007C0986" w:rsidRPr="007C0986">
        <w:t>b</w:t>
      </w:r>
      <w:r w:rsidRPr="007C0986">
        <w:t xml:space="preserve">oost) and SVM models had </w:t>
      </w:r>
      <w:proofErr w:type="gramStart"/>
      <w:r w:rsidRPr="007C0986">
        <w:t>very little</w:t>
      </w:r>
      <w:proofErr w:type="gramEnd"/>
      <w:r w:rsidRPr="007C0986">
        <w:t xml:space="preserve"> skill in properly classifying unseen sepsis patients, both in the sepsis and pre-sepsis stages. </w:t>
      </w:r>
      <w:r w:rsidR="003D5655">
        <w:t>Suspected r</w:t>
      </w:r>
      <w:r w:rsidRPr="007C0986">
        <w:t xml:space="preserve">easons for this and next steps </w:t>
      </w:r>
      <w:r w:rsidR="00DA2759" w:rsidRPr="007C0986">
        <w:t xml:space="preserve">are discussed </w:t>
      </w:r>
      <w:r w:rsidR="003D5655">
        <w:t>in the Modeling &amp; Future Directions section of this report.</w:t>
      </w:r>
    </w:p>
    <w:p w14:paraId="49F3706D" w14:textId="2F708D89" w:rsidR="00A54FEE" w:rsidRPr="007C0986" w:rsidRDefault="003D5655" w:rsidP="00AC4D64">
      <w:r>
        <w:br w:type="page"/>
      </w:r>
    </w:p>
    <w:p w14:paraId="6BC540F3" w14:textId="30AB5A0F" w:rsidR="00A54FEE" w:rsidRPr="007C0986" w:rsidRDefault="00A54FEE" w:rsidP="00A54FEE">
      <w:pPr>
        <w:pStyle w:val="Heading1"/>
        <w:rPr>
          <w:sz w:val="22"/>
          <w:szCs w:val="22"/>
        </w:rPr>
      </w:pPr>
      <w:bookmarkStart w:id="3" w:name="_Toc72332770"/>
      <w:r w:rsidRPr="007C0986">
        <w:rPr>
          <w:sz w:val="22"/>
          <w:szCs w:val="22"/>
        </w:rPr>
        <w:lastRenderedPageBreak/>
        <w:t>Methods</w:t>
      </w:r>
      <w:bookmarkEnd w:id="3"/>
    </w:p>
    <w:p w14:paraId="7C3B4277" w14:textId="181CAEDC" w:rsidR="002F6E0C" w:rsidRPr="007C0986" w:rsidRDefault="002F6E0C" w:rsidP="002F6E0C">
      <w:pPr>
        <w:pStyle w:val="Heading2"/>
        <w:rPr>
          <w:sz w:val="22"/>
          <w:szCs w:val="22"/>
        </w:rPr>
      </w:pPr>
      <w:bookmarkStart w:id="4" w:name="_Toc72332771"/>
      <w:r w:rsidRPr="007C0986">
        <w:rPr>
          <w:sz w:val="22"/>
          <w:szCs w:val="22"/>
        </w:rPr>
        <w:t>Data Wrangling</w:t>
      </w:r>
      <w:bookmarkEnd w:id="4"/>
      <w:r w:rsidRPr="007C0986">
        <w:rPr>
          <w:sz w:val="22"/>
          <w:szCs w:val="22"/>
        </w:rPr>
        <w:t xml:space="preserve"> </w:t>
      </w:r>
    </w:p>
    <w:p w14:paraId="1E28C0E2" w14:textId="57C9E8EB" w:rsidR="00A54FEE" w:rsidRPr="007C0986" w:rsidRDefault="00AC4D64" w:rsidP="00A54FEE">
      <w:r w:rsidRPr="007C0986">
        <w:t xml:space="preserve">The data came from a data science </w:t>
      </w:r>
      <w:proofErr w:type="gramStart"/>
      <w:r w:rsidRPr="007C0986">
        <w:t>competition</w:t>
      </w:r>
      <w:r w:rsidRPr="007C0986">
        <w:rPr>
          <w:vertAlign w:val="superscript"/>
        </w:rPr>
        <w:t>[</w:t>
      </w:r>
      <w:proofErr w:type="gramEnd"/>
      <w:r w:rsidRPr="007C0986">
        <w:rPr>
          <w:vertAlign w:val="superscript"/>
        </w:rPr>
        <w:t>1]</w:t>
      </w:r>
      <w:r w:rsidRPr="007C0986">
        <w:t xml:space="preserve">, which provided the hourly data for </w:t>
      </w:r>
      <w:r w:rsidR="00A778F5" w:rsidRPr="007C0986">
        <w:t>over 40,000</w:t>
      </w:r>
      <w:r w:rsidRPr="007C0986">
        <w:t xml:space="preserve"> different ICU patients that included vital sign (e.g. heart rate), lab</w:t>
      </w:r>
      <w:r w:rsidR="001100A4" w:rsidRPr="007C0986">
        <w:t xml:space="preserve"> and demographic data, along with a sepsis label indicating if the patient had sepsis or not at that time. </w:t>
      </w:r>
      <w:r w:rsidRPr="007C0986">
        <w:t xml:space="preserve"> </w:t>
      </w: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A54FEE" w:rsidRPr="007C0986" w14:paraId="3755F6EA" w14:textId="77777777" w:rsidTr="00DA2759">
        <w:trPr>
          <w:trHeight w:val="481"/>
        </w:trPr>
        <w:tc>
          <w:tcPr>
            <w:tcW w:w="1883" w:type="dxa"/>
          </w:tcPr>
          <w:p w14:paraId="1C7C6343" w14:textId="77777777" w:rsidR="00A54FEE" w:rsidRPr="007C0986" w:rsidRDefault="00A54FEE" w:rsidP="00757D3C">
            <w:pPr>
              <w:jc w:val="center"/>
            </w:pPr>
            <w:r w:rsidRPr="007C0986">
              <w:t>Variable Type</w:t>
            </w:r>
          </w:p>
          <w:p w14:paraId="6AF8CDEA" w14:textId="77777777" w:rsidR="00A54FEE" w:rsidRPr="007C0986" w:rsidRDefault="00A54FEE" w:rsidP="00757D3C">
            <w:pPr>
              <w:jc w:val="center"/>
            </w:pPr>
            <w:r w:rsidRPr="007C0986">
              <w:t>Column #</w:t>
            </w:r>
          </w:p>
        </w:tc>
        <w:tc>
          <w:tcPr>
            <w:tcW w:w="1883" w:type="dxa"/>
            <w:shd w:val="clear" w:color="auto" w:fill="FFF2CC" w:themeFill="accent4" w:themeFillTint="33"/>
          </w:tcPr>
          <w:p w14:paraId="66007C45" w14:textId="77777777" w:rsidR="00A54FEE" w:rsidRPr="007C0986" w:rsidRDefault="00A54FEE" w:rsidP="00757D3C">
            <w:pPr>
              <w:jc w:val="center"/>
            </w:pPr>
            <w:r w:rsidRPr="007C0986">
              <w:t>Vital Signs</w:t>
            </w:r>
          </w:p>
          <w:p w14:paraId="3BAC636B" w14:textId="77777777" w:rsidR="00A54FEE" w:rsidRPr="007C0986" w:rsidRDefault="00A54FEE" w:rsidP="00757D3C">
            <w:pPr>
              <w:jc w:val="center"/>
            </w:pPr>
            <w:r w:rsidRPr="007C0986">
              <w:t>1-8</w:t>
            </w:r>
          </w:p>
        </w:tc>
        <w:tc>
          <w:tcPr>
            <w:tcW w:w="1883" w:type="dxa"/>
            <w:shd w:val="clear" w:color="auto" w:fill="E2EFD9" w:themeFill="accent6" w:themeFillTint="33"/>
          </w:tcPr>
          <w:p w14:paraId="5F6EDF7A" w14:textId="77777777" w:rsidR="00A54FEE" w:rsidRPr="007C0986" w:rsidRDefault="00A54FEE" w:rsidP="00757D3C">
            <w:pPr>
              <w:jc w:val="center"/>
            </w:pPr>
            <w:r w:rsidRPr="007C0986">
              <w:t>Laboratory Values</w:t>
            </w:r>
          </w:p>
          <w:p w14:paraId="3B8042D5" w14:textId="77777777" w:rsidR="00A54FEE" w:rsidRPr="007C0986" w:rsidRDefault="00A54FEE" w:rsidP="00757D3C">
            <w:pPr>
              <w:jc w:val="center"/>
            </w:pPr>
            <w:r w:rsidRPr="007C0986">
              <w:t>9-34</w:t>
            </w:r>
          </w:p>
        </w:tc>
        <w:tc>
          <w:tcPr>
            <w:tcW w:w="1883" w:type="dxa"/>
            <w:shd w:val="clear" w:color="auto" w:fill="FBE4D5" w:themeFill="accent2" w:themeFillTint="33"/>
          </w:tcPr>
          <w:p w14:paraId="4290B45A" w14:textId="77777777" w:rsidR="00A54FEE" w:rsidRPr="007C0986" w:rsidRDefault="00A54FEE" w:rsidP="00757D3C">
            <w:pPr>
              <w:jc w:val="center"/>
            </w:pPr>
            <w:r w:rsidRPr="007C0986">
              <w:t>Demographics</w:t>
            </w:r>
          </w:p>
          <w:p w14:paraId="4463CBC5" w14:textId="77777777" w:rsidR="00A54FEE" w:rsidRPr="007C0986" w:rsidRDefault="00A54FEE" w:rsidP="00757D3C">
            <w:pPr>
              <w:jc w:val="center"/>
            </w:pPr>
            <w:r w:rsidRPr="007C0986">
              <w:t>35-40</w:t>
            </w:r>
          </w:p>
        </w:tc>
        <w:tc>
          <w:tcPr>
            <w:tcW w:w="1883" w:type="dxa"/>
            <w:shd w:val="clear" w:color="auto" w:fill="9CC2E5" w:themeFill="accent5" w:themeFillTint="99"/>
          </w:tcPr>
          <w:p w14:paraId="438D0DB2" w14:textId="77777777" w:rsidR="00A54FEE" w:rsidRPr="007C0986" w:rsidRDefault="00A54FEE" w:rsidP="00757D3C">
            <w:pPr>
              <w:jc w:val="center"/>
            </w:pPr>
            <w:r w:rsidRPr="007C0986">
              <w:t>Sepsis Label</w:t>
            </w:r>
          </w:p>
          <w:p w14:paraId="15534A4C" w14:textId="77777777" w:rsidR="00A54FEE" w:rsidRPr="007C0986" w:rsidRDefault="00A54FEE" w:rsidP="00757D3C">
            <w:pPr>
              <w:jc w:val="center"/>
            </w:pPr>
            <w:r w:rsidRPr="007C0986">
              <w:t>41</w:t>
            </w:r>
          </w:p>
        </w:tc>
      </w:tr>
      <w:tr w:rsidR="00A54FEE" w:rsidRPr="007C0986" w14:paraId="6CAE76EA" w14:textId="77777777" w:rsidTr="00DA2759">
        <w:trPr>
          <w:trHeight w:val="232"/>
        </w:trPr>
        <w:tc>
          <w:tcPr>
            <w:tcW w:w="1883" w:type="dxa"/>
          </w:tcPr>
          <w:p w14:paraId="77EE3669" w14:textId="77777777" w:rsidR="00A54FEE" w:rsidRPr="007C0986" w:rsidRDefault="00A54FEE" w:rsidP="00757D3C">
            <w:pPr>
              <w:jc w:val="center"/>
            </w:pPr>
            <w:r w:rsidRPr="007C0986">
              <w:t>t</w:t>
            </w:r>
            <w:r w:rsidRPr="007C0986">
              <w:rPr>
                <w:vertAlign w:val="subscript"/>
              </w:rPr>
              <w:t>0</w:t>
            </w:r>
          </w:p>
        </w:tc>
        <w:tc>
          <w:tcPr>
            <w:tcW w:w="1883" w:type="dxa"/>
            <w:shd w:val="clear" w:color="auto" w:fill="FFF2CC" w:themeFill="accent4" w:themeFillTint="33"/>
          </w:tcPr>
          <w:p w14:paraId="08AA5E52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E2EFD9" w:themeFill="accent6" w:themeFillTint="33"/>
          </w:tcPr>
          <w:p w14:paraId="0AF13327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FBE4D5" w:themeFill="accent2" w:themeFillTint="33"/>
          </w:tcPr>
          <w:p w14:paraId="62441DF5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9CC2E5" w:themeFill="accent5" w:themeFillTint="99"/>
          </w:tcPr>
          <w:p w14:paraId="6A3E2215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</w:tr>
      <w:tr w:rsidR="00A54FEE" w:rsidRPr="007C0986" w14:paraId="09AB693E" w14:textId="77777777" w:rsidTr="00DA2759">
        <w:trPr>
          <w:trHeight w:val="240"/>
        </w:trPr>
        <w:tc>
          <w:tcPr>
            <w:tcW w:w="1883" w:type="dxa"/>
          </w:tcPr>
          <w:p w14:paraId="7C14CF70" w14:textId="77777777" w:rsidR="00A54FEE" w:rsidRPr="007C0986" w:rsidRDefault="00A54FEE" w:rsidP="00757D3C">
            <w:pPr>
              <w:jc w:val="center"/>
            </w:pPr>
            <w:r w:rsidRPr="007C0986">
              <w:t>t</w:t>
            </w:r>
            <w:r w:rsidRPr="007C0986">
              <w:rPr>
                <w:vertAlign w:val="subscript"/>
              </w:rPr>
              <w:t>1</w:t>
            </w:r>
          </w:p>
        </w:tc>
        <w:tc>
          <w:tcPr>
            <w:tcW w:w="1883" w:type="dxa"/>
            <w:shd w:val="clear" w:color="auto" w:fill="FFF2CC" w:themeFill="accent4" w:themeFillTint="33"/>
          </w:tcPr>
          <w:p w14:paraId="4566F333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E2EFD9" w:themeFill="accent6" w:themeFillTint="33"/>
          </w:tcPr>
          <w:p w14:paraId="198CBA94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FBE4D5" w:themeFill="accent2" w:themeFillTint="33"/>
          </w:tcPr>
          <w:p w14:paraId="46DE8B71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9CC2E5" w:themeFill="accent5" w:themeFillTint="99"/>
          </w:tcPr>
          <w:p w14:paraId="6298596C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</w:tr>
      <w:tr w:rsidR="00A54FEE" w:rsidRPr="007C0986" w14:paraId="00F17F1F" w14:textId="77777777" w:rsidTr="00DA2759">
        <w:trPr>
          <w:trHeight w:val="240"/>
        </w:trPr>
        <w:tc>
          <w:tcPr>
            <w:tcW w:w="1883" w:type="dxa"/>
          </w:tcPr>
          <w:p w14:paraId="0FF11D4F" w14:textId="77777777" w:rsidR="00A54FEE" w:rsidRPr="007C0986" w:rsidRDefault="00A54FEE" w:rsidP="00757D3C">
            <w:pPr>
              <w:jc w:val="center"/>
            </w:pPr>
            <w:r w:rsidRPr="007C0986">
              <w:t>….</w:t>
            </w:r>
          </w:p>
        </w:tc>
        <w:tc>
          <w:tcPr>
            <w:tcW w:w="1883" w:type="dxa"/>
            <w:shd w:val="clear" w:color="auto" w:fill="FFF2CC" w:themeFill="accent4" w:themeFillTint="33"/>
          </w:tcPr>
          <w:p w14:paraId="2FFE1280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E2EFD9" w:themeFill="accent6" w:themeFillTint="33"/>
          </w:tcPr>
          <w:p w14:paraId="4118982F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FBE4D5" w:themeFill="accent2" w:themeFillTint="33"/>
          </w:tcPr>
          <w:p w14:paraId="67931B30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9CC2E5" w:themeFill="accent5" w:themeFillTint="99"/>
          </w:tcPr>
          <w:p w14:paraId="1186F1A8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</w:tr>
      <w:tr w:rsidR="00A54FEE" w:rsidRPr="007C0986" w14:paraId="5D92AD43" w14:textId="77777777" w:rsidTr="00DA2759">
        <w:trPr>
          <w:trHeight w:val="240"/>
        </w:trPr>
        <w:tc>
          <w:tcPr>
            <w:tcW w:w="1883" w:type="dxa"/>
          </w:tcPr>
          <w:p w14:paraId="4BA66782" w14:textId="77777777" w:rsidR="00A54FEE" w:rsidRPr="007C0986" w:rsidRDefault="00A54FEE" w:rsidP="00757D3C">
            <w:pPr>
              <w:jc w:val="center"/>
            </w:pPr>
            <w:r w:rsidRPr="007C0986">
              <w:t>t</w:t>
            </w:r>
            <w:r w:rsidRPr="007C0986">
              <w:rPr>
                <w:vertAlign w:val="subscript"/>
              </w:rPr>
              <w:t>n</w:t>
            </w:r>
          </w:p>
        </w:tc>
        <w:tc>
          <w:tcPr>
            <w:tcW w:w="1883" w:type="dxa"/>
            <w:shd w:val="clear" w:color="auto" w:fill="FFF2CC" w:themeFill="accent4" w:themeFillTint="33"/>
          </w:tcPr>
          <w:p w14:paraId="49DDB640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E2EFD9" w:themeFill="accent6" w:themeFillTint="33"/>
          </w:tcPr>
          <w:p w14:paraId="59A59A41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FBE4D5" w:themeFill="accent2" w:themeFillTint="33"/>
          </w:tcPr>
          <w:p w14:paraId="411B83C2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  <w:tc>
          <w:tcPr>
            <w:tcW w:w="1883" w:type="dxa"/>
            <w:shd w:val="clear" w:color="auto" w:fill="9CC2E5" w:themeFill="accent5" w:themeFillTint="99"/>
          </w:tcPr>
          <w:p w14:paraId="579A82A4" w14:textId="77777777" w:rsidR="00A54FEE" w:rsidRPr="007C0986" w:rsidRDefault="00A54FEE" w:rsidP="00757D3C">
            <w:pPr>
              <w:jc w:val="center"/>
            </w:pPr>
            <w:r w:rsidRPr="007C0986">
              <w:t>…</w:t>
            </w:r>
          </w:p>
        </w:tc>
      </w:tr>
    </w:tbl>
    <w:p w14:paraId="1EE49010" w14:textId="336C06BA" w:rsidR="00A54FEE" w:rsidRPr="007C0986" w:rsidRDefault="00A54FEE" w:rsidP="00DA2759">
      <w:pPr>
        <w:ind w:left="720"/>
        <w:jc w:val="center"/>
        <w:rPr>
          <w:i/>
          <w:iCs/>
          <w:color w:val="4472C4" w:themeColor="accent1"/>
        </w:rPr>
      </w:pPr>
      <w:r w:rsidRPr="007C0986">
        <w:rPr>
          <w:rStyle w:val="IntenseEmphasis"/>
        </w:rPr>
        <w:t xml:space="preserve">Figure </w:t>
      </w:r>
      <w:r w:rsidR="001100A4" w:rsidRPr="007C0986">
        <w:rPr>
          <w:rStyle w:val="IntenseEmphasis"/>
        </w:rPr>
        <w:t>1</w:t>
      </w:r>
      <w:r w:rsidRPr="007C0986">
        <w:rPr>
          <w:rStyle w:val="IntenseEmphasis"/>
        </w:rPr>
        <w:t xml:space="preserve">: Data structure of one patient’s dataset; there are as many rows as hours the patient spent in the ICU. There are 40,366 patient datasets in total. </w:t>
      </w:r>
    </w:p>
    <w:p w14:paraId="0896AD18" w14:textId="4698A2E0" w:rsidR="002F6E0C" w:rsidRPr="007C0986" w:rsidRDefault="002F6E0C" w:rsidP="002F6E0C">
      <w:pPr>
        <w:pStyle w:val="Heading2"/>
        <w:rPr>
          <w:sz w:val="22"/>
          <w:szCs w:val="22"/>
        </w:rPr>
      </w:pPr>
      <w:bookmarkStart w:id="5" w:name="_Toc72332772"/>
      <w:r w:rsidRPr="007C0986">
        <w:rPr>
          <w:sz w:val="22"/>
          <w:szCs w:val="22"/>
        </w:rPr>
        <w:t>Exploratory Data Analysis</w:t>
      </w:r>
      <w:bookmarkEnd w:id="5"/>
      <w:r w:rsidRPr="007C0986">
        <w:rPr>
          <w:sz w:val="22"/>
          <w:szCs w:val="22"/>
        </w:rPr>
        <w:t xml:space="preserve"> </w:t>
      </w:r>
    </w:p>
    <w:p w14:paraId="15CA77A7" w14:textId="271C3361" w:rsidR="00DC73F8" w:rsidRPr="007C0986" w:rsidRDefault="00A778F5" w:rsidP="00A778F5">
      <w:r w:rsidRPr="007C0986">
        <w:t>Of 40336 patients available in the data set, 7.27% develop sepsis at some point during their hospital stay.</w:t>
      </w:r>
      <w:r w:rsidRPr="007C0986">
        <w:t xml:space="preserve"> </w:t>
      </w:r>
      <w:r w:rsidRPr="007C0986">
        <w:t>Of the 1552210 data points in the data set (each one representing an hour) 1.8% occur while a patient has sepsis.</w:t>
      </w:r>
      <w:r w:rsidRPr="007C0986">
        <w:t xml:space="preserve"> </w:t>
      </w:r>
      <w:r w:rsidR="00DC73F8" w:rsidRPr="007C0986">
        <w:t xml:space="preserve">So, this is a very imbalanced data set. </w:t>
      </w:r>
    </w:p>
    <w:p w14:paraId="55BF54ED" w14:textId="4AE9DACF" w:rsidR="00C83718" w:rsidRPr="007C0986" w:rsidRDefault="00C83718" w:rsidP="00C83718">
      <w:pPr>
        <w:pStyle w:val="Heading3"/>
        <w:rPr>
          <w:sz w:val="22"/>
          <w:szCs w:val="22"/>
        </w:rPr>
      </w:pPr>
      <w:bookmarkStart w:id="6" w:name="_Toc72332773"/>
      <w:r w:rsidRPr="007C0986">
        <w:rPr>
          <w:sz w:val="22"/>
          <w:szCs w:val="22"/>
        </w:rPr>
        <w:t>Vital Signs</w:t>
      </w:r>
      <w:bookmarkEnd w:id="6"/>
    </w:p>
    <w:p w14:paraId="5B3B8729" w14:textId="1D484F12" w:rsidR="002F6E0C" w:rsidRPr="007C0986" w:rsidRDefault="00A778F5" w:rsidP="00DA2759">
      <w:pPr>
        <w:jc w:val="center"/>
      </w:pPr>
      <w:r w:rsidRPr="007C0986">
        <w:drawing>
          <wp:inline distT="0" distB="0" distL="0" distR="0" wp14:anchorId="6F640AC7" wp14:editId="3A997505">
            <wp:extent cx="5013650" cy="4049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462" cy="40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AA7" w14:textId="022264B4" w:rsidR="00DA2759" w:rsidRPr="007C0986" w:rsidRDefault="00DA2759" w:rsidP="00DA2759">
      <w:pPr>
        <w:ind w:left="720"/>
        <w:jc w:val="center"/>
        <w:rPr>
          <w:rStyle w:val="IntenseEmphasis"/>
        </w:rPr>
      </w:pPr>
      <w:r w:rsidRPr="007C0986">
        <w:rPr>
          <w:rStyle w:val="IntenseEmphasis"/>
        </w:rPr>
        <w:t xml:space="preserve">Figure </w:t>
      </w:r>
      <w:r w:rsidRPr="007C0986">
        <w:rPr>
          <w:rStyle w:val="IntenseEmphasis"/>
        </w:rPr>
        <w:t>2</w:t>
      </w:r>
      <w:r w:rsidRPr="007C0986">
        <w:rPr>
          <w:rStyle w:val="IntenseEmphasis"/>
        </w:rPr>
        <w:t xml:space="preserve">: </w:t>
      </w:r>
      <w:r w:rsidRPr="007C0986">
        <w:rPr>
          <w:rStyle w:val="IntenseEmphasis"/>
        </w:rPr>
        <w:t xml:space="preserve">Average vital sign values relative to sepsis onset (red line) for sepsis patients compared to a random selection of values for </w:t>
      </w:r>
      <w:proofErr w:type="spellStart"/>
      <w:r w:rsidRPr="007C0986">
        <w:rPr>
          <w:rStyle w:val="IntenseEmphasis"/>
        </w:rPr>
        <w:t>non sepsis</w:t>
      </w:r>
      <w:proofErr w:type="spellEnd"/>
      <w:r w:rsidRPr="007C0986">
        <w:rPr>
          <w:rStyle w:val="IntenseEmphasis"/>
        </w:rPr>
        <w:t xml:space="preserve"> patients.</w:t>
      </w:r>
    </w:p>
    <w:p w14:paraId="360CD742" w14:textId="102A0F52" w:rsidR="00C83718" w:rsidRPr="007C0986" w:rsidRDefault="00DA2759" w:rsidP="00DA2759">
      <w:pPr>
        <w:rPr>
          <w:rStyle w:val="IntenseEmphasis"/>
          <w:i w:val="0"/>
          <w:iCs w:val="0"/>
          <w:color w:val="auto"/>
        </w:rPr>
      </w:pPr>
      <w:r w:rsidRPr="007C0986">
        <w:rPr>
          <w:rStyle w:val="IntenseEmphasis"/>
          <w:i w:val="0"/>
          <w:iCs w:val="0"/>
          <w:color w:val="auto"/>
        </w:rPr>
        <w:lastRenderedPageBreak/>
        <w:t xml:space="preserve">As seen in figure 2, there are some clear differences in the average time course of vital signs between sepsis and non-sepsis patients. </w:t>
      </w:r>
      <w:proofErr w:type="gramStart"/>
      <w:r w:rsidRPr="007C0986">
        <w:rPr>
          <w:rStyle w:val="IntenseEmphasis"/>
          <w:i w:val="0"/>
          <w:iCs w:val="0"/>
          <w:color w:val="auto"/>
        </w:rPr>
        <w:t>In particular, sepsis</w:t>
      </w:r>
      <w:proofErr w:type="gramEnd"/>
      <w:r w:rsidRPr="007C0986">
        <w:rPr>
          <w:rStyle w:val="IntenseEmphasis"/>
          <w:i w:val="0"/>
          <w:iCs w:val="0"/>
          <w:color w:val="auto"/>
        </w:rPr>
        <w:t xml:space="preserve"> </w:t>
      </w:r>
      <w:r w:rsidRPr="007C0986">
        <w:rPr>
          <w:rStyle w:val="IntenseEmphasis"/>
          <w:i w:val="0"/>
          <w:iCs w:val="0"/>
          <w:color w:val="auto"/>
        </w:rPr>
        <w:t>patients have consistently higher average respiration &amp; heart rate at any point compared to non-sepsis patients. Decrease in blood pressure is clearly seen in all sepsis patients post sepsis onset; pre-sepsis onset, SBP</w:t>
      </w:r>
      <w:r w:rsidRPr="007C0986">
        <w:rPr>
          <w:rStyle w:val="IntenseEmphasis"/>
          <w:i w:val="0"/>
          <w:iCs w:val="0"/>
          <w:color w:val="auto"/>
        </w:rPr>
        <w:t xml:space="preserve"> and MAP</w:t>
      </w:r>
      <w:r w:rsidRPr="007C0986">
        <w:rPr>
          <w:rStyle w:val="IntenseEmphasis"/>
          <w:i w:val="0"/>
          <w:iCs w:val="0"/>
          <w:color w:val="auto"/>
        </w:rPr>
        <w:t xml:space="preserve"> shows the strongest downward trend a few hours out, with DBP not as clear. O2Sat is a bit puzzling, as </w:t>
      </w:r>
      <w:proofErr w:type="gramStart"/>
      <w:r w:rsidRPr="007C0986">
        <w:rPr>
          <w:rStyle w:val="IntenseEmphasis"/>
          <w:i w:val="0"/>
          <w:iCs w:val="0"/>
          <w:color w:val="auto"/>
        </w:rPr>
        <w:t>you'd</w:t>
      </w:r>
      <w:proofErr w:type="gramEnd"/>
      <w:r w:rsidRPr="007C0986">
        <w:rPr>
          <w:rStyle w:val="IntenseEmphasis"/>
          <w:i w:val="0"/>
          <w:iCs w:val="0"/>
          <w:color w:val="auto"/>
        </w:rPr>
        <w:t xml:space="preserve"> expect it to clearly go down for sepsis patients, more so than non-sepsis patients</w:t>
      </w:r>
      <w:r w:rsidRPr="007C0986">
        <w:rPr>
          <w:rStyle w:val="IntenseEmphasis"/>
          <w:i w:val="0"/>
          <w:iCs w:val="0"/>
          <w:color w:val="auto"/>
        </w:rPr>
        <w:t xml:space="preserve">, but the non-sepsis patients have a starker downward trend. </w:t>
      </w:r>
    </w:p>
    <w:p w14:paraId="25BCE211" w14:textId="63BD5406" w:rsidR="00C83718" w:rsidRPr="007C0986" w:rsidRDefault="00C83718" w:rsidP="00C83718">
      <w:pPr>
        <w:pStyle w:val="Heading3"/>
        <w:rPr>
          <w:sz w:val="22"/>
          <w:szCs w:val="22"/>
        </w:rPr>
      </w:pPr>
      <w:bookmarkStart w:id="7" w:name="_Toc72332774"/>
      <w:r w:rsidRPr="007C0986">
        <w:rPr>
          <w:sz w:val="22"/>
          <w:szCs w:val="22"/>
        </w:rPr>
        <w:t>Lab Values</w:t>
      </w:r>
      <w:bookmarkEnd w:id="7"/>
    </w:p>
    <w:p w14:paraId="2A00B156" w14:textId="3409840F" w:rsidR="002F6E0C" w:rsidRPr="007C0986" w:rsidRDefault="00A778F5" w:rsidP="002F6E0C">
      <w:pPr>
        <w:jc w:val="center"/>
      </w:pPr>
      <w:r w:rsidRPr="007C0986">
        <w:drawing>
          <wp:inline distT="0" distB="0" distL="0" distR="0" wp14:anchorId="56B276F5" wp14:editId="5A61D346">
            <wp:extent cx="59436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FE26" w14:textId="69D2CBA2" w:rsidR="00DA2759" w:rsidRPr="007C0986" w:rsidRDefault="00DA2759" w:rsidP="006E24F8">
      <w:pPr>
        <w:ind w:left="720"/>
        <w:jc w:val="center"/>
        <w:rPr>
          <w:i/>
          <w:iCs/>
          <w:color w:val="4472C4" w:themeColor="accent1"/>
        </w:rPr>
      </w:pPr>
      <w:r w:rsidRPr="007C0986">
        <w:rPr>
          <w:rStyle w:val="IntenseEmphasis"/>
        </w:rPr>
        <w:t xml:space="preserve">Figure </w:t>
      </w:r>
      <w:r w:rsidRPr="007C0986">
        <w:rPr>
          <w:rStyle w:val="IntenseEmphasis"/>
        </w:rPr>
        <w:t>3</w:t>
      </w:r>
      <w:r w:rsidRPr="007C0986">
        <w:rPr>
          <w:rStyle w:val="IntenseEmphasis"/>
        </w:rPr>
        <w:t xml:space="preserve">: </w:t>
      </w:r>
      <w:r w:rsidR="006E24F8" w:rsidRPr="007C0986">
        <w:rPr>
          <w:rStyle w:val="IntenseEmphasis"/>
        </w:rPr>
        <w:t>Distribution of relative lab values for sepsis vs.</w:t>
      </w:r>
      <w:r w:rsidRPr="007C0986">
        <w:rPr>
          <w:rStyle w:val="IntenseEmphasis"/>
        </w:rPr>
        <w:t xml:space="preserve"> non sepsis patients.</w:t>
      </w:r>
    </w:p>
    <w:p w14:paraId="1B5B6902" w14:textId="45346867" w:rsidR="00DC73F8" w:rsidRPr="007C0986" w:rsidRDefault="006E24F8" w:rsidP="006E24F8">
      <w:pPr>
        <w:rPr>
          <w:rFonts w:cstheme="minorHAnsi"/>
        </w:rPr>
      </w:pPr>
      <w:r w:rsidRPr="007C0986">
        <w:rPr>
          <w:rFonts w:cstheme="minorHAnsi"/>
        </w:rPr>
        <w:t xml:space="preserve">As seen in figure 3, almost no clear pattern exists between the groups of any of lab values. </w:t>
      </w:r>
      <w:r w:rsidR="00DC73F8" w:rsidRPr="007C0986">
        <w:rPr>
          <w:rFonts w:eastAsia="Times New Roman" w:cstheme="minorHAnsi"/>
          <w:color w:val="000000"/>
        </w:rPr>
        <w:t xml:space="preserve">For example, while there is a visual difference in distributions between groups for Bilirubin direct, that could easily be attributed to the small number of lab values </w:t>
      </w:r>
      <w:r w:rsidRPr="007C0986">
        <w:rPr>
          <w:rFonts w:eastAsia="Times New Roman" w:cstheme="minorHAnsi"/>
          <w:color w:val="000000"/>
        </w:rPr>
        <w:t>available</w:t>
      </w:r>
      <w:r w:rsidR="00DC73F8" w:rsidRPr="007C0986">
        <w:rPr>
          <w:rFonts w:eastAsia="Times New Roman" w:cstheme="minorHAnsi"/>
          <w:color w:val="000000"/>
        </w:rPr>
        <w:t xml:space="preserve"> (</w:t>
      </w:r>
      <w:proofErr w:type="gramStart"/>
      <w:r w:rsidR="00DC73F8" w:rsidRPr="007C0986">
        <w:rPr>
          <w:rFonts w:eastAsia="Times New Roman" w:cstheme="minorHAnsi"/>
          <w:color w:val="000000"/>
        </w:rPr>
        <w:t>i.e.</w:t>
      </w:r>
      <w:proofErr w:type="gramEnd"/>
      <w:r w:rsidR="00DC73F8" w:rsidRPr="007C0986">
        <w:rPr>
          <w:rFonts w:eastAsia="Times New Roman" w:cstheme="minorHAnsi"/>
          <w:color w:val="000000"/>
        </w:rPr>
        <w:t xml:space="preserve"> noise). </w:t>
      </w:r>
      <w:proofErr w:type="spellStart"/>
      <w:r w:rsidR="00DC73F8" w:rsidRPr="007C0986">
        <w:rPr>
          <w:rFonts w:eastAsia="Times New Roman" w:cstheme="minorHAnsi"/>
          <w:color w:val="000000"/>
        </w:rPr>
        <w:t>Bilirubin_total</w:t>
      </w:r>
      <w:proofErr w:type="spellEnd"/>
      <w:r w:rsidR="00DC73F8" w:rsidRPr="007C0986">
        <w:rPr>
          <w:rFonts w:eastAsia="Times New Roman" w:cstheme="minorHAnsi"/>
          <w:color w:val="000000"/>
        </w:rPr>
        <w:t xml:space="preserve"> is the only exception, having lab values for over 30% of patients, and a seemingly different distribution.</w:t>
      </w:r>
    </w:p>
    <w:p w14:paraId="3581B3B9" w14:textId="2EA38E08" w:rsidR="00DC73F8" w:rsidRPr="007C0986" w:rsidRDefault="00C83718" w:rsidP="00C83718">
      <w:pPr>
        <w:pStyle w:val="Heading3"/>
        <w:rPr>
          <w:rFonts w:eastAsia="Times New Roman"/>
          <w:sz w:val="22"/>
          <w:szCs w:val="22"/>
        </w:rPr>
      </w:pPr>
      <w:bookmarkStart w:id="8" w:name="_Toc72332775"/>
      <w:r w:rsidRPr="007C0986">
        <w:rPr>
          <w:rFonts w:eastAsia="Times New Roman"/>
          <w:sz w:val="22"/>
          <w:szCs w:val="22"/>
        </w:rPr>
        <w:lastRenderedPageBreak/>
        <w:t>Demographic Data</w:t>
      </w:r>
      <w:bookmarkEnd w:id="8"/>
    </w:p>
    <w:p w14:paraId="1BBB8F73" w14:textId="59E60D0A" w:rsidR="002F6E0C" w:rsidRPr="007C0986" w:rsidRDefault="00A778F5" w:rsidP="002F6E0C">
      <w:pPr>
        <w:jc w:val="center"/>
      </w:pPr>
      <w:r w:rsidRPr="007C0986">
        <w:drawing>
          <wp:inline distT="0" distB="0" distL="0" distR="0" wp14:anchorId="758F72EC" wp14:editId="063CEACA">
            <wp:extent cx="4328556" cy="3276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941" cy="32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4D4" w14:textId="38FA0106" w:rsidR="003C4FE2" w:rsidRPr="007C0986" w:rsidRDefault="007C0986" w:rsidP="002F6E0C">
      <w:pPr>
        <w:jc w:val="center"/>
        <w:rPr>
          <w:rStyle w:val="IntenseEmphasis"/>
        </w:rPr>
      </w:pPr>
      <w:r w:rsidRPr="007C0986">
        <w:rPr>
          <w:rStyle w:val="IntenseEmphasis"/>
        </w:rPr>
        <w:t xml:space="preserve">Figure </w:t>
      </w:r>
      <w:r w:rsidRPr="007C0986">
        <w:rPr>
          <w:rStyle w:val="IntenseEmphasis"/>
        </w:rPr>
        <w:t>4</w:t>
      </w:r>
      <w:r w:rsidRPr="007C0986">
        <w:rPr>
          <w:rStyle w:val="IntenseEmphasis"/>
        </w:rPr>
        <w:t>:</w:t>
      </w:r>
      <w:r>
        <w:rPr>
          <w:rStyle w:val="IntenseEmphasis"/>
        </w:rPr>
        <w:t xml:space="preserve"> </w:t>
      </w:r>
      <w:r w:rsidRPr="007C0986">
        <w:rPr>
          <w:rStyle w:val="IntenseEmphasis"/>
        </w:rPr>
        <w:t xml:space="preserve">Normalized Distribution of ICU length of stay, sepsis vs. non-sepsis patients </w:t>
      </w:r>
    </w:p>
    <w:p w14:paraId="035B4EE7" w14:textId="28D32937" w:rsidR="007C0986" w:rsidRPr="007C0986" w:rsidRDefault="007C0986" w:rsidP="007C098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7C0986">
        <w:rPr>
          <w:rStyle w:val="IntenseEmphasis"/>
          <w:rFonts w:cstheme="minorHAnsi"/>
          <w:i w:val="0"/>
          <w:iCs w:val="0"/>
          <w:color w:val="auto"/>
        </w:rPr>
        <w:t xml:space="preserve">Marginal differences existed between most demographic data, such as </w:t>
      </w:r>
      <w:r w:rsidRPr="007C0986">
        <w:rPr>
          <w:rStyle w:val="IntenseEmphasis"/>
          <w:rFonts w:cstheme="minorHAnsi"/>
          <w:i w:val="0"/>
          <w:iCs w:val="0"/>
          <w:color w:val="auto"/>
        </w:rPr>
        <w:t>7.71% of males ha</w:t>
      </w:r>
      <w:r w:rsidRPr="007C0986">
        <w:rPr>
          <w:rStyle w:val="IntenseEmphasis"/>
          <w:rFonts w:cstheme="minorHAnsi"/>
          <w:i w:val="0"/>
          <w:iCs w:val="0"/>
          <w:color w:val="auto"/>
        </w:rPr>
        <w:t>ving</w:t>
      </w:r>
      <w:r w:rsidRPr="007C0986">
        <w:rPr>
          <w:rStyle w:val="IntenseEmphasis"/>
          <w:rFonts w:cstheme="minorHAnsi"/>
          <w:i w:val="0"/>
          <w:iCs w:val="0"/>
          <w:color w:val="auto"/>
        </w:rPr>
        <w:t xml:space="preserve"> sepsis compared to 6.71% </w:t>
      </w:r>
      <w:r w:rsidRPr="007C0986">
        <w:rPr>
          <w:rStyle w:val="IntenseEmphasis"/>
          <w:rFonts w:cstheme="minorHAnsi"/>
          <w:i w:val="0"/>
          <w:iCs w:val="0"/>
          <w:color w:val="auto"/>
        </w:rPr>
        <w:t xml:space="preserve">of </w:t>
      </w:r>
      <w:r w:rsidRPr="007C0986">
        <w:rPr>
          <w:rStyle w:val="IntenseEmphasis"/>
          <w:rFonts w:cstheme="minorHAnsi"/>
          <w:i w:val="0"/>
          <w:iCs w:val="0"/>
          <w:color w:val="auto"/>
        </w:rPr>
        <w:t>females.</w:t>
      </w:r>
      <w:r w:rsidRPr="007C0986">
        <w:rPr>
          <w:rStyle w:val="IntenseEmphasis"/>
          <w:rFonts w:cstheme="minorHAnsi"/>
          <w:i w:val="0"/>
          <w:iCs w:val="0"/>
          <w:color w:val="auto"/>
        </w:rPr>
        <w:t xml:space="preserve"> By far the largest difference was ICU length of stay; a greater share of Sepsis patients stayed longer than 50 hours in the sepsis vs. non-sepsis patients, as seen in figure 4. </w:t>
      </w:r>
    </w:p>
    <w:p w14:paraId="76551630" w14:textId="4AD885A4" w:rsidR="006E24F8" w:rsidRPr="007C0986" w:rsidRDefault="006E24F8" w:rsidP="006E24F8">
      <w:pPr>
        <w:pStyle w:val="Heading2"/>
        <w:rPr>
          <w:sz w:val="22"/>
          <w:szCs w:val="22"/>
        </w:rPr>
      </w:pPr>
      <w:bookmarkStart w:id="9" w:name="_Toc72332776"/>
      <w:r w:rsidRPr="007C0986">
        <w:rPr>
          <w:sz w:val="22"/>
          <w:szCs w:val="22"/>
        </w:rPr>
        <w:t>Preprocessing</w:t>
      </w:r>
      <w:bookmarkEnd w:id="9"/>
    </w:p>
    <w:p w14:paraId="6F8BCAC7" w14:textId="556DE5E2" w:rsidR="006E24F8" w:rsidRPr="007C0986" w:rsidRDefault="007C0986" w:rsidP="0070309C">
      <w:pPr>
        <w:spacing w:after="0"/>
      </w:pPr>
      <w:r w:rsidRPr="007C0986">
        <w:t>The following changes were made to the data to prepare it for modeling, in this order:</w:t>
      </w:r>
    </w:p>
    <w:p w14:paraId="32B28A15" w14:textId="7418F5AD" w:rsidR="007C0986" w:rsidRPr="007C0986" w:rsidRDefault="007C0986" w:rsidP="0070309C">
      <w:pPr>
        <w:pStyle w:val="ListParagraph"/>
        <w:numPr>
          <w:ilvl w:val="0"/>
          <w:numId w:val="2"/>
        </w:numPr>
        <w:spacing w:after="0"/>
      </w:pPr>
      <w:r w:rsidRPr="007C0986">
        <w:t xml:space="preserve">Removal of outliers in laboratory &amp; vital sign data </w:t>
      </w:r>
    </w:p>
    <w:p w14:paraId="7C95E13C" w14:textId="4A9D903B" w:rsidR="007C0986" w:rsidRPr="007C0986" w:rsidRDefault="007C0986" w:rsidP="0070309C">
      <w:pPr>
        <w:pStyle w:val="ListParagraph"/>
        <w:numPr>
          <w:ilvl w:val="0"/>
          <w:numId w:val="2"/>
        </w:numPr>
        <w:spacing w:after="0"/>
      </w:pPr>
      <w:r w:rsidRPr="007C0986">
        <w:t xml:space="preserve">Interpolation of vital sign data </w:t>
      </w:r>
    </w:p>
    <w:p w14:paraId="40A079B2" w14:textId="2667283A" w:rsidR="007C0986" w:rsidRPr="007C0986" w:rsidRDefault="007C0986" w:rsidP="0070309C">
      <w:pPr>
        <w:pStyle w:val="ListParagraph"/>
        <w:numPr>
          <w:ilvl w:val="0"/>
          <w:numId w:val="2"/>
        </w:numPr>
        <w:spacing w:after="0"/>
      </w:pPr>
      <w:r w:rsidRPr="007C0986">
        <w:t>Forward filling of lab value data</w:t>
      </w:r>
    </w:p>
    <w:p w14:paraId="62238E6A" w14:textId="049E14B5" w:rsidR="007C0986" w:rsidRPr="007C0986" w:rsidRDefault="007C0986" w:rsidP="0070309C">
      <w:pPr>
        <w:pStyle w:val="ListParagraph"/>
        <w:numPr>
          <w:ilvl w:val="0"/>
          <w:numId w:val="2"/>
        </w:numPr>
        <w:spacing w:after="0"/>
      </w:pPr>
      <w:r w:rsidRPr="007C0986">
        <w:t>Filling in remaining vital sign &amp; lab data with median data</w:t>
      </w:r>
    </w:p>
    <w:p w14:paraId="3F8D0B17" w14:textId="5406C8F8" w:rsidR="007C0986" w:rsidRPr="007C0986" w:rsidRDefault="007C0986" w:rsidP="0070309C">
      <w:pPr>
        <w:pStyle w:val="ListParagraph"/>
        <w:numPr>
          <w:ilvl w:val="0"/>
          <w:numId w:val="2"/>
        </w:numPr>
      </w:pPr>
      <w:r w:rsidRPr="007C0986">
        <w:t>Addition of indicator variable column for lab values (if that lab value was present for that patient currently or anytime moving forward)</w:t>
      </w:r>
    </w:p>
    <w:p w14:paraId="2358BCDE" w14:textId="772CC4C7" w:rsidR="007C0986" w:rsidRDefault="007C0986" w:rsidP="0070309C">
      <w:pPr>
        <w:pStyle w:val="ListParagraph"/>
        <w:numPr>
          <w:ilvl w:val="0"/>
          <w:numId w:val="2"/>
        </w:numPr>
      </w:pPr>
      <w:r w:rsidRPr="007C0986">
        <w:t xml:space="preserve">Addition of change in vital sign columns, for previous one, two and three hours. </w:t>
      </w:r>
    </w:p>
    <w:p w14:paraId="0B8604A0" w14:textId="67F396B2" w:rsidR="008E440F" w:rsidRPr="007C0986" w:rsidRDefault="008E440F" w:rsidP="0070309C">
      <w:pPr>
        <w:pStyle w:val="ListParagraph"/>
        <w:numPr>
          <w:ilvl w:val="0"/>
          <w:numId w:val="2"/>
        </w:numPr>
      </w:pPr>
      <w:r>
        <w:t xml:space="preserve">Addition of pre-sepsis label; 1 if in </w:t>
      </w:r>
      <w:proofErr w:type="gramStart"/>
      <w:r>
        <w:t>3 hour</w:t>
      </w:r>
      <w:proofErr w:type="gramEnd"/>
      <w:r>
        <w:t xml:space="preserve"> period before sepsis onset, 0 otherwise. </w:t>
      </w:r>
    </w:p>
    <w:p w14:paraId="5E7F0F9C" w14:textId="50501458" w:rsidR="007C0986" w:rsidRDefault="007C0986" w:rsidP="0070309C">
      <w:pPr>
        <w:pStyle w:val="ListParagraph"/>
        <w:numPr>
          <w:ilvl w:val="0"/>
          <w:numId w:val="2"/>
        </w:numPr>
      </w:pPr>
      <w:r w:rsidRPr="007C0986">
        <w:t xml:space="preserve">Log transform of skewed distributions </w:t>
      </w:r>
    </w:p>
    <w:p w14:paraId="2B295634" w14:textId="4C7FDBF3" w:rsidR="0070309C" w:rsidRPr="007C0986" w:rsidRDefault="0070309C" w:rsidP="0070309C">
      <w:pPr>
        <w:pStyle w:val="ListParagraph"/>
        <w:numPr>
          <w:ilvl w:val="0"/>
          <w:numId w:val="2"/>
        </w:numPr>
      </w:pPr>
      <w:r>
        <w:t>Prevention of data leakage in test &amp; train sets.</w:t>
      </w:r>
    </w:p>
    <w:p w14:paraId="3D547C4A" w14:textId="383FDFD1" w:rsidR="007C0986" w:rsidRDefault="007C0986" w:rsidP="0070309C">
      <w:pPr>
        <w:pStyle w:val="ListParagraph"/>
        <w:numPr>
          <w:ilvl w:val="0"/>
          <w:numId w:val="2"/>
        </w:numPr>
      </w:pPr>
      <w:r w:rsidRPr="007C0986">
        <w:t xml:space="preserve">Min/Max scaling based on test </w:t>
      </w:r>
      <w:proofErr w:type="gramStart"/>
      <w:r w:rsidRPr="007C0986">
        <w:t>datase</w:t>
      </w:r>
      <w:r w:rsidR="0070309C">
        <w:t>t</w:t>
      </w:r>
      <w:proofErr w:type="gramEnd"/>
    </w:p>
    <w:p w14:paraId="057A276D" w14:textId="1C6E58C4" w:rsidR="0070309C" w:rsidRPr="007C0986" w:rsidRDefault="0070309C" w:rsidP="0070309C">
      <w:pPr>
        <w:pStyle w:val="ListParagraph"/>
      </w:pPr>
    </w:p>
    <w:p w14:paraId="7E3F2A68" w14:textId="38B191BC" w:rsidR="007C0986" w:rsidRPr="007C0986" w:rsidRDefault="007C0986" w:rsidP="0070309C">
      <w:pPr>
        <w:pStyle w:val="ListParagraph"/>
        <w:numPr>
          <w:ilvl w:val="0"/>
          <w:numId w:val="2"/>
        </w:numPr>
      </w:pPr>
      <w:r w:rsidRPr="007C0986">
        <w:t xml:space="preserve">SMOTE </w:t>
      </w:r>
      <w:r w:rsidR="00D56087">
        <w:t xml:space="preserve">- </w:t>
      </w:r>
      <w:r w:rsidR="00D56087" w:rsidRPr="00D56087">
        <w:t>Synthetic Minority Oversampling Technique</w:t>
      </w:r>
      <w:r w:rsidR="00D56087" w:rsidRPr="00D56087">
        <w:t xml:space="preserve"> </w:t>
      </w:r>
      <w:r w:rsidRPr="007C0986">
        <w:t>(for some models)</w:t>
      </w:r>
    </w:p>
    <w:p w14:paraId="2E918078" w14:textId="020C1C6F" w:rsidR="002F6E0C" w:rsidRDefault="002F6E0C" w:rsidP="002F6E0C">
      <w:pPr>
        <w:pStyle w:val="Heading2"/>
        <w:rPr>
          <w:sz w:val="22"/>
          <w:szCs w:val="22"/>
        </w:rPr>
      </w:pPr>
      <w:bookmarkStart w:id="10" w:name="_Toc72332777"/>
      <w:r w:rsidRPr="007C0986">
        <w:rPr>
          <w:sz w:val="22"/>
          <w:szCs w:val="22"/>
        </w:rPr>
        <w:t>Modeling</w:t>
      </w:r>
      <w:bookmarkEnd w:id="10"/>
      <w:r w:rsidRPr="007C0986">
        <w:rPr>
          <w:sz w:val="22"/>
          <w:szCs w:val="22"/>
        </w:rPr>
        <w:t xml:space="preserve"> </w:t>
      </w:r>
    </w:p>
    <w:p w14:paraId="25AB80E7" w14:textId="49D6D61E" w:rsidR="0070309C" w:rsidRDefault="0070309C" w:rsidP="0070309C">
      <w:r>
        <w:t xml:space="preserve">Logistic regression, random forest, gradient boost and SVM models were created for both the sepsis and pre sepsis data. Randomized cross validation was used to determine optimal hyperparameters; sequential folding was used to prevent data leakage within the folds. </w:t>
      </w:r>
    </w:p>
    <w:p w14:paraId="51E10D98" w14:textId="57D85D65" w:rsidR="0070309C" w:rsidRPr="0070309C" w:rsidRDefault="0070309C" w:rsidP="0070309C">
      <w:r>
        <w:lastRenderedPageBreak/>
        <w:t xml:space="preserve">The ROC curves for all </w:t>
      </w:r>
      <w:r w:rsidR="005D7B4B">
        <w:t xml:space="preserve">models and </w:t>
      </w:r>
      <w:r>
        <w:t xml:space="preserve">testing data had AUC of 0.75 or higher and tended to have similar values for the training data. </w:t>
      </w:r>
      <w:r w:rsidR="005D7B4B">
        <w:t>Sample</w:t>
      </w:r>
      <w:r>
        <w:t xml:space="preserve"> ROC curve</w:t>
      </w:r>
      <w:r w:rsidR="005D7B4B">
        <w:t>s</w:t>
      </w:r>
      <w:r>
        <w:t xml:space="preserve"> </w:t>
      </w:r>
      <w:r w:rsidR="005D7B4B">
        <w:t>are</w:t>
      </w:r>
      <w:r>
        <w:t xml:space="preserve"> shown below, for the logistic regression model</w:t>
      </w:r>
      <w:r w:rsidR="005D7B4B">
        <w:t>s</w:t>
      </w:r>
      <w:r>
        <w:t xml:space="preserve"> of sepsis label</w:t>
      </w:r>
      <w:r w:rsidR="005D7B4B">
        <w:t xml:space="preserve"> and pre sepsis</w:t>
      </w:r>
      <w:r>
        <w:t>.</w:t>
      </w:r>
    </w:p>
    <w:p w14:paraId="6524E728" w14:textId="0E03384F" w:rsidR="00D56087" w:rsidRDefault="0070309C" w:rsidP="0070309C">
      <w:pPr>
        <w:jc w:val="center"/>
      </w:pPr>
      <w:r w:rsidRPr="0070309C">
        <w:drawing>
          <wp:inline distT="0" distB="0" distL="0" distR="0" wp14:anchorId="7D370A6C" wp14:editId="7B331324">
            <wp:extent cx="2606634" cy="18123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116" cy="18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09C">
        <w:rPr>
          <w:noProof/>
        </w:rPr>
        <w:t xml:space="preserve"> </w:t>
      </w:r>
      <w:r w:rsidRPr="0070309C">
        <w:drawing>
          <wp:inline distT="0" distB="0" distL="0" distR="0" wp14:anchorId="052810FD" wp14:editId="16B900BD">
            <wp:extent cx="2719095" cy="177496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282" cy="17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731" w14:textId="28176FB9" w:rsidR="0070309C" w:rsidRDefault="0070309C" w:rsidP="0070309C">
      <w:pPr>
        <w:pStyle w:val="Heading5"/>
        <w:jc w:val="center"/>
        <w:rPr>
          <w:i/>
          <w:iCs/>
          <w:color w:val="4472C4" w:themeColor="accent1"/>
        </w:rPr>
      </w:pPr>
      <w:r w:rsidRPr="0070309C">
        <w:rPr>
          <w:rStyle w:val="IntenseEmphasis"/>
        </w:rPr>
        <w:t xml:space="preserve">Figure </w:t>
      </w:r>
      <w:r w:rsidRPr="0070309C">
        <w:rPr>
          <w:rStyle w:val="IntenseEmphasis"/>
        </w:rPr>
        <w:t>5</w:t>
      </w:r>
      <w:r w:rsidRPr="0070309C">
        <w:rPr>
          <w:rStyle w:val="IntenseEmphasis"/>
        </w:rPr>
        <w:t xml:space="preserve">: </w:t>
      </w:r>
      <w:r w:rsidRPr="0070309C">
        <w:rPr>
          <w:rStyle w:val="IntenseEmphasis"/>
        </w:rPr>
        <w:t>ROC Curve</w:t>
      </w:r>
      <w:r w:rsidR="005D7B4B">
        <w:rPr>
          <w:rStyle w:val="IntenseEmphasis"/>
        </w:rPr>
        <w:t>s</w:t>
      </w:r>
      <w:r w:rsidRPr="0070309C">
        <w:rPr>
          <w:rStyle w:val="IntenseEmphasis"/>
        </w:rPr>
        <w:t xml:space="preserve"> for the</w:t>
      </w:r>
      <w:r w:rsidRPr="0070309C">
        <w:rPr>
          <w:i/>
          <w:iCs/>
          <w:color w:val="4472C4" w:themeColor="accent1"/>
        </w:rPr>
        <w:t xml:space="preserve"> logistic regression model of sepsis label</w:t>
      </w:r>
      <w:r w:rsidR="005D7B4B">
        <w:rPr>
          <w:i/>
          <w:iCs/>
          <w:color w:val="4472C4" w:themeColor="accent1"/>
        </w:rPr>
        <w:t xml:space="preserve"> (left) and pre-sepsis (right)</w:t>
      </w:r>
    </w:p>
    <w:p w14:paraId="2625CBAC" w14:textId="77777777" w:rsidR="005D7B4B" w:rsidRPr="005D7B4B" w:rsidRDefault="005D7B4B" w:rsidP="005D7B4B"/>
    <w:p w14:paraId="0C778435" w14:textId="7120F74C" w:rsidR="005D7B4B" w:rsidRPr="005D7B4B" w:rsidRDefault="005D7B4B" w:rsidP="005D7B4B">
      <w:r>
        <w:t xml:space="preserve">But the precision recall curves tell a much different story, because this is such an imbalanced data set. The AUC of precision-recall curves for all testing data is below 0.1. This indicates almost no skill in any of the models. Sample precision-recall curves are shown below, again for the </w:t>
      </w:r>
      <w:r>
        <w:t>logistic regression models of sepsis label and pre sepsis.</w:t>
      </w:r>
    </w:p>
    <w:p w14:paraId="20A6A1ED" w14:textId="7DBD109B" w:rsidR="007C0986" w:rsidRDefault="005D7B4B" w:rsidP="005D7B4B">
      <w:pPr>
        <w:jc w:val="center"/>
      </w:pPr>
      <w:r w:rsidRPr="005D7B4B">
        <w:drawing>
          <wp:inline distT="0" distB="0" distL="0" distR="0" wp14:anchorId="0DD4E29C" wp14:editId="081E0C0D">
            <wp:extent cx="2509702" cy="162138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194" cy="16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4B">
        <w:drawing>
          <wp:inline distT="0" distB="0" distL="0" distR="0" wp14:anchorId="6F1247E6" wp14:editId="37C9D1F1">
            <wp:extent cx="2724151" cy="16862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233" cy="16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D95" w14:textId="45B59F50" w:rsidR="000A57EF" w:rsidRDefault="005D7B4B" w:rsidP="002E30BB">
      <w:pPr>
        <w:pStyle w:val="Heading5"/>
        <w:jc w:val="center"/>
        <w:rPr>
          <w:i/>
          <w:iCs/>
          <w:color w:val="4472C4" w:themeColor="accent1"/>
        </w:rPr>
      </w:pPr>
      <w:r w:rsidRPr="0070309C">
        <w:rPr>
          <w:rStyle w:val="IntenseEmphasis"/>
        </w:rPr>
        <w:t xml:space="preserve">Figure </w:t>
      </w:r>
      <w:r>
        <w:rPr>
          <w:rStyle w:val="IntenseEmphasis"/>
        </w:rPr>
        <w:t>6</w:t>
      </w:r>
      <w:r w:rsidRPr="0070309C">
        <w:rPr>
          <w:rStyle w:val="IntenseEmphasis"/>
        </w:rPr>
        <w:t xml:space="preserve">: </w:t>
      </w:r>
      <w:r>
        <w:rPr>
          <w:rStyle w:val="IntenseEmphasis"/>
        </w:rPr>
        <w:t xml:space="preserve">Precision-recall curves </w:t>
      </w:r>
      <w:r w:rsidRPr="0070309C">
        <w:rPr>
          <w:rStyle w:val="IntenseEmphasis"/>
        </w:rPr>
        <w:t>for the</w:t>
      </w:r>
      <w:r w:rsidRPr="0070309C">
        <w:rPr>
          <w:i/>
          <w:iCs/>
          <w:color w:val="4472C4" w:themeColor="accent1"/>
        </w:rPr>
        <w:t xml:space="preserve"> logistic regression model of sepsis label</w:t>
      </w:r>
      <w:r>
        <w:rPr>
          <w:i/>
          <w:iCs/>
          <w:color w:val="4472C4" w:themeColor="accent1"/>
        </w:rPr>
        <w:t xml:space="preserve"> (left) and pre-sepsis (right)</w:t>
      </w:r>
    </w:p>
    <w:p w14:paraId="63AD8CCA" w14:textId="77777777" w:rsidR="00F93F86" w:rsidRPr="00F93F86" w:rsidRDefault="00F93F86" w:rsidP="00F93F86"/>
    <w:p w14:paraId="3100B716" w14:textId="603BC2AE" w:rsidR="000A57EF" w:rsidRDefault="000A57EF" w:rsidP="007C0986">
      <w:r>
        <w:t xml:space="preserve">As shown in the table below, </w:t>
      </w:r>
      <w:r w:rsidR="002E30BB">
        <w:t xml:space="preserve">testing data </w:t>
      </w:r>
      <w:r>
        <w:t>accuracy is</w:t>
      </w:r>
      <w:r w:rsidR="003936E8">
        <w:t xml:space="preserve"> quite</w:t>
      </w:r>
      <w:r>
        <w:t xml:space="preserve"> high for the models, because </w:t>
      </w:r>
      <w:r w:rsidR="003936E8">
        <w:t>they</w:t>
      </w:r>
      <w:r>
        <w:t xml:space="preserve"> largely correctly classif</w:t>
      </w:r>
      <w:r w:rsidR="003936E8">
        <w:t>y</w:t>
      </w:r>
      <w:r>
        <w:t xml:space="preserve"> data points as being non-sepsis</w:t>
      </w:r>
      <w:r w:rsidR="003936E8">
        <w:t xml:space="preserve"> and non-pre-sepsis</w:t>
      </w:r>
      <w:r>
        <w:t>. But the precision and recall are extremely low, meaning the models largely fail at properly classifying sepsis</w:t>
      </w:r>
      <w:r w:rsidR="003936E8">
        <w:t xml:space="preserve"> or pre sepsis</w:t>
      </w:r>
      <w:r>
        <w:t xml:space="preserve"> patients.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30BB" w14:paraId="11A18B21" w14:textId="77777777" w:rsidTr="002E30BB">
        <w:tc>
          <w:tcPr>
            <w:tcW w:w="1870" w:type="dxa"/>
            <w:vMerge w:val="restart"/>
          </w:tcPr>
          <w:p w14:paraId="3509A6E0" w14:textId="526DDE0B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 xml:space="preserve">Model Results </w:t>
            </w:r>
          </w:p>
          <w:p w14:paraId="6BD38689" w14:textId="027DDF74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Testing Data</w:t>
            </w:r>
          </w:p>
        </w:tc>
        <w:tc>
          <w:tcPr>
            <w:tcW w:w="1870" w:type="dxa"/>
            <w:gridSpan w:val="2"/>
          </w:tcPr>
          <w:p w14:paraId="2CDD281D" w14:textId="5FAA06DB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Logistic Regression</w:t>
            </w:r>
          </w:p>
        </w:tc>
        <w:tc>
          <w:tcPr>
            <w:tcW w:w="1870" w:type="dxa"/>
            <w:gridSpan w:val="2"/>
          </w:tcPr>
          <w:p w14:paraId="3B589B34" w14:textId="259F57CD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Random Forest</w:t>
            </w:r>
          </w:p>
        </w:tc>
        <w:tc>
          <w:tcPr>
            <w:tcW w:w="1870" w:type="dxa"/>
            <w:gridSpan w:val="2"/>
          </w:tcPr>
          <w:p w14:paraId="5146FC58" w14:textId="6099ED7E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Gradient Boost</w:t>
            </w:r>
          </w:p>
        </w:tc>
        <w:tc>
          <w:tcPr>
            <w:tcW w:w="1870" w:type="dxa"/>
            <w:gridSpan w:val="2"/>
          </w:tcPr>
          <w:p w14:paraId="2B4BAFBC" w14:textId="22A06761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SVM</w:t>
            </w:r>
          </w:p>
        </w:tc>
      </w:tr>
      <w:tr w:rsidR="002E30BB" w14:paraId="611788D1" w14:textId="77777777" w:rsidTr="00306AC9">
        <w:tc>
          <w:tcPr>
            <w:tcW w:w="1870" w:type="dxa"/>
            <w:vMerge/>
          </w:tcPr>
          <w:p w14:paraId="22A36913" w14:textId="7561133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14:paraId="23158474" w14:textId="115050E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Accur</w:t>
            </w:r>
            <w:r>
              <w:rPr>
                <w:sz w:val="18"/>
                <w:szCs w:val="18"/>
              </w:rPr>
              <w:t>acy</w:t>
            </w:r>
          </w:p>
        </w:tc>
        <w:tc>
          <w:tcPr>
            <w:tcW w:w="935" w:type="dxa"/>
          </w:tcPr>
          <w:p w14:paraId="7202C070" w14:textId="21A993FF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Sepsis F1</w:t>
            </w:r>
          </w:p>
        </w:tc>
        <w:tc>
          <w:tcPr>
            <w:tcW w:w="935" w:type="dxa"/>
          </w:tcPr>
          <w:p w14:paraId="43201BA6" w14:textId="522FEE4E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Accur</w:t>
            </w:r>
            <w:r>
              <w:rPr>
                <w:sz w:val="18"/>
                <w:szCs w:val="18"/>
              </w:rPr>
              <w:t>acy</w:t>
            </w:r>
          </w:p>
        </w:tc>
        <w:tc>
          <w:tcPr>
            <w:tcW w:w="935" w:type="dxa"/>
          </w:tcPr>
          <w:p w14:paraId="6E9D6DEA" w14:textId="2E6959EF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Sepsis F1</w:t>
            </w:r>
          </w:p>
        </w:tc>
        <w:tc>
          <w:tcPr>
            <w:tcW w:w="935" w:type="dxa"/>
          </w:tcPr>
          <w:p w14:paraId="791E8EEF" w14:textId="1718EA42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Accur</w:t>
            </w:r>
            <w:r>
              <w:rPr>
                <w:sz w:val="18"/>
                <w:szCs w:val="18"/>
              </w:rPr>
              <w:t>acy</w:t>
            </w:r>
          </w:p>
        </w:tc>
        <w:tc>
          <w:tcPr>
            <w:tcW w:w="935" w:type="dxa"/>
          </w:tcPr>
          <w:p w14:paraId="288E9322" w14:textId="0F2AAF35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Sepsis F1</w:t>
            </w:r>
          </w:p>
        </w:tc>
        <w:tc>
          <w:tcPr>
            <w:tcW w:w="935" w:type="dxa"/>
          </w:tcPr>
          <w:p w14:paraId="428DF6F2" w14:textId="6DA0DFAF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Accur</w:t>
            </w:r>
            <w:r>
              <w:rPr>
                <w:sz w:val="18"/>
                <w:szCs w:val="18"/>
              </w:rPr>
              <w:t>acy</w:t>
            </w:r>
          </w:p>
        </w:tc>
        <w:tc>
          <w:tcPr>
            <w:tcW w:w="935" w:type="dxa"/>
          </w:tcPr>
          <w:p w14:paraId="00AF5333" w14:textId="30FB1CDF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Sepsis F1</w:t>
            </w:r>
          </w:p>
        </w:tc>
      </w:tr>
      <w:tr w:rsidR="002E30BB" w14:paraId="6FD4E534" w14:textId="77777777" w:rsidTr="00306AC9">
        <w:tc>
          <w:tcPr>
            <w:tcW w:w="1870" w:type="dxa"/>
          </w:tcPr>
          <w:p w14:paraId="6D1E8D6F" w14:textId="2786B1D5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 w:rsidRPr="002E30BB">
              <w:rPr>
                <w:sz w:val="18"/>
                <w:szCs w:val="18"/>
              </w:rPr>
              <w:t>Sepsis Label</w:t>
            </w:r>
          </w:p>
        </w:tc>
        <w:tc>
          <w:tcPr>
            <w:tcW w:w="935" w:type="dxa"/>
          </w:tcPr>
          <w:p w14:paraId="4824D947" w14:textId="24E48E45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.95</w:t>
            </w:r>
          </w:p>
        </w:tc>
        <w:tc>
          <w:tcPr>
            <w:tcW w:w="935" w:type="dxa"/>
          </w:tcPr>
          <w:p w14:paraId="48B05FAB" w14:textId="5999CD48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.16</w:t>
            </w:r>
          </w:p>
        </w:tc>
        <w:tc>
          <w:tcPr>
            <w:tcW w:w="935" w:type="dxa"/>
          </w:tcPr>
          <w:p w14:paraId="31530C06" w14:textId="37F6D49A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  <w:tc>
          <w:tcPr>
            <w:tcW w:w="935" w:type="dxa"/>
          </w:tcPr>
          <w:p w14:paraId="5A01010B" w14:textId="4C4CA57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935" w:type="dxa"/>
          </w:tcPr>
          <w:p w14:paraId="7391EC0B" w14:textId="406F66E5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  <w:tc>
          <w:tcPr>
            <w:tcW w:w="935" w:type="dxa"/>
          </w:tcPr>
          <w:p w14:paraId="40195529" w14:textId="6C0EDCBC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935" w:type="dxa"/>
          </w:tcPr>
          <w:p w14:paraId="26E4E6C7" w14:textId="0B617322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935" w:type="dxa"/>
          </w:tcPr>
          <w:p w14:paraId="367634D0" w14:textId="655BE654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</w:tr>
      <w:tr w:rsidR="002E30BB" w14:paraId="42A6B030" w14:textId="77777777" w:rsidTr="00E116A9">
        <w:tc>
          <w:tcPr>
            <w:tcW w:w="1870" w:type="dxa"/>
          </w:tcPr>
          <w:p w14:paraId="7D631D91" w14:textId="16A9D02E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proofErr w:type="gramStart"/>
            <w:r w:rsidRPr="002E30BB">
              <w:rPr>
                <w:sz w:val="18"/>
                <w:szCs w:val="18"/>
              </w:rPr>
              <w:t>Pre Sepsis</w:t>
            </w:r>
            <w:proofErr w:type="gramEnd"/>
          </w:p>
        </w:tc>
        <w:tc>
          <w:tcPr>
            <w:tcW w:w="935" w:type="dxa"/>
          </w:tcPr>
          <w:p w14:paraId="797EDC92" w14:textId="04AA61A5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.99</w:t>
            </w:r>
          </w:p>
        </w:tc>
        <w:tc>
          <w:tcPr>
            <w:tcW w:w="935" w:type="dxa"/>
          </w:tcPr>
          <w:p w14:paraId="5E7246CC" w14:textId="30E3C2BF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</w:t>
            </w:r>
          </w:p>
        </w:tc>
        <w:tc>
          <w:tcPr>
            <w:tcW w:w="935" w:type="dxa"/>
          </w:tcPr>
          <w:p w14:paraId="32ECA478" w14:textId="5F5D89FE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  <w:tc>
          <w:tcPr>
            <w:tcW w:w="935" w:type="dxa"/>
          </w:tcPr>
          <w:p w14:paraId="6112FB84" w14:textId="0E51AE02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  <w:tc>
          <w:tcPr>
            <w:tcW w:w="935" w:type="dxa"/>
          </w:tcPr>
          <w:p w14:paraId="199C9D8A" w14:textId="0D5BCBB8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  <w:tc>
          <w:tcPr>
            <w:tcW w:w="935" w:type="dxa"/>
          </w:tcPr>
          <w:p w14:paraId="3047D703" w14:textId="2CF9E3C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935" w:type="dxa"/>
          </w:tcPr>
          <w:p w14:paraId="48EBEEEB" w14:textId="44055301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4F1062AF" w14:textId="0CD5B58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E30BB" w14:paraId="6588FD70" w14:textId="77777777" w:rsidTr="00F21EF4">
        <w:tc>
          <w:tcPr>
            <w:tcW w:w="1870" w:type="dxa"/>
          </w:tcPr>
          <w:p w14:paraId="33A5A3D5" w14:textId="508E58A9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proofErr w:type="gramStart"/>
            <w:r w:rsidRPr="002E30BB">
              <w:rPr>
                <w:sz w:val="18"/>
                <w:szCs w:val="18"/>
              </w:rPr>
              <w:t>Pre Sepsis</w:t>
            </w:r>
            <w:proofErr w:type="gramEnd"/>
            <w:r w:rsidRPr="002E30BB">
              <w:rPr>
                <w:sz w:val="18"/>
                <w:szCs w:val="18"/>
              </w:rPr>
              <w:t xml:space="preserve"> SMOTE</w:t>
            </w:r>
          </w:p>
        </w:tc>
        <w:tc>
          <w:tcPr>
            <w:tcW w:w="935" w:type="dxa"/>
          </w:tcPr>
          <w:p w14:paraId="03A547FD" w14:textId="4469623A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935" w:type="dxa"/>
          </w:tcPr>
          <w:p w14:paraId="748AF8FE" w14:textId="19EA22D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935" w:type="dxa"/>
          </w:tcPr>
          <w:p w14:paraId="703FD8BD" w14:textId="1BF67964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127F2794" w14:textId="599BBE94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71F0687D" w14:textId="15438D04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935" w:type="dxa"/>
          </w:tcPr>
          <w:p w14:paraId="331E239F" w14:textId="6E90F7EB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935" w:type="dxa"/>
          </w:tcPr>
          <w:p w14:paraId="6EF44464" w14:textId="1FEF3ED2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26494FD9" w14:textId="209623D0" w:rsidR="002E30BB" w:rsidRPr="002E30BB" w:rsidRDefault="002E30BB" w:rsidP="002E30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62B6EC99" w14:textId="77777777" w:rsidR="000A57EF" w:rsidRDefault="000A57EF" w:rsidP="007C0986"/>
    <w:p w14:paraId="2F54165A" w14:textId="77777777" w:rsidR="000A57EF" w:rsidRDefault="000A57EF" w:rsidP="007C0986"/>
    <w:p w14:paraId="218F0F2C" w14:textId="5507E1A0" w:rsidR="005D7B4B" w:rsidRDefault="005D7B4B" w:rsidP="007C0986">
      <w:r>
        <w:lastRenderedPageBreak/>
        <w:t xml:space="preserve">So why </w:t>
      </w:r>
      <w:r w:rsidR="008E440F">
        <w:t>do the model</w:t>
      </w:r>
      <w:r w:rsidR="00F93F86">
        <w:t>s</w:t>
      </w:r>
      <w:r w:rsidR="008E440F">
        <w:t xml:space="preserve"> perform so poorly? Insight can be found in plotting the feature importance of the tree models. An example is shown in figure 7, the gradient boost model of pre-sepsis. ICU length of stay (ICULOS) is by far the most important</w:t>
      </w:r>
      <w:r w:rsidR="00F64F23">
        <w:t xml:space="preserve"> feature</w:t>
      </w:r>
      <w:r w:rsidR="008E440F">
        <w:t xml:space="preserve"> in predicting sepsis, according to the model. Nothing else comes close. So there </w:t>
      </w:r>
      <w:r w:rsidR="00F64F23">
        <w:t>does</w:t>
      </w:r>
      <w:r w:rsidR="008E440F">
        <w:t xml:space="preserve"> no</w:t>
      </w:r>
      <w:r w:rsidR="00F64F23">
        <w:t>t</w:t>
      </w:r>
      <w:r w:rsidR="008E440F">
        <w:t xml:space="preserve"> </w:t>
      </w:r>
      <w:r w:rsidR="00F64F23">
        <w:t xml:space="preserve">appear to be a latent </w:t>
      </w:r>
      <w:r w:rsidR="008E440F">
        <w:t>pattern in lab or vital sign variables that the model</w:t>
      </w:r>
      <w:r w:rsidR="00F64F23">
        <w:t>s</w:t>
      </w:r>
      <w:r w:rsidR="008E440F">
        <w:t xml:space="preserve"> can use to distinguish sepsis from </w:t>
      </w:r>
      <w:proofErr w:type="spellStart"/>
      <w:r w:rsidR="008E440F">
        <w:t>non sepsis</w:t>
      </w:r>
      <w:proofErr w:type="spellEnd"/>
      <w:r w:rsidR="008E440F">
        <w:t xml:space="preserve"> patients</w:t>
      </w:r>
      <w:r w:rsidR="00F64F23">
        <w:t xml:space="preserve"> in the data’s current form. </w:t>
      </w:r>
    </w:p>
    <w:p w14:paraId="5963D31A" w14:textId="7D3FF9F0" w:rsidR="005D7B4B" w:rsidRDefault="008E440F" w:rsidP="007C0986">
      <w:r w:rsidRPr="008E440F">
        <w:drawing>
          <wp:inline distT="0" distB="0" distL="0" distR="0" wp14:anchorId="15C6A297" wp14:editId="0CE40B20">
            <wp:extent cx="5943600" cy="4658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D0DE" w14:textId="3ABFDB8E" w:rsidR="00F64F23" w:rsidRPr="00F64F23" w:rsidRDefault="008E440F" w:rsidP="00F64F23">
      <w:pPr>
        <w:jc w:val="center"/>
        <w:rPr>
          <w:i/>
          <w:iCs/>
          <w:color w:val="4472C4" w:themeColor="accent1"/>
        </w:rPr>
      </w:pPr>
      <w:r w:rsidRPr="0070309C">
        <w:rPr>
          <w:rStyle w:val="IntenseEmphasis"/>
        </w:rPr>
        <w:t xml:space="preserve">Figure </w:t>
      </w:r>
      <w:r>
        <w:rPr>
          <w:rStyle w:val="IntenseEmphasis"/>
        </w:rPr>
        <w:t>7</w:t>
      </w:r>
      <w:r w:rsidRPr="0070309C">
        <w:rPr>
          <w:rStyle w:val="IntenseEmphasis"/>
        </w:rPr>
        <w:t xml:space="preserve">: </w:t>
      </w:r>
      <w:r>
        <w:rPr>
          <w:rStyle w:val="IntenseEmphasis"/>
        </w:rPr>
        <w:t>Feature importance in the gradient boost model for pre-sepsis</w:t>
      </w:r>
    </w:p>
    <w:p w14:paraId="0C5BB621" w14:textId="68B2A2CF" w:rsidR="008E440F" w:rsidRPr="007C0986" w:rsidRDefault="008E440F" w:rsidP="008E440F">
      <w:r>
        <w:t xml:space="preserve">SMOTE was employed to balance the classes; the results of the gradient boost model of </w:t>
      </w:r>
      <w:r w:rsidR="00F64F23">
        <w:t>SMOTE</w:t>
      </w:r>
      <w:r>
        <w:t xml:space="preserve"> is shown in figure 8. </w:t>
      </w:r>
      <w:r w:rsidR="00F64F23">
        <w:t xml:space="preserve">The model clearly overfits to the training data, so SMOTE is not useful in this case. </w:t>
      </w:r>
    </w:p>
    <w:p w14:paraId="43D67D08" w14:textId="19088E01" w:rsidR="006E24F8" w:rsidRDefault="005D7B4B" w:rsidP="000A57EF">
      <w:pPr>
        <w:jc w:val="center"/>
        <w:rPr>
          <w:noProof/>
        </w:rPr>
      </w:pPr>
      <w:r w:rsidRPr="005D7B4B">
        <w:lastRenderedPageBreak/>
        <w:drawing>
          <wp:inline distT="0" distB="0" distL="0" distR="0" wp14:anchorId="56358454" wp14:editId="27F27384">
            <wp:extent cx="2517569" cy="17359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6821" cy="17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4B">
        <w:drawing>
          <wp:inline distT="0" distB="0" distL="0" distR="0" wp14:anchorId="5A172E1F" wp14:editId="7A9E5B99">
            <wp:extent cx="2885704" cy="1720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807" cy="1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151F" w14:textId="35DA4043" w:rsidR="000A57EF" w:rsidRDefault="008E440F" w:rsidP="000A57EF">
      <w:pPr>
        <w:jc w:val="center"/>
        <w:rPr>
          <w:rStyle w:val="IntenseEmphasis"/>
        </w:rPr>
      </w:pPr>
      <w:r w:rsidRPr="0070309C">
        <w:rPr>
          <w:rStyle w:val="IntenseEmphasis"/>
        </w:rPr>
        <w:t xml:space="preserve">Figure </w:t>
      </w:r>
      <w:r>
        <w:rPr>
          <w:rStyle w:val="IntenseEmphasis"/>
        </w:rPr>
        <w:t>8</w:t>
      </w:r>
      <w:r w:rsidRPr="0070309C">
        <w:rPr>
          <w:rStyle w:val="IntenseEmphasis"/>
        </w:rPr>
        <w:t xml:space="preserve">: </w:t>
      </w:r>
      <w:r>
        <w:rPr>
          <w:rStyle w:val="IntenseEmphasis"/>
        </w:rPr>
        <w:t>ROC and precision recall curves of the gradient boost model trained on SMOTE data.</w:t>
      </w:r>
    </w:p>
    <w:p w14:paraId="10E02874" w14:textId="77777777" w:rsidR="000A57EF" w:rsidRPr="000A57EF" w:rsidRDefault="000A57EF" w:rsidP="000A57EF">
      <w:pPr>
        <w:jc w:val="center"/>
        <w:rPr>
          <w:i/>
          <w:iCs/>
          <w:color w:val="4472C4" w:themeColor="accent1"/>
        </w:rPr>
      </w:pPr>
    </w:p>
    <w:p w14:paraId="07141920" w14:textId="59EC2D6A" w:rsidR="002F6E0C" w:rsidRPr="007C0986" w:rsidRDefault="002F6E0C" w:rsidP="00A54FEE">
      <w:pPr>
        <w:pStyle w:val="Heading1"/>
        <w:rPr>
          <w:sz w:val="22"/>
          <w:szCs w:val="22"/>
        </w:rPr>
      </w:pPr>
      <w:bookmarkStart w:id="11" w:name="_Toc72332778"/>
      <w:r w:rsidRPr="007C0986">
        <w:rPr>
          <w:sz w:val="22"/>
          <w:szCs w:val="22"/>
        </w:rPr>
        <w:t>Future Directions</w:t>
      </w:r>
      <w:bookmarkEnd w:id="11"/>
    </w:p>
    <w:p w14:paraId="0DA812D6" w14:textId="783C6D37" w:rsidR="000A57EF" w:rsidRDefault="000A57EF" w:rsidP="001339FA">
      <w:r>
        <w:t xml:space="preserve">During exploratory data analysis, there was no obvious pattern in the difference in lab values between sepsis and non-sepsis patients. There were some differences in the vital signs; but given the imbalanced nature of the classes, this would not necessarily be enough difference.  I hoped that by modeling the data with machine learning algorithms such as </w:t>
      </w:r>
      <w:proofErr w:type="spellStart"/>
      <w:r>
        <w:t>XGBoost</w:t>
      </w:r>
      <w:proofErr w:type="spellEnd"/>
      <w:r>
        <w:t xml:space="preserve"> and SVM, latent relationships in the variables would be uncovered that could make classification possible. </w:t>
      </w:r>
      <w:proofErr w:type="gramStart"/>
      <w:r>
        <w:t>Unfortunately</w:t>
      </w:r>
      <w:proofErr w:type="gramEnd"/>
      <w:r>
        <w:t xml:space="preserve"> these models performed poorly at correctly classifying sepsis patients.  </w:t>
      </w:r>
    </w:p>
    <w:p w14:paraId="586F8F33" w14:textId="322F377B" w:rsidR="00F303C7" w:rsidRDefault="000A57EF" w:rsidP="001339FA">
      <w:r>
        <w:t>Because</w:t>
      </w:r>
      <w:r w:rsidR="00A72AD1" w:rsidRPr="00A72AD1">
        <w:t xml:space="preserve"> this data was </w:t>
      </w:r>
      <w:proofErr w:type="spellStart"/>
      <w:r w:rsidR="00A72AD1" w:rsidRPr="00A72AD1">
        <w:t>apart</w:t>
      </w:r>
      <w:proofErr w:type="spellEnd"/>
      <w:r w:rsidR="00A72AD1" w:rsidRPr="00A72AD1">
        <w:t xml:space="preserve"> of a competition, I sought the methods of other groups that were more successful in their model creation. As discussed </w:t>
      </w:r>
      <w:proofErr w:type="gramStart"/>
      <w:r w:rsidR="00A72AD1" w:rsidRPr="00A72AD1">
        <w:t>in</w:t>
      </w:r>
      <w:r w:rsidR="00195FB6" w:rsidRPr="007C0986">
        <w:rPr>
          <w:vertAlign w:val="superscript"/>
        </w:rPr>
        <w:t>[</w:t>
      </w:r>
      <w:proofErr w:type="gramEnd"/>
      <w:r w:rsidR="00195FB6" w:rsidRPr="007C0986">
        <w:rPr>
          <w:vertAlign w:val="superscript"/>
        </w:rPr>
        <w:t>4]</w:t>
      </w:r>
      <w:r w:rsidR="00195FB6">
        <w:t xml:space="preserve">, </w:t>
      </w:r>
      <w:r w:rsidR="00A72AD1" w:rsidRPr="00A72AD1">
        <w:t xml:space="preserve">one group was able to build a model after heterogenous events embedding and attentional </w:t>
      </w:r>
      <w:proofErr w:type="spellStart"/>
      <w:r w:rsidR="00A72AD1" w:rsidRPr="00A72AD1">
        <w:t>multihead</w:t>
      </w:r>
      <w:proofErr w:type="spellEnd"/>
      <w:r w:rsidR="00A72AD1" w:rsidRPr="00A72AD1">
        <w:t xml:space="preserve"> aggregation. So better classification is possible, but methods more advanced than I am currently able to employ are needed.</w:t>
      </w:r>
    </w:p>
    <w:p w14:paraId="58703B35" w14:textId="77777777" w:rsidR="00F93F86" w:rsidRPr="007C0986" w:rsidRDefault="00F93F86" w:rsidP="001339FA"/>
    <w:p w14:paraId="7B80EE4C" w14:textId="77777777" w:rsidR="001339FA" w:rsidRPr="00F93F86" w:rsidRDefault="001339FA" w:rsidP="00F93F86">
      <w:pPr>
        <w:pStyle w:val="Heading1"/>
      </w:pPr>
      <w:bookmarkStart w:id="12" w:name="_Toc72332779"/>
      <w:r w:rsidRPr="00F93F86">
        <w:t>Citations</w:t>
      </w:r>
      <w:bookmarkEnd w:id="12"/>
    </w:p>
    <w:p w14:paraId="5C992A6C" w14:textId="77777777" w:rsidR="008E440F" w:rsidRPr="00F93F86" w:rsidRDefault="001339FA" w:rsidP="008E440F">
      <w:pPr>
        <w:spacing w:after="0" w:line="240" w:lineRule="auto"/>
        <w:rPr>
          <w:sz w:val="20"/>
          <w:szCs w:val="20"/>
          <w:shd w:val="clear" w:color="auto" w:fill="FFFFFF"/>
        </w:rPr>
      </w:pPr>
      <w:r w:rsidRPr="00F93F86">
        <w:rPr>
          <w:sz w:val="20"/>
          <w:szCs w:val="20"/>
        </w:rPr>
        <w:t xml:space="preserve">[1] Reyna, M., Josef, C., Jeter, R., Shashikumar, S., Moody, B., Westover, M. B., Sharma, A., Nemati, S., &amp; Clifford, G. (2019). Early Prediction of Sepsis from Clinical Data -- the </w:t>
      </w:r>
      <w:proofErr w:type="spellStart"/>
      <w:r w:rsidRPr="00F93F86">
        <w:rPr>
          <w:sz w:val="20"/>
          <w:szCs w:val="20"/>
        </w:rPr>
        <w:t>PhysioNet</w:t>
      </w:r>
      <w:proofErr w:type="spellEnd"/>
      <w:r w:rsidRPr="00F93F86">
        <w:rPr>
          <w:sz w:val="20"/>
          <w:szCs w:val="20"/>
        </w:rPr>
        <w:t xml:space="preserve"> Computing in Cardiology Challenge 2019 (version 1.0.0). </w:t>
      </w:r>
      <w:proofErr w:type="spellStart"/>
      <w:r w:rsidRPr="00F93F86">
        <w:rPr>
          <w:i/>
          <w:iCs/>
          <w:sz w:val="20"/>
          <w:szCs w:val="20"/>
        </w:rPr>
        <w:t>PhysioNet</w:t>
      </w:r>
      <w:proofErr w:type="spellEnd"/>
      <w:r w:rsidRPr="00F93F86">
        <w:rPr>
          <w:sz w:val="20"/>
          <w:szCs w:val="20"/>
        </w:rPr>
        <w:t>. </w:t>
      </w:r>
      <w:hyperlink r:id="rId16" w:history="1">
        <w:r w:rsidRPr="00F93F86">
          <w:rPr>
            <w:color w:val="0366D6"/>
            <w:sz w:val="20"/>
            <w:szCs w:val="20"/>
            <w:u w:val="single"/>
          </w:rPr>
          <w:t>https://doi.org/10.13026/v64v-d857</w:t>
        </w:r>
      </w:hyperlink>
      <w:r w:rsidRPr="00F93F86">
        <w:rPr>
          <w:sz w:val="20"/>
          <w:szCs w:val="20"/>
        </w:rPr>
        <w:t>.</w:t>
      </w:r>
    </w:p>
    <w:p w14:paraId="1C42DE76" w14:textId="2735F8DE" w:rsidR="001339FA" w:rsidRPr="00F93F86" w:rsidRDefault="001339FA" w:rsidP="008E440F">
      <w:pPr>
        <w:spacing w:line="240" w:lineRule="auto"/>
        <w:rPr>
          <w:sz w:val="20"/>
          <w:szCs w:val="20"/>
        </w:rPr>
      </w:pPr>
      <w:r w:rsidRPr="00F93F86">
        <w:rPr>
          <w:sz w:val="20"/>
          <w:szCs w:val="20"/>
          <w:shd w:val="clear" w:color="auto" w:fill="FFFFFF"/>
        </w:rPr>
        <w:br/>
        <w:t xml:space="preserve">[2] Reyna MA, Josef CS, Jeter R, Shashikumar SP, Westover MB, Nemati S, Clifford GD, Sharma A. Early Prediction of Sepsis </w:t>
      </w:r>
      <w:proofErr w:type="gramStart"/>
      <w:r w:rsidRPr="00F93F86">
        <w:rPr>
          <w:sz w:val="20"/>
          <w:szCs w:val="20"/>
          <w:shd w:val="clear" w:color="auto" w:fill="FFFFFF"/>
        </w:rPr>
        <w:t>From</w:t>
      </w:r>
      <w:proofErr w:type="gramEnd"/>
      <w:r w:rsidRPr="00F93F86">
        <w:rPr>
          <w:sz w:val="20"/>
          <w:szCs w:val="20"/>
          <w:shd w:val="clear" w:color="auto" w:fill="FFFFFF"/>
        </w:rPr>
        <w:t xml:space="preserve"> Clinical Data: The </w:t>
      </w:r>
      <w:proofErr w:type="spellStart"/>
      <w:r w:rsidRPr="00F93F86">
        <w:rPr>
          <w:sz w:val="20"/>
          <w:szCs w:val="20"/>
          <w:shd w:val="clear" w:color="auto" w:fill="FFFFFF"/>
        </w:rPr>
        <w:t>PhysioNet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/Computing in Cardiology Challenge. Critical Care Medicine 48 2: 210-217 (2019). </w:t>
      </w:r>
      <w:hyperlink r:id="rId17" w:history="1">
        <w:r w:rsidRPr="00F93F86">
          <w:rPr>
            <w:rStyle w:val="Hyperlink"/>
            <w:sz w:val="20"/>
            <w:szCs w:val="20"/>
            <w:shd w:val="clear" w:color="auto" w:fill="FFFFFF"/>
          </w:rPr>
          <w:t>https://doi.org/10.1097/CCM.0000000000004145</w:t>
        </w:r>
      </w:hyperlink>
      <w:r w:rsidRPr="00F93F86">
        <w:rPr>
          <w:sz w:val="20"/>
          <w:szCs w:val="20"/>
          <w:shd w:val="clear" w:color="auto" w:fill="FFFFFF"/>
        </w:rPr>
        <w:t xml:space="preserve"> </w:t>
      </w:r>
    </w:p>
    <w:p w14:paraId="4C5D0A4A" w14:textId="0834E1A5" w:rsidR="001339FA" w:rsidRPr="00F93F86" w:rsidRDefault="001339FA" w:rsidP="008E440F">
      <w:pPr>
        <w:spacing w:line="240" w:lineRule="auto"/>
        <w:rPr>
          <w:sz w:val="20"/>
          <w:szCs w:val="20"/>
          <w:shd w:val="clear" w:color="auto" w:fill="FFFFFF"/>
        </w:rPr>
      </w:pPr>
      <w:r w:rsidRPr="00F93F86">
        <w:rPr>
          <w:sz w:val="20"/>
          <w:szCs w:val="20"/>
          <w:shd w:val="clear" w:color="auto" w:fill="FFFFFF"/>
        </w:rPr>
        <w:t xml:space="preserve">[3] Singer M, </w:t>
      </w:r>
      <w:proofErr w:type="spellStart"/>
      <w:r w:rsidRPr="00F93F86">
        <w:rPr>
          <w:sz w:val="20"/>
          <w:szCs w:val="20"/>
          <w:shd w:val="clear" w:color="auto" w:fill="FFFFFF"/>
        </w:rPr>
        <w:t>Deutschman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 CS, Seymour CW, Shankar-Hari M, </w:t>
      </w:r>
      <w:proofErr w:type="spellStart"/>
      <w:r w:rsidRPr="00F93F86">
        <w:rPr>
          <w:sz w:val="20"/>
          <w:szCs w:val="20"/>
          <w:shd w:val="clear" w:color="auto" w:fill="FFFFFF"/>
        </w:rPr>
        <w:t>Annane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 D, Bauer M, </w:t>
      </w:r>
      <w:proofErr w:type="spellStart"/>
      <w:r w:rsidRPr="00F93F86">
        <w:rPr>
          <w:sz w:val="20"/>
          <w:szCs w:val="20"/>
          <w:shd w:val="clear" w:color="auto" w:fill="FFFFFF"/>
        </w:rPr>
        <w:t>Bellomo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 R, Bernard GR, </w:t>
      </w:r>
      <w:proofErr w:type="spellStart"/>
      <w:r w:rsidRPr="00F93F86">
        <w:rPr>
          <w:sz w:val="20"/>
          <w:szCs w:val="20"/>
          <w:shd w:val="clear" w:color="auto" w:fill="FFFFFF"/>
        </w:rPr>
        <w:t>Chiche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 JD, Coopersmith CM, Hotchkiss RS, Levy MM, Marshall JC, Martin GS, Opal SM, </w:t>
      </w:r>
      <w:proofErr w:type="spellStart"/>
      <w:r w:rsidRPr="00F93F86">
        <w:rPr>
          <w:sz w:val="20"/>
          <w:szCs w:val="20"/>
          <w:shd w:val="clear" w:color="auto" w:fill="FFFFFF"/>
        </w:rPr>
        <w:t>Rubenfeld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 GD, van der Poll T, Vincent JL, Angus DC. The Third International Consensus Definitions for Sepsis and Septic Shock (Sepsis-3). JAMA. 2016 Feb 23;315(8):801-10. </w:t>
      </w:r>
      <w:proofErr w:type="spellStart"/>
      <w:r w:rsidRPr="00F93F86">
        <w:rPr>
          <w:sz w:val="20"/>
          <w:szCs w:val="20"/>
          <w:shd w:val="clear" w:color="auto" w:fill="FFFFFF"/>
        </w:rPr>
        <w:t>doi</w:t>
      </w:r>
      <w:proofErr w:type="spellEnd"/>
      <w:r w:rsidRPr="00F93F86">
        <w:rPr>
          <w:sz w:val="20"/>
          <w:szCs w:val="20"/>
          <w:shd w:val="clear" w:color="auto" w:fill="FFFFFF"/>
        </w:rPr>
        <w:t xml:space="preserve">: 10.1001/jama.2016.0287. PMID: 26903338; PMCID: PMC4968574. </w:t>
      </w:r>
    </w:p>
    <w:p w14:paraId="47D9F369" w14:textId="3C69DF7D" w:rsidR="005D7B4B" w:rsidRPr="00F93F86" w:rsidRDefault="00AC4D64" w:rsidP="008E440F">
      <w:pPr>
        <w:spacing w:line="240" w:lineRule="auto"/>
        <w:rPr>
          <w:sz w:val="20"/>
          <w:szCs w:val="20"/>
          <w:shd w:val="clear" w:color="auto" w:fill="FFFFFF"/>
        </w:rPr>
      </w:pPr>
      <w:r w:rsidRPr="00F93F86">
        <w:rPr>
          <w:sz w:val="20"/>
          <w:szCs w:val="20"/>
          <w:shd w:val="clear" w:color="auto" w:fill="FFFFFF"/>
        </w:rPr>
        <w:t>[4]</w:t>
      </w:r>
      <w:r w:rsidR="005D7B4B" w:rsidRPr="00F93F86">
        <w:rPr>
          <w:sz w:val="20"/>
          <w:szCs w:val="20"/>
          <w:shd w:val="clear" w:color="auto" w:fill="FFFFFF"/>
        </w:rPr>
        <w:t xml:space="preserve"> Liu, L., Wu, H., Wang, Z., Lieu, Z, Zhang, M. </w:t>
      </w:r>
      <w:r w:rsidR="005D7B4B" w:rsidRPr="00F93F86">
        <w:rPr>
          <w:sz w:val="20"/>
          <w:szCs w:val="20"/>
          <w:shd w:val="clear" w:color="auto" w:fill="FFFFFF"/>
        </w:rPr>
        <w:t xml:space="preserve">Early Prediction of Sepsis </w:t>
      </w:r>
      <w:proofErr w:type="gramStart"/>
      <w:r w:rsidR="005D7B4B" w:rsidRPr="00F93F86">
        <w:rPr>
          <w:sz w:val="20"/>
          <w:szCs w:val="20"/>
          <w:shd w:val="clear" w:color="auto" w:fill="FFFFFF"/>
        </w:rPr>
        <w:t>From</w:t>
      </w:r>
      <w:proofErr w:type="gramEnd"/>
      <w:r w:rsidR="005D7B4B" w:rsidRPr="00F93F86">
        <w:rPr>
          <w:sz w:val="20"/>
          <w:szCs w:val="20"/>
          <w:shd w:val="clear" w:color="auto" w:fill="FFFFFF"/>
        </w:rPr>
        <w:t xml:space="preserve"> Clinical Data</w:t>
      </w:r>
      <w:r w:rsidR="008E440F" w:rsidRPr="00F93F86">
        <w:rPr>
          <w:sz w:val="20"/>
          <w:szCs w:val="20"/>
          <w:shd w:val="clear" w:color="auto" w:fill="FFFFFF"/>
        </w:rPr>
        <w:t xml:space="preserve"> </w:t>
      </w:r>
      <w:r w:rsidR="005D7B4B" w:rsidRPr="00F93F86">
        <w:rPr>
          <w:sz w:val="20"/>
          <w:szCs w:val="20"/>
          <w:shd w:val="clear" w:color="auto" w:fill="FFFFFF"/>
        </w:rPr>
        <w:t>via Heterogeneous Event Aggregation</w:t>
      </w:r>
      <w:r w:rsidR="005D7B4B" w:rsidRPr="00F93F86">
        <w:rPr>
          <w:sz w:val="20"/>
          <w:szCs w:val="20"/>
          <w:shd w:val="clear" w:color="auto" w:fill="FFFFFF"/>
        </w:rPr>
        <w:t>.</w:t>
      </w:r>
      <w:r w:rsidR="008E440F" w:rsidRPr="00F93F86">
        <w:rPr>
          <w:sz w:val="20"/>
          <w:szCs w:val="20"/>
        </w:rPr>
        <w:t xml:space="preserve">  arXiv.org. 2019 Oct 12; </w:t>
      </w:r>
      <w:r w:rsidR="008E440F" w:rsidRPr="00F93F86">
        <w:rPr>
          <w:sz w:val="20"/>
          <w:szCs w:val="20"/>
          <w:shd w:val="clear" w:color="auto" w:fill="FFFFFF"/>
        </w:rPr>
        <w:t>1910.06792v1</w:t>
      </w:r>
      <w:r w:rsidR="008E440F" w:rsidRPr="00F93F86">
        <w:rPr>
          <w:sz w:val="20"/>
          <w:szCs w:val="20"/>
          <w:shd w:val="clear" w:color="auto" w:fill="FFFFFF"/>
        </w:rPr>
        <w:t>.</w:t>
      </w:r>
    </w:p>
    <w:p w14:paraId="687C8333" w14:textId="1609F673" w:rsidR="002F6E0C" w:rsidRPr="00F93F86" w:rsidRDefault="002F6E0C" w:rsidP="00F93F86">
      <w:pPr>
        <w:spacing w:line="240" w:lineRule="auto"/>
        <w:rPr>
          <w:color w:val="0563C1" w:themeColor="hyperlink"/>
          <w:sz w:val="20"/>
          <w:szCs w:val="20"/>
          <w:u w:val="single"/>
          <w:shd w:val="clear" w:color="auto" w:fill="FFFFFF"/>
        </w:rPr>
      </w:pPr>
    </w:p>
    <w:sectPr w:rsidR="002F6E0C" w:rsidRPr="00F9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496"/>
    <w:multiLevelType w:val="hybridMultilevel"/>
    <w:tmpl w:val="1A98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4BDC"/>
    <w:multiLevelType w:val="hybridMultilevel"/>
    <w:tmpl w:val="D67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0C"/>
    <w:rsid w:val="000A57EF"/>
    <w:rsid w:val="001100A4"/>
    <w:rsid w:val="001339FA"/>
    <w:rsid w:val="00195FB6"/>
    <w:rsid w:val="00296CB4"/>
    <w:rsid w:val="002E30BB"/>
    <w:rsid w:val="002F6E0C"/>
    <w:rsid w:val="003936E8"/>
    <w:rsid w:val="003C4FE2"/>
    <w:rsid w:val="003D5655"/>
    <w:rsid w:val="005D7B4B"/>
    <w:rsid w:val="006019BD"/>
    <w:rsid w:val="006E24F8"/>
    <w:rsid w:val="0070309C"/>
    <w:rsid w:val="007C0986"/>
    <w:rsid w:val="008E440F"/>
    <w:rsid w:val="00A54FEE"/>
    <w:rsid w:val="00A72AD1"/>
    <w:rsid w:val="00A778F5"/>
    <w:rsid w:val="00AB1376"/>
    <w:rsid w:val="00AC4D64"/>
    <w:rsid w:val="00C83718"/>
    <w:rsid w:val="00D56087"/>
    <w:rsid w:val="00DA2759"/>
    <w:rsid w:val="00DC73F8"/>
    <w:rsid w:val="00F303C7"/>
    <w:rsid w:val="00F64F23"/>
    <w:rsid w:val="00F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6B9A"/>
  <w15:chartTrackingRefBased/>
  <w15:docId w15:val="{1BE638E0-BFB7-437A-80D1-BA112B15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E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E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19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E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6E0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F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E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6E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6E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371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303C7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6019BD"/>
    <w:rPr>
      <w:i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019B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5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4FE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1100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4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1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4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i.org/10.1097/CCM.00000000000041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3026/v64v-d85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28EA-D4D9-44B6-B054-8D8813E1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Casey</dc:creator>
  <cp:keywords/>
  <dc:description/>
  <cp:lastModifiedBy>Aisling Casey</cp:lastModifiedBy>
  <cp:revision>8</cp:revision>
  <cp:lastPrinted>2021-05-19T20:06:00Z</cp:lastPrinted>
  <dcterms:created xsi:type="dcterms:W3CDTF">2021-05-18T19:37:00Z</dcterms:created>
  <dcterms:modified xsi:type="dcterms:W3CDTF">2021-05-19T20:08:00Z</dcterms:modified>
</cp:coreProperties>
</file>