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214" w:rsidRPr="00A07214" w:rsidRDefault="00A07214" w:rsidP="00A07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A0721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6. Diagnosis and Assessment</w:t>
      </w:r>
    </w:p>
    <w:p w:rsidR="00A07214" w:rsidRPr="00A07214" w:rsidRDefault="00A07214" w:rsidP="00A0721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72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Diagnosis is primarily </w:t>
      </w:r>
      <w:r w:rsidRPr="00A0721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clinical</w:t>
      </w:r>
      <w:r w:rsidRPr="00A07214">
        <w:rPr>
          <w:rFonts w:ascii="Times New Roman" w:eastAsia="Times New Roman" w:hAnsi="Times New Roman" w:cs="Times New Roman"/>
          <w:sz w:val="24"/>
          <w:szCs w:val="24"/>
          <w:lang w:eastAsia="fr-FR"/>
        </w:rPr>
        <w:t>, supported by ECG monitoring and basic laboratory tests.</w:t>
      </w:r>
    </w:p>
    <w:p w:rsidR="00A07214" w:rsidRPr="00A07214" w:rsidRDefault="00A07214" w:rsidP="00A0721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72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Key diagnostic tools:</w:t>
      </w:r>
    </w:p>
    <w:p w:rsidR="00A07214" w:rsidRPr="00A07214" w:rsidRDefault="00A07214" w:rsidP="00A0721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72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Electrocardiogram (ECG):</w:t>
      </w:r>
      <w:r w:rsidRPr="00A072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QRS &gt; 100 ms indicates high risk of arrhythmia in TCA toxicity.</w:t>
      </w:r>
    </w:p>
    <w:p w:rsidR="00A07214" w:rsidRPr="00A07214" w:rsidRDefault="00A07214" w:rsidP="00A0721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72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Serum studies:</w:t>
      </w:r>
      <w:r w:rsidRPr="00A072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electrolytes, liver/renal function, arterial blood gases.</w:t>
      </w:r>
    </w:p>
    <w:p w:rsidR="00A07214" w:rsidRPr="00A07214" w:rsidRDefault="00A07214" w:rsidP="00A0721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72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Toxicology screen:</w:t>
      </w:r>
      <w:r w:rsidRPr="00A072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confirmatory, though treatment is usually not based on serum drug levels.</w:t>
      </w:r>
    </w:p>
    <w:p w:rsidR="00A07214" w:rsidRPr="00A07214" w:rsidRDefault="00A07214" w:rsidP="00A0721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721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Neurological and thermoregulatory assessment:</w:t>
      </w:r>
      <w:r w:rsidRPr="00A0721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detect serotonin syndrome early.</w:t>
      </w:r>
    </w:p>
    <w:p w:rsidR="00A07214" w:rsidRPr="00A07214" w:rsidRDefault="00A07214" w:rsidP="00A0721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07214">
        <w:rPr>
          <w:rFonts w:ascii="Times New Roman" w:eastAsia="Times New Roman" w:hAnsi="Times New Roman" w:cs="Times New Roman"/>
          <w:sz w:val="24"/>
          <w:szCs w:val="24"/>
          <w:lang w:eastAsia="fr-FR"/>
        </w:rPr>
        <w:t>Recent guidelines also recommend continuous cardiac monitoring for at least 24 hours after ingestion of TCAs or SNRIs.</w:t>
      </w:r>
    </w:p>
    <w:p w:rsidR="00607BE0" w:rsidRDefault="00607BE0">
      <w:pPr>
        <w:sectPr w:rsidR="00607BE0" w:rsidSect="00A07214">
          <w:footerReference w:type="default" r:id="rId7"/>
          <w:type w:val="continuous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A07214" w:rsidRPr="00A07214" w:rsidRDefault="00A07214" w:rsidP="00A07214">
      <w:pPr>
        <w:pStyle w:val="Titre3"/>
        <w:rPr>
          <w:sz w:val="28"/>
          <w:szCs w:val="28"/>
          <w:u w:val="single"/>
        </w:rPr>
      </w:pPr>
      <w:r w:rsidRPr="00A07214">
        <w:rPr>
          <w:rStyle w:val="lev"/>
          <w:b/>
          <w:bCs/>
          <w:sz w:val="28"/>
          <w:szCs w:val="28"/>
          <w:u w:val="single"/>
        </w:rPr>
        <w:lastRenderedPageBreak/>
        <w:t>7. Management and Treatment</w:t>
      </w:r>
    </w:p>
    <w:p w:rsidR="00A07214" w:rsidRDefault="00A07214" w:rsidP="00A07214">
      <w:pPr>
        <w:pStyle w:val="NormalWeb"/>
        <w:spacing w:line="276" w:lineRule="auto"/>
      </w:pPr>
      <w:r>
        <w:t>Treatment centers on prompt supportive care and targeted interventions.</w:t>
      </w:r>
    </w:p>
    <w:p w:rsidR="00A07214" w:rsidRDefault="00A07214" w:rsidP="00A07214">
      <w:pPr>
        <w:pStyle w:val="Titre4"/>
      </w:pPr>
      <w:r>
        <w:rPr>
          <w:rStyle w:val="lev"/>
          <w:b/>
          <w:bCs/>
        </w:rPr>
        <w:t>7.1 Supportive Measures</w:t>
      </w:r>
    </w:p>
    <w:p w:rsidR="00A07214" w:rsidRDefault="00A07214" w:rsidP="00A07214">
      <w:pPr>
        <w:numPr>
          <w:ilvl w:val="0"/>
          <w:numId w:val="3"/>
        </w:numPr>
        <w:spacing w:before="100" w:beforeAutospacing="1" w:after="100" w:afterAutospacing="1"/>
      </w:pPr>
      <w:r>
        <w:t>Airway, breathing, circulation stabilization.</w:t>
      </w:r>
    </w:p>
    <w:p w:rsidR="00A07214" w:rsidRDefault="00A07214" w:rsidP="00A07214">
      <w:pPr>
        <w:numPr>
          <w:ilvl w:val="0"/>
          <w:numId w:val="3"/>
        </w:numPr>
        <w:spacing w:before="100" w:beforeAutospacing="1" w:after="100" w:afterAutospacing="1"/>
      </w:pPr>
      <w:r>
        <w:t>Activated charcoal if within one hour and airway protected.</w:t>
      </w:r>
    </w:p>
    <w:p w:rsidR="00A07214" w:rsidRDefault="00A07214" w:rsidP="00A07214">
      <w:pPr>
        <w:numPr>
          <w:ilvl w:val="0"/>
          <w:numId w:val="3"/>
        </w:numPr>
        <w:spacing w:before="100" w:beforeAutospacing="1" w:after="100" w:afterAutospacing="1"/>
      </w:pPr>
      <w:r>
        <w:t>Intravenous fluids for hypotension.</w:t>
      </w:r>
    </w:p>
    <w:p w:rsidR="00A07214" w:rsidRDefault="00A07214" w:rsidP="00A07214">
      <w:pPr>
        <w:pStyle w:val="Titre4"/>
      </w:pPr>
      <w:r>
        <w:rPr>
          <w:rStyle w:val="lev"/>
          <w:b/>
          <w:bCs/>
        </w:rPr>
        <w:t>7.2 Cardiac Management</w:t>
      </w:r>
    </w:p>
    <w:p w:rsidR="00A07214" w:rsidRDefault="00A07214" w:rsidP="00A07214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lev"/>
        </w:rPr>
        <w:t>Sodium bicarbonate</w:t>
      </w:r>
      <w:r>
        <w:t xml:space="preserve"> for QRS widening or arrhythmias due to TCAs.</w:t>
      </w:r>
    </w:p>
    <w:p w:rsidR="00A07214" w:rsidRDefault="00A07214" w:rsidP="00A07214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lev"/>
        </w:rPr>
        <w:t>Vasopressors</w:t>
      </w:r>
      <w:r>
        <w:t xml:space="preserve"> (norepinephrine) if refractory hypotension persists.</w:t>
      </w:r>
    </w:p>
    <w:p w:rsidR="00A07214" w:rsidRDefault="00A07214" w:rsidP="00A07214">
      <w:pPr>
        <w:pStyle w:val="Titre4"/>
      </w:pPr>
      <w:r>
        <w:rPr>
          <w:rStyle w:val="lev"/>
          <w:b/>
          <w:bCs/>
        </w:rPr>
        <w:t>7.3 Neurological Complications</w:t>
      </w:r>
    </w:p>
    <w:p w:rsidR="00A07214" w:rsidRDefault="00A07214" w:rsidP="00A07214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lev"/>
        </w:rPr>
        <w:t>Benzodiazepines</w:t>
      </w:r>
      <w:r>
        <w:t xml:space="preserve"> for seizures.</w:t>
      </w:r>
    </w:p>
    <w:p w:rsidR="00A07214" w:rsidRDefault="00A07214" w:rsidP="00A07214">
      <w:pPr>
        <w:numPr>
          <w:ilvl w:val="0"/>
          <w:numId w:val="5"/>
        </w:numPr>
        <w:spacing w:before="100" w:beforeAutospacing="1" w:after="100" w:afterAutospacing="1"/>
      </w:pPr>
      <w:r>
        <w:t xml:space="preserve">Avoid </w:t>
      </w:r>
      <w:r>
        <w:rPr>
          <w:rStyle w:val="lev"/>
        </w:rPr>
        <w:t>phenytoin</w:t>
      </w:r>
      <w:r>
        <w:t xml:space="preserve"> in TCA overdoses due to cardiac effects.</w:t>
      </w:r>
    </w:p>
    <w:p w:rsidR="00A07214" w:rsidRDefault="00A07214" w:rsidP="00A07214">
      <w:pPr>
        <w:pStyle w:val="Titre4"/>
      </w:pPr>
      <w:r>
        <w:rPr>
          <w:rStyle w:val="lev"/>
          <w:b/>
          <w:bCs/>
        </w:rPr>
        <w:t>7.4 Serotonin Syndrome</w:t>
      </w:r>
    </w:p>
    <w:p w:rsidR="00A07214" w:rsidRDefault="00A07214" w:rsidP="00A07214">
      <w:pPr>
        <w:numPr>
          <w:ilvl w:val="0"/>
          <w:numId w:val="6"/>
        </w:numPr>
        <w:spacing w:before="100" w:beforeAutospacing="1" w:after="100" w:afterAutospacing="1"/>
      </w:pPr>
      <w:r>
        <w:t>Discontinue all serotonergic drugs.</w:t>
      </w:r>
    </w:p>
    <w:p w:rsidR="00A07214" w:rsidRDefault="00A07214" w:rsidP="00A07214">
      <w:pPr>
        <w:numPr>
          <w:ilvl w:val="0"/>
          <w:numId w:val="6"/>
        </w:numPr>
        <w:spacing w:before="100" w:beforeAutospacing="1" w:after="100" w:afterAutospacing="1"/>
      </w:pPr>
      <w:r>
        <w:t>Cooling measures for hyperthermia.</w:t>
      </w:r>
    </w:p>
    <w:p w:rsidR="00A07214" w:rsidRDefault="00A07214" w:rsidP="00A07214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lev"/>
        </w:rPr>
        <w:t>Cyproheptadine</w:t>
      </w:r>
      <w:r>
        <w:t xml:space="preserve"> as serotonin antagonist when severe.</w:t>
      </w:r>
    </w:p>
    <w:p w:rsidR="00A07214" w:rsidRDefault="00A07214" w:rsidP="00A07214">
      <w:pPr>
        <w:pStyle w:val="Titre4"/>
      </w:pPr>
      <w:r>
        <w:rPr>
          <w:rStyle w:val="lev"/>
          <w:b/>
          <w:bCs/>
        </w:rPr>
        <w:lastRenderedPageBreak/>
        <w:t>7.5 Advanced Therapies</w:t>
      </w:r>
    </w:p>
    <w:p w:rsidR="00A07214" w:rsidRDefault="00A07214" w:rsidP="00A07214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lev"/>
        </w:rPr>
        <w:t>Intravenous lipid emulsion (ILE):</w:t>
      </w:r>
      <w:r>
        <w:t xml:space="preserve"> for severe cardiotoxicity refractory to standard therapy.</w:t>
      </w:r>
    </w:p>
    <w:p w:rsidR="00A07214" w:rsidRDefault="00A07214" w:rsidP="00A07214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lev"/>
        </w:rPr>
        <w:t>ECMO:</w:t>
      </w:r>
      <w:r>
        <w:t xml:space="preserve"> for cardiac arrest not responding to conventional resuscitation.</w:t>
      </w:r>
    </w:p>
    <w:p w:rsidR="00A07214" w:rsidRPr="00607BE0" w:rsidRDefault="00A07214" w:rsidP="00A0721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References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</w:p>
    <w:p w:rsidR="00A07214" w:rsidRDefault="00A07214" w:rsidP="00A072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  <w:sectPr w:rsidR="00A07214" w:rsidSect="00A07214">
          <w:footerReference w:type="default" r:id="rId8"/>
          <w:type w:val="continuous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A07214" w:rsidRPr="00607BE0" w:rsidRDefault="00A07214" w:rsidP="00A072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7BE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Kim, J. H., Park, E., &amp; Cho, Y. (2025). </w:t>
      </w:r>
      <w:r w:rsidRPr="00607BE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Emerging Trends in Antidepressant Poisoning: A Ten</w:t>
      </w:r>
      <w:r w:rsidRPr="00607BE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noBreakHyphen/>
        <w:t>Year Retrospective Study.</w:t>
      </w:r>
      <w:r w:rsidRPr="0060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0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Journal of Psychiatric Research</w:t>
      </w:r>
      <w:r w:rsidRPr="00607BE0">
        <w:rPr>
          <w:rFonts w:ascii="Times New Roman" w:eastAsia="Times New Roman" w:hAnsi="Times New Roman" w:cs="Times New Roman"/>
          <w:sz w:val="24"/>
          <w:szCs w:val="24"/>
          <w:lang w:eastAsia="fr-FR"/>
        </w:rPr>
        <w:t>, 180, 32–44.</w:t>
      </w:r>
    </w:p>
    <w:p w:rsidR="00A07214" w:rsidRPr="00607BE0" w:rsidRDefault="00A07214" w:rsidP="00A072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Patel, N. S., &amp; Gomez, F. M. (2024). </w:t>
      </w:r>
      <w:r w:rsidRPr="00607BE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Current Concepts in the Management of Antidepressant Toxicity.</w:t>
      </w:r>
      <w:r w:rsidRPr="0060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60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Toxicology Reports</w:t>
      </w:r>
      <w:r w:rsidRPr="00607BE0">
        <w:rPr>
          <w:rFonts w:ascii="Times New Roman" w:eastAsia="Times New Roman" w:hAnsi="Times New Roman" w:cs="Times New Roman"/>
          <w:sz w:val="24"/>
          <w:szCs w:val="24"/>
          <w:lang w:eastAsia="fr-FR"/>
        </w:rPr>
        <w:t>, 11, 233–248.</w:t>
      </w:r>
    </w:p>
    <w:p w:rsidR="00A07214" w:rsidRDefault="00A07214" w:rsidP="00A07214">
      <w:pPr>
        <w:numPr>
          <w:ilvl w:val="0"/>
          <w:numId w:val="8"/>
        </w:numPr>
        <w:spacing w:before="100" w:beforeAutospacing="1" w:after="100" w:afterAutospacing="1"/>
      </w:pPr>
      <w:r>
        <w:lastRenderedPageBreak/>
        <w:t xml:space="preserve">Patel, N. S., &amp; Gomez, F. M. (2024). </w:t>
      </w:r>
      <w:r>
        <w:rPr>
          <w:rStyle w:val="Accentuation"/>
        </w:rPr>
        <w:t>Current Concepts in the Management of Antidepressant Toxicity.</w:t>
      </w:r>
      <w:r>
        <w:t xml:space="preserve"> </w:t>
      </w:r>
      <w:r>
        <w:rPr>
          <w:rStyle w:val="lev"/>
        </w:rPr>
        <w:t>Toxicology Reports</w:t>
      </w:r>
      <w:r>
        <w:t>, 11, 233–248.</w:t>
      </w:r>
    </w:p>
    <w:p w:rsidR="00A07214" w:rsidRDefault="00A07214" w:rsidP="00A07214">
      <w:pPr>
        <w:numPr>
          <w:ilvl w:val="0"/>
          <w:numId w:val="8"/>
        </w:numPr>
        <w:spacing w:before="100" w:beforeAutospacing="1" w:after="100" w:afterAutospacing="1"/>
      </w:pPr>
      <w:r>
        <w:t xml:space="preserve">Zhou, L., et al. (2024). </w:t>
      </w:r>
      <w:r>
        <w:rPr>
          <w:rStyle w:val="Accentuation"/>
        </w:rPr>
        <w:t>Management of Serotonin Syndrome in the ICU: Updated Evidence and Outcomes.</w:t>
      </w:r>
      <w:r>
        <w:t xml:space="preserve"> </w:t>
      </w:r>
      <w:r>
        <w:rPr>
          <w:rStyle w:val="lev"/>
        </w:rPr>
        <w:t>Critical Care Medicine</w:t>
      </w:r>
      <w:r>
        <w:t>, 52(7), 1215–1228.</w:t>
      </w:r>
    </w:p>
    <w:p w:rsidR="00A07214" w:rsidRDefault="00A07214" w:rsidP="00A07214">
      <w:pPr>
        <w:sectPr w:rsidR="00A07214" w:rsidSect="00A07214">
          <w:type w:val="continuous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:rsidR="00A07214" w:rsidRDefault="00A07214" w:rsidP="00A07214"/>
    <w:sectPr w:rsidR="00A07214" w:rsidSect="00607BE0">
      <w:type w:val="continuous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71F8" w:rsidRDefault="000771F8" w:rsidP="00607BE0">
      <w:pPr>
        <w:spacing w:after="0" w:line="240" w:lineRule="auto"/>
      </w:pPr>
      <w:r>
        <w:separator/>
      </w:r>
    </w:p>
  </w:endnote>
  <w:endnote w:type="continuationSeparator" w:id="1">
    <w:p w:rsidR="000771F8" w:rsidRDefault="000771F8" w:rsidP="0060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3460344"/>
      <w:docPartObj>
        <w:docPartGallery w:val="Page Numbers (Bottom of Page)"/>
        <w:docPartUnique/>
      </w:docPartObj>
    </w:sdtPr>
    <w:sdtContent>
      <w:p w:rsidR="00607BE0" w:rsidRDefault="008B3592">
        <w:pPr>
          <w:pStyle w:val="Pieddepage"/>
          <w:jc w:val="center"/>
        </w:pPr>
        <w:fldSimple w:instr=" PAGE   \* MERGEFORMAT ">
          <w:r w:rsidR="00A07214">
            <w:rPr>
              <w:noProof/>
            </w:rPr>
            <w:t>1</w:t>
          </w:r>
        </w:fldSimple>
      </w:p>
    </w:sdtContent>
  </w:sdt>
  <w:p w:rsidR="00607BE0" w:rsidRDefault="00607BE0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3599219"/>
      <w:docPartObj>
        <w:docPartGallery w:val="Page Numbers (Bottom of Page)"/>
        <w:docPartUnique/>
      </w:docPartObj>
    </w:sdtPr>
    <w:sdtContent>
      <w:p w:rsidR="00A07214" w:rsidRDefault="00A07214">
        <w:pPr>
          <w:pStyle w:val="Pieddepage"/>
          <w:jc w:val="center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A07214" w:rsidRDefault="00A07214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71F8" w:rsidRDefault="000771F8" w:rsidP="00607BE0">
      <w:pPr>
        <w:spacing w:after="0" w:line="240" w:lineRule="auto"/>
      </w:pPr>
      <w:r>
        <w:separator/>
      </w:r>
    </w:p>
  </w:footnote>
  <w:footnote w:type="continuationSeparator" w:id="1">
    <w:p w:rsidR="000771F8" w:rsidRDefault="000771F8" w:rsidP="00607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B6DAA"/>
    <w:multiLevelType w:val="multilevel"/>
    <w:tmpl w:val="BC0E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901C99"/>
    <w:multiLevelType w:val="multilevel"/>
    <w:tmpl w:val="856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72343A"/>
    <w:multiLevelType w:val="multilevel"/>
    <w:tmpl w:val="B374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D67060"/>
    <w:multiLevelType w:val="multilevel"/>
    <w:tmpl w:val="DE9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871C18"/>
    <w:multiLevelType w:val="multilevel"/>
    <w:tmpl w:val="FD24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85137B"/>
    <w:multiLevelType w:val="multilevel"/>
    <w:tmpl w:val="0F8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8B0B44"/>
    <w:multiLevelType w:val="multilevel"/>
    <w:tmpl w:val="A1EA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9C6B64"/>
    <w:multiLevelType w:val="multilevel"/>
    <w:tmpl w:val="328A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D46F82"/>
    <w:multiLevelType w:val="multilevel"/>
    <w:tmpl w:val="8FA6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7"/>
  </w:num>
  <w:num w:numId="5">
    <w:abstractNumId w:val="6"/>
  </w:num>
  <w:num w:numId="6">
    <w:abstractNumId w:val="1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7BE0"/>
    <w:rsid w:val="000771F8"/>
    <w:rsid w:val="001858CB"/>
    <w:rsid w:val="003A4CF1"/>
    <w:rsid w:val="00607BE0"/>
    <w:rsid w:val="008B3592"/>
    <w:rsid w:val="00A072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CF1"/>
  </w:style>
  <w:style w:type="paragraph" w:styleId="Titre3">
    <w:name w:val="heading 3"/>
    <w:basedOn w:val="Normal"/>
    <w:link w:val="Titre3Car"/>
    <w:uiPriority w:val="9"/>
    <w:qFormat/>
    <w:rsid w:val="00607B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72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607B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07BE0"/>
  </w:style>
  <w:style w:type="paragraph" w:styleId="Pieddepage">
    <w:name w:val="footer"/>
    <w:basedOn w:val="Normal"/>
    <w:link w:val="PieddepageCar"/>
    <w:uiPriority w:val="99"/>
    <w:unhideWhenUsed/>
    <w:rsid w:val="00607B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7BE0"/>
  </w:style>
  <w:style w:type="character" w:customStyle="1" w:styleId="Titre3Car">
    <w:name w:val="Titre 3 Car"/>
    <w:basedOn w:val="Policepardfaut"/>
    <w:link w:val="Titre3"/>
    <w:uiPriority w:val="9"/>
    <w:rsid w:val="00607BE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607B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7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607BE0"/>
    <w:rPr>
      <w:i/>
      <w:iCs/>
    </w:rPr>
  </w:style>
  <w:style w:type="character" w:customStyle="1" w:styleId="Titre4Car">
    <w:name w:val="Titre 4 Car"/>
    <w:basedOn w:val="Policepardfaut"/>
    <w:link w:val="Titre4"/>
    <w:uiPriority w:val="9"/>
    <w:semiHidden/>
    <w:rsid w:val="00A0721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315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عيساني</dc:creator>
  <cp:lastModifiedBy>عيساني</cp:lastModifiedBy>
  <cp:revision>4</cp:revision>
  <dcterms:created xsi:type="dcterms:W3CDTF">2025-11-05T17:52:00Z</dcterms:created>
  <dcterms:modified xsi:type="dcterms:W3CDTF">2025-11-05T18:03:00Z</dcterms:modified>
</cp:coreProperties>
</file>