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D79" w:rsidRPr="00FC0D79" w:rsidRDefault="00B32763" w:rsidP="00FC0D79">
      <w:pPr>
        <w:spacing w:after="0" w:line="240" w:lineRule="auto"/>
        <w:rPr>
          <w:rFonts w:ascii="Times New Roman" w:eastAsia="Times New Roman" w:hAnsi="Times New Roman" w:cs="Times New Roman"/>
          <w:sz w:val="24"/>
          <w:szCs w:val="24"/>
          <w:lang w:eastAsia="fr-FR"/>
        </w:rPr>
      </w:pPr>
      <w:r w:rsidRPr="00B32763">
        <w:rPr>
          <w:rFonts w:ascii="Times New Roman" w:eastAsia="Times New Roman" w:hAnsi="Times New Roman" w:cs="Times New Roman"/>
          <w:sz w:val="24"/>
          <w:szCs w:val="24"/>
          <w:lang w:eastAsia="fr-FR"/>
        </w:rPr>
        <w:pict>
          <v:rect id="_x0000_i1025" style="width:0;height:1.5pt" o:hralign="center" o:hrstd="t" o:hr="t" fillcolor="#a0a0a0" stroked="f"/>
        </w:pict>
      </w:r>
    </w:p>
    <w:p w:rsidR="00FC0D79" w:rsidRPr="00FC0D79" w:rsidRDefault="00FC0D79" w:rsidP="00FC0D79">
      <w:pPr>
        <w:spacing w:before="100" w:beforeAutospacing="1" w:after="100" w:afterAutospacing="1" w:line="240" w:lineRule="auto"/>
        <w:jc w:val="center"/>
        <w:outlineLvl w:val="1"/>
        <w:rPr>
          <w:rFonts w:ascii="Times New Roman" w:eastAsia="Times New Roman" w:hAnsi="Times New Roman" w:cs="Times New Roman"/>
          <w:b/>
          <w:bCs/>
          <w:sz w:val="44"/>
          <w:szCs w:val="44"/>
          <w:lang w:eastAsia="fr-FR"/>
        </w:rPr>
      </w:pPr>
      <w:r w:rsidRPr="00FC0D79">
        <w:rPr>
          <w:rFonts w:ascii="Times New Roman" w:eastAsia="Times New Roman" w:hAnsi="Times New Roman" w:cs="Times New Roman"/>
          <w:b/>
          <w:bCs/>
          <w:sz w:val="44"/>
          <w:szCs w:val="44"/>
          <w:lang w:eastAsia="fr-FR"/>
        </w:rPr>
        <w:t>Antidepressant Poisoning: Clinical Insights, Mechanisms, and Management</w:t>
      </w:r>
    </w:p>
    <w:p w:rsidR="00FC0D79" w:rsidRPr="00FC0D79" w:rsidRDefault="00B32763" w:rsidP="00FC0D79">
      <w:pPr>
        <w:spacing w:after="0" w:line="240" w:lineRule="auto"/>
        <w:rPr>
          <w:rFonts w:ascii="Times New Roman" w:eastAsia="Times New Roman" w:hAnsi="Times New Roman" w:cs="Times New Roman"/>
          <w:sz w:val="24"/>
          <w:szCs w:val="24"/>
          <w:lang w:eastAsia="fr-FR"/>
        </w:rPr>
      </w:pPr>
      <w:r w:rsidRPr="00B32763">
        <w:rPr>
          <w:rFonts w:ascii="Times New Roman" w:eastAsia="Times New Roman" w:hAnsi="Times New Roman" w:cs="Times New Roman"/>
          <w:sz w:val="24"/>
          <w:szCs w:val="24"/>
          <w:lang w:eastAsia="fr-FR"/>
        </w:rPr>
        <w:pict>
          <v:rect id="_x0000_i1026" style="width:0;height:1.5pt" o:hralign="center" o:hrstd="t" o:hr="t" fillcolor="#a0a0a0" stroked="f"/>
        </w:pict>
      </w:r>
    </w:p>
    <w:p w:rsidR="00FC0D79" w:rsidRPr="00FC0D79" w:rsidRDefault="00FC0D79" w:rsidP="00FC0D79">
      <w:pPr>
        <w:spacing w:before="100" w:beforeAutospacing="1" w:after="100" w:afterAutospacing="1" w:line="240" w:lineRule="auto"/>
        <w:outlineLvl w:val="2"/>
        <w:rPr>
          <w:rFonts w:ascii="Times New Roman" w:eastAsia="Times New Roman" w:hAnsi="Times New Roman" w:cs="Times New Roman"/>
          <w:b/>
          <w:bCs/>
          <w:sz w:val="28"/>
          <w:szCs w:val="28"/>
          <w:u w:val="single"/>
          <w:lang w:eastAsia="fr-FR"/>
        </w:rPr>
      </w:pPr>
      <w:r w:rsidRPr="00FC0D79">
        <w:rPr>
          <w:rFonts w:ascii="Times New Roman" w:eastAsia="Times New Roman" w:hAnsi="Times New Roman" w:cs="Times New Roman"/>
          <w:b/>
          <w:bCs/>
          <w:sz w:val="28"/>
          <w:szCs w:val="28"/>
          <w:u w:val="single"/>
          <w:lang w:eastAsia="fr-FR"/>
        </w:rPr>
        <w:t>1. Introduction</w:t>
      </w:r>
    </w:p>
    <w:p w:rsidR="00FC0D79" w:rsidRPr="00FC0D79" w:rsidRDefault="00FC0D79" w:rsidP="00FC0D79">
      <w:pPr>
        <w:spacing w:before="100" w:beforeAutospacing="1" w:after="100" w:afterAutospacing="1"/>
        <w:rPr>
          <w:rFonts w:ascii="Times New Roman" w:eastAsia="Times New Roman" w:hAnsi="Times New Roman" w:cs="Times New Roman"/>
          <w:sz w:val="24"/>
          <w:szCs w:val="24"/>
          <w:lang w:eastAsia="fr-FR"/>
        </w:rPr>
      </w:pPr>
      <w:r w:rsidRPr="00FC0D79">
        <w:rPr>
          <w:rFonts w:ascii="Times New Roman" w:eastAsia="Times New Roman" w:hAnsi="Times New Roman" w:cs="Times New Roman"/>
          <w:sz w:val="24"/>
          <w:szCs w:val="24"/>
          <w:lang w:eastAsia="fr-FR"/>
        </w:rPr>
        <w:t>Antidepressant poisoning is a major clinical and public health challenge. The global use of antidepressant medications has grown steadily over the past two decades, driven by higher rates of diagnosed depression and anxiety disorders. While these medications improve quality of life and reduce suicide rates when used correctly, overdose—intentional or accidental—remains a frequent cause of emergency department visits.</w:t>
      </w:r>
    </w:p>
    <w:p w:rsidR="00FC0D79" w:rsidRPr="00FC0D79" w:rsidRDefault="00FC0D79" w:rsidP="00FC0D79">
      <w:pPr>
        <w:spacing w:before="100" w:beforeAutospacing="1" w:after="100" w:afterAutospacing="1"/>
        <w:rPr>
          <w:rFonts w:ascii="Times New Roman" w:eastAsia="Times New Roman" w:hAnsi="Times New Roman" w:cs="Times New Roman"/>
          <w:sz w:val="24"/>
          <w:szCs w:val="24"/>
          <w:lang w:eastAsia="fr-FR"/>
        </w:rPr>
      </w:pPr>
      <w:r w:rsidRPr="00FC0D79">
        <w:rPr>
          <w:rFonts w:ascii="Times New Roman" w:eastAsia="Times New Roman" w:hAnsi="Times New Roman" w:cs="Times New Roman"/>
          <w:sz w:val="24"/>
          <w:szCs w:val="24"/>
          <w:lang w:eastAsia="fr-FR"/>
        </w:rPr>
        <w:t>According to a 2024 meta</w:t>
      </w:r>
      <w:r w:rsidRPr="00FC0D79">
        <w:rPr>
          <w:rFonts w:ascii="Times New Roman" w:eastAsia="Times New Roman" w:hAnsi="Times New Roman" w:cs="Times New Roman"/>
          <w:sz w:val="24"/>
          <w:szCs w:val="24"/>
          <w:lang w:eastAsia="fr-FR"/>
        </w:rPr>
        <w:noBreakHyphen/>
        <w:t>analysis by Lai et al., antidepressant overdoses account for nearly 14% of all deliberate self</w:t>
      </w:r>
      <w:r w:rsidRPr="00FC0D79">
        <w:rPr>
          <w:rFonts w:ascii="Times New Roman" w:eastAsia="Times New Roman" w:hAnsi="Times New Roman" w:cs="Times New Roman"/>
          <w:sz w:val="24"/>
          <w:szCs w:val="24"/>
          <w:lang w:eastAsia="fr-FR"/>
        </w:rPr>
        <w:noBreakHyphen/>
        <w:t>poisoning cases worldwide, with selective serotonin reuptake inhibitors (SSRIs) and tricyclic antidepressants (TCAs) being the most common agents. Modern agents like SSRIs and serotonin–norepinephrine reuptake inhibitors (SNRIs) are comparatively safer than older ones, but large ingestions can still lead to seizures, serotonin toxicity, or cardiac arrhythmias.</w:t>
      </w:r>
    </w:p>
    <w:p w:rsidR="00FC0D79" w:rsidRPr="00FC0D79" w:rsidRDefault="00FC0D79" w:rsidP="00FC0D79">
      <w:pPr>
        <w:spacing w:before="100" w:beforeAutospacing="1" w:after="100" w:afterAutospacing="1"/>
        <w:rPr>
          <w:rFonts w:ascii="Times New Roman" w:eastAsia="Times New Roman" w:hAnsi="Times New Roman" w:cs="Times New Roman"/>
          <w:sz w:val="24"/>
          <w:szCs w:val="24"/>
          <w:lang w:eastAsia="fr-FR"/>
        </w:rPr>
      </w:pPr>
      <w:r w:rsidRPr="00FC0D79">
        <w:rPr>
          <w:rFonts w:ascii="Times New Roman" w:eastAsia="Times New Roman" w:hAnsi="Times New Roman" w:cs="Times New Roman"/>
          <w:sz w:val="24"/>
          <w:szCs w:val="24"/>
          <w:lang w:eastAsia="fr-FR"/>
        </w:rPr>
        <w:t>Understanding antidepressant poisoning requires a multidisciplinary approach involving psychiatry, toxicology, and critical care. The management of these patients has evolved significantly in the last few years with updated toxicology protocols and evidence-based guidelines.</w:t>
      </w:r>
    </w:p>
    <w:p w:rsidR="00FC0D79" w:rsidRDefault="00FC0D79" w:rsidP="00FC0D79">
      <w:pPr>
        <w:spacing w:before="100" w:beforeAutospacing="1" w:after="100" w:afterAutospacing="1" w:line="240" w:lineRule="auto"/>
        <w:rPr>
          <w:rFonts w:ascii="Times New Roman" w:eastAsia="Times New Roman" w:hAnsi="Times New Roman" w:cs="Times New Roman"/>
          <w:b/>
          <w:bCs/>
          <w:sz w:val="24"/>
          <w:szCs w:val="24"/>
          <w:rtl/>
          <w:lang w:eastAsia="fr-FR" w:bidi="ar-DZ"/>
        </w:rPr>
      </w:pPr>
      <w:r w:rsidRPr="00FC0D79">
        <w:rPr>
          <w:rFonts w:ascii="Times New Roman" w:eastAsia="Times New Roman" w:hAnsi="Times New Roman" w:cs="Times New Roman"/>
          <w:b/>
          <w:bCs/>
          <w:sz w:val="24"/>
          <w:szCs w:val="24"/>
          <w:lang w:eastAsia="fr-FR"/>
        </w:rPr>
        <w:t xml:space="preserve">References </w:t>
      </w:r>
    </w:p>
    <w:p w:rsidR="00FC0D79" w:rsidRDefault="00FC0D79" w:rsidP="00FC0D79">
      <w:pPr>
        <w:spacing w:before="100" w:beforeAutospacing="1" w:after="100" w:afterAutospacing="1" w:line="240" w:lineRule="auto"/>
        <w:rPr>
          <w:rFonts w:ascii="Times New Roman" w:eastAsia="Times New Roman" w:hAnsi="Times New Roman" w:cs="Times New Roman"/>
          <w:sz w:val="24"/>
          <w:szCs w:val="24"/>
          <w:lang w:eastAsia="fr-FR"/>
        </w:rPr>
        <w:sectPr w:rsidR="00FC0D79" w:rsidSect="00FC0D79">
          <w:footerReference w:type="default" r:id="rId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FC0D79" w:rsidRPr="00FC0D79" w:rsidRDefault="00FC0D79" w:rsidP="00FC0D79">
      <w:pPr>
        <w:spacing w:before="100" w:beforeAutospacing="1" w:after="100" w:afterAutospacing="1" w:line="240" w:lineRule="auto"/>
        <w:rPr>
          <w:rFonts w:ascii="Times New Roman" w:eastAsia="Times New Roman" w:hAnsi="Times New Roman" w:cs="Times New Roman"/>
          <w:sz w:val="24"/>
          <w:szCs w:val="24"/>
          <w:lang w:eastAsia="fr-FR"/>
        </w:rPr>
      </w:pPr>
      <w:r w:rsidRPr="00FC0D79">
        <w:rPr>
          <w:rFonts w:ascii="Times New Roman" w:eastAsia="Times New Roman" w:hAnsi="Times New Roman" w:cs="Times New Roman"/>
          <w:sz w:val="24"/>
          <w:szCs w:val="24"/>
          <w:lang w:eastAsia="fr-FR"/>
        </w:rPr>
        <w:lastRenderedPageBreak/>
        <w:t xml:space="preserve">Lai, S., et al. (2024). </w:t>
      </w:r>
      <w:r w:rsidRPr="00FC0D79">
        <w:rPr>
          <w:rFonts w:ascii="Times New Roman" w:eastAsia="Times New Roman" w:hAnsi="Times New Roman" w:cs="Times New Roman"/>
          <w:i/>
          <w:iCs/>
          <w:sz w:val="24"/>
          <w:szCs w:val="24"/>
          <w:lang w:eastAsia="fr-FR"/>
        </w:rPr>
        <w:t>Global Patterns of Antidepressant Overdose: A Cross</w:t>
      </w:r>
      <w:r w:rsidRPr="00FC0D79">
        <w:rPr>
          <w:rFonts w:ascii="Times New Roman" w:eastAsia="Times New Roman" w:hAnsi="Times New Roman" w:cs="Times New Roman"/>
          <w:i/>
          <w:iCs/>
          <w:sz w:val="24"/>
          <w:szCs w:val="24"/>
          <w:lang w:eastAsia="fr-FR"/>
        </w:rPr>
        <w:noBreakHyphen/>
        <w:t>sectional Analysis of Toxicology Registries.</w:t>
      </w:r>
      <w:r w:rsidRPr="00FC0D79">
        <w:rPr>
          <w:rFonts w:ascii="Times New Roman" w:eastAsia="Times New Roman" w:hAnsi="Times New Roman" w:cs="Times New Roman"/>
          <w:sz w:val="24"/>
          <w:szCs w:val="24"/>
          <w:lang w:eastAsia="fr-FR"/>
        </w:rPr>
        <w:t xml:space="preserve"> </w:t>
      </w:r>
      <w:r w:rsidRPr="00FC0D79">
        <w:rPr>
          <w:rFonts w:ascii="Times New Roman" w:eastAsia="Times New Roman" w:hAnsi="Times New Roman" w:cs="Times New Roman"/>
          <w:b/>
          <w:bCs/>
          <w:sz w:val="24"/>
          <w:szCs w:val="24"/>
          <w:lang w:eastAsia="fr-FR"/>
        </w:rPr>
        <w:t>Clinical Toxicology</w:t>
      </w:r>
      <w:r w:rsidRPr="00FC0D79">
        <w:rPr>
          <w:rFonts w:ascii="Times New Roman" w:eastAsia="Times New Roman" w:hAnsi="Times New Roman" w:cs="Times New Roman"/>
          <w:sz w:val="24"/>
          <w:szCs w:val="24"/>
          <w:lang w:eastAsia="fr-FR"/>
        </w:rPr>
        <w:t xml:space="preserve">, 62(5), 489–503. </w:t>
      </w:r>
      <w:hyperlink r:id="rId9" w:tgtFrame="_blank" w:history="1">
        <w:r w:rsidRPr="00FC0D79">
          <w:rPr>
            <w:rFonts w:ascii="Times New Roman" w:eastAsia="Times New Roman" w:hAnsi="Times New Roman" w:cs="Times New Roman"/>
            <w:color w:val="0000FF"/>
            <w:sz w:val="24"/>
            <w:szCs w:val="24"/>
            <w:u w:val="single"/>
            <w:lang w:eastAsia="fr-FR"/>
          </w:rPr>
          <w:t>https://doi.org/10.1080/15563650.2024.1002903</w:t>
        </w:r>
      </w:hyperlink>
    </w:p>
    <w:p w:rsidR="00FC0D79" w:rsidRPr="00FC0D79" w:rsidRDefault="00FC0D79" w:rsidP="00FC0D79">
      <w:pPr>
        <w:spacing w:before="100" w:beforeAutospacing="1" w:after="100" w:afterAutospacing="1" w:line="240" w:lineRule="auto"/>
        <w:rPr>
          <w:rFonts w:ascii="Times New Roman" w:eastAsia="Times New Roman" w:hAnsi="Times New Roman" w:cs="Times New Roman"/>
          <w:sz w:val="24"/>
          <w:szCs w:val="24"/>
          <w:lang w:eastAsia="fr-FR"/>
        </w:rPr>
      </w:pPr>
      <w:r w:rsidRPr="00FC0D79">
        <w:rPr>
          <w:rFonts w:ascii="Times New Roman" w:eastAsia="Times New Roman" w:hAnsi="Times New Roman" w:cs="Times New Roman"/>
          <w:sz w:val="24"/>
          <w:szCs w:val="24"/>
          <w:lang w:eastAsia="fr-FR"/>
        </w:rPr>
        <w:lastRenderedPageBreak/>
        <w:t xml:space="preserve">Patel, N. S., &amp; Gomez, F. M. (2024). </w:t>
      </w:r>
      <w:r w:rsidRPr="00FC0D79">
        <w:rPr>
          <w:rFonts w:ascii="Times New Roman" w:eastAsia="Times New Roman" w:hAnsi="Times New Roman" w:cs="Times New Roman"/>
          <w:i/>
          <w:iCs/>
          <w:sz w:val="24"/>
          <w:szCs w:val="24"/>
          <w:lang w:eastAsia="fr-FR"/>
        </w:rPr>
        <w:t>Current Concepts in the Management of Antidepressant Toxicity.</w:t>
      </w:r>
      <w:r w:rsidRPr="00FC0D79">
        <w:rPr>
          <w:rFonts w:ascii="Times New Roman" w:eastAsia="Times New Roman" w:hAnsi="Times New Roman" w:cs="Times New Roman"/>
          <w:sz w:val="24"/>
          <w:szCs w:val="24"/>
          <w:lang w:eastAsia="fr-FR"/>
        </w:rPr>
        <w:t xml:space="preserve"> </w:t>
      </w:r>
      <w:r w:rsidRPr="00FC0D79">
        <w:rPr>
          <w:rFonts w:ascii="Times New Roman" w:eastAsia="Times New Roman" w:hAnsi="Times New Roman" w:cs="Times New Roman"/>
          <w:b/>
          <w:bCs/>
          <w:sz w:val="24"/>
          <w:szCs w:val="24"/>
          <w:lang w:eastAsia="fr-FR"/>
        </w:rPr>
        <w:t>Toxicology Reports</w:t>
      </w:r>
      <w:r w:rsidRPr="00FC0D79">
        <w:rPr>
          <w:rFonts w:ascii="Times New Roman" w:eastAsia="Times New Roman" w:hAnsi="Times New Roman" w:cs="Times New Roman"/>
          <w:sz w:val="24"/>
          <w:szCs w:val="24"/>
          <w:lang w:eastAsia="fr-FR"/>
        </w:rPr>
        <w:t xml:space="preserve">, 11, 233–248. </w:t>
      </w:r>
      <w:hyperlink r:id="rId10" w:tgtFrame="_blank" w:history="1">
        <w:r w:rsidRPr="00FC0D79">
          <w:rPr>
            <w:rFonts w:ascii="Times New Roman" w:eastAsia="Times New Roman" w:hAnsi="Times New Roman" w:cs="Times New Roman"/>
            <w:color w:val="0000FF"/>
            <w:sz w:val="24"/>
            <w:szCs w:val="24"/>
            <w:u w:val="single"/>
            <w:lang w:eastAsia="fr-FR"/>
          </w:rPr>
          <w:t>https://doi.org/10.1016/j.toxrep.2024.03.015</w:t>
        </w:r>
      </w:hyperlink>
    </w:p>
    <w:p w:rsidR="00FC0D79" w:rsidRDefault="00FC0D79">
      <w:pPr>
        <w:sectPr w:rsidR="00FC0D79" w:rsidSect="00FC0D79">
          <w:type w:val="continuous"/>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rsidR="004C623B" w:rsidRDefault="004C623B"/>
    <w:sectPr w:rsidR="004C623B" w:rsidSect="00FC0D79">
      <w:type w:val="continuous"/>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6024" w:rsidRDefault="005B6024" w:rsidP="00FC0D79">
      <w:pPr>
        <w:spacing w:after="0" w:line="240" w:lineRule="auto"/>
      </w:pPr>
      <w:r>
        <w:separator/>
      </w:r>
    </w:p>
  </w:endnote>
  <w:endnote w:type="continuationSeparator" w:id="1">
    <w:p w:rsidR="005B6024" w:rsidRDefault="005B6024" w:rsidP="00FC0D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653876"/>
      <w:docPartObj>
        <w:docPartGallery w:val="Page Numbers (Bottom of Page)"/>
        <w:docPartUnique/>
      </w:docPartObj>
    </w:sdtPr>
    <w:sdtContent>
      <w:p w:rsidR="00FC0D79" w:rsidRDefault="00B32763">
        <w:pPr>
          <w:pStyle w:val="Pieddepage"/>
          <w:jc w:val="center"/>
        </w:pPr>
        <w:fldSimple w:instr=" PAGE   \* MERGEFORMAT ">
          <w:r w:rsidR="0000299C">
            <w:rPr>
              <w:noProof/>
            </w:rPr>
            <w:t>1</w:t>
          </w:r>
        </w:fldSimple>
      </w:p>
    </w:sdtContent>
  </w:sdt>
  <w:p w:rsidR="00FC0D79" w:rsidRDefault="00FC0D7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6024" w:rsidRDefault="005B6024" w:rsidP="00FC0D79">
      <w:pPr>
        <w:spacing w:after="0" w:line="240" w:lineRule="auto"/>
      </w:pPr>
      <w:r>
        <w:separator/>
      </w:r>
    </w:p>
  </w:footnote>
  <w:footnote w:type="continuationSeparator" w:id="1">
    <w:p w:rsidR="005B6024" w:rsidRDefault="005B6024" w:rsidP="00FC0D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9677F0"/>
    <w:multiLevelType w:val="multilevel"/>
    <w:tmpl w:val="63D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fr-FR" w:vendorID="64" w:dllVersion="131078" w:nlCheck="1" w:checkStyle="1"/>
  <w:defaultTabStop w:val="708"/>
  <w:hyphenationZone w:val="425"/>
  <w:characterSpacingControl w:val="doNotCompress"/>
  <w:footnotePr>
    <w:footnote w:id="0"/>
    <w:footnote w:id="1"/>
  </w:footnotePr>
  <w:endnotePr>
    <w:endnote w:id="0"/>
    <w:endnote w:id="1"/>
  </w:endnotePr>
  <w:compat/>
  <w:rsids>
    <w:rsidRoot w:val="00FC0D79"/>
    <w:rsid w:val="00001823"/>
    <w:rsid w:val="0000299C"/>
    <w:rsid w:val="00133905"/>
    <w:rsid w:val="004C623B"/>
    <w:rsid w:val="005B6024"/>
    <w:rsid w:val="00B32763"/>
    <w:rsid w:val="00FC0D7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23B"/>
  </w:style>
  <w:style w:type="paragraph" w:styleId="Titre2">
    <w:name w:val="heading 2"/>
    <w:basedOn w:val="Normal"/>
    <w:link w:val="Titre2Car"/>
    <w:uiPriority w:val="9"/>
    <w:qFormat/>
    <w:rsid w:val="00FC0D7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C0D7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FC0D79"/>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FC0D79"/>
  </w:style>
  <w:style w:type="paragraph" w:styleId="Pieddepage">
    <w:name w:val="footer"/>
    <w:basedOn w:val="Normal"/>
    <w:link w:val="PieddepageCar"/>
    <w:uiPriority w:val="99"/>
    <w:unhideWhenUsed/>
    <w:rsid w:val="00FC0D7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FC0D79"/>
  </w:style>
  <w:style w:type="character" w:customStyle="1" w:styleId="Titre2Car">
    <w:name w:val="Titre 2 Car"/>
    <w:basedOn w:val="Policepardfaut"/>
    <w:link w:val="Titre2"/>
    <w:uiPriority w:val="9"/>
    <w:rsid w:val="00FC0D7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C0D7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C0D7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C0D79"/>
    <w:rPr>
      <w:b/>
      <w:bCs/>
    </w:rPr>
  </w:style>
  <w:style w:type="character" w:styleId="Accentuation">
    <w:name w:val="Emphasis"/>
    <w:basedOn w:val="Policepardfaut"/>
    <w:uiPriority w:val="20"/>
    <w:qFormat/>
    <w:rsid w:val="00FC0D79"/>
    <w:rPr>
      <w:i/>
      <w:iCs/>
    </w:rPr>
  </w:style>
  <w:style w:type="character" w:styleId="Lienhypertexte">
    <w:name w:val="Hyperlink"/>
    <w:basedOn w:val="Policepardfaut"/>
    <w:uiPriority w:val="99"/>
    <w:semiHidden/>
    <w:unhideWhenUsed/>
    <w:rsid w:val="00FC0D79"/>
    <w:rPr>
      <w:color w:val="0000FF"/>
      <w:u w:val="single"/>
    </w:rPr>
  </w:style>
</w:styles>
</file>

<file path=word/webSettings.xml><?xml version="1.0" encoding="utf-8"?>
<w:webSettings xmlns:r="http://schemas.openxmlformats.org/officeDocument/2006/relationships" xmlns:w="http://schemas.openxmlformats.org/wordprocessingml/2006/main">
  <w:divs>
    <w:div w:id="12820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16/j.toxrep.2024.03.015" TargetMode="External"/><Relationship Id="rId4" Type="http://schemas.openxmlformats.org/officeDocument/2006/relationships/settings" Target="settings.xml"/><Relationship Id="rId9" Type="http://schemas.openxmlformats.org/officeDocument/2006/relationships/hyperlink" Target="https://doi.org/10.1080/15563650.2024.100290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0F9EE-DEEB-48E1-B429-151E1AF8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278</Words>
  <Characters>1534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عيساني</dc:creator>
  <cp:lastModifiedBy>عيساني</cp:lastModifiedBy>
  <cp:revision>4</cp:revision>
  <dcterms:created xsi:type="dcterms:W3CDTF">2025-11-05T10:41:00Z</dcterms:created>
  <dcterms:modified xsi:type="dcterms:W3CDTF">2025-11-05T16:13:00Z</dcterms:modified>
  <cp:contentStatus/>
</cp:coreProperties>
</file>