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FlashNet 2.0 User Requirement Note — Exceptional Price Request</w:t>
      </w:r>
    </w:p>
    <w:p/>
    <w:tbl>
      <w:tblPr>
        <w:tblW w:type="auto" w:w="0"/>
        <w:tblLook w:firstColumn="1" w:firstRow="1" w:lastColumn="0" w:lastRow="0" w:noHBand="0" w:noVBand="1" w:val="04A0"/>
      </w:tblPr>
      <w:tblGrid>
        <w:gridCol w:w="4320"/>
        <w:gridCol w:w="4320"/>
      </w:tblGrid>
      <w:tr>
        <w:tc>
          <w:tcPr>
            <w:tcW w:type="dxa" w:w="2160"/>
          </w:tcPr>
          <w:p>
            <w:r>
              <w:rPr>
                <w:b/>
              </w:rPr>
              <w:t>Document Date:</w:t>
            </w:r>
          </w:p>
        </w:tc>
        <w:tc>
          <w:tcPr>
            <w:tcW w:type="dxa" w:w="6480"/>
          </w:tcPr>
          <w:p>
            <w:r>
              <w:t>04 April 2026</w:t>
            </w:r>
          </w:p>
        </w:tc>
      </w:tr>
      <w:tr>
        <w:tc>
          <w:tcPr>
            <w:tcW w:type="dxa" w:w="2160"/>
          </w:tcPr>
          <w:p>
            <w:r>
              <w:rPr>
                <w:b/>
              </w:rPr>
              <w:t>Version:</w:t>
            </w:r>
          </w:p>
        </w:tc>
        <w:tc>
          <w:tcPr>
            <w:tcW w:type="dxa" w:w="6480"/>
          </w:tcPr>
          <w:p>
            <w:r>
              <w:t>1.1 — Draft</w:t>
            </w:r>
          </w:p>
        </w:tc>
      </w:tr>
      <w:tr>
        <w:tc>
          <w:tcPr>
            <w:tcW w:type="dxa" w:w="2160"/>
          </w:tcPr>
          <w:p>
            <w:r>
              <w:rPr>
                <w:b/>
              </w:rPr>
              <w:t>Client:</w:t>
            </w:r>
          </w:p>
        </w:tc>
        <w:tc>
          <w:tcPr>
            <w:tcW w:type="dxa" w:w="6480"/>
          </w:tcPr>
          <w:p>
            <w:r>
              <w:t>Archroma India Pvt. Ltd.</w:t>
            </w:r>
          </w:p>
        </w:tc>
      </w:tr>
      <w:tr>
        <w:tc>
          <w:tcPr>
            <w:tcW w:type="dxa" w:w="2160"/>
          </w:tcPr>
          <w:p>
            <w:r>
              <w:rPr>
                <w:b/>
              </w:rPr>
              <w:t>Prepared by:</w:t>
            </w:r>
          </w:p>
        </w:tc>
        <w:tc>
          <w:tcPr>
            <w:tcW w:type="dxa" w:w="6480"/>
          </w:tcPr>
          <w:p>
            <w:r>
              <w:t>Abacus Software Services Pvt. Ltd.</w:t>
            </w:r>
          </w:p>
        </w:tc>
      </w:tr>
      <w:tr>
        <w:tc>
          <w:tcPr>
            <w:tcW w:type="dxa" w:w="2160"/>
          </w:tcPr>
          <w:p>
            <w:r>
              <w:rPr>
                <w:b/>
              </w:rPr>
              <w:t>Module:</w:t>
            </w:r>
          </w:p>
        </w:tc>
        <w:tc>
          <w:tcPr>
            <w:tcW w:type="dxa" w:w="6480"/>
          </w:tcPr>
          <w:p>
            <w:r>
              <w:t>Pricing &amp; Commercial Approvals</w:t>
            </w:r>
          </w:p>
        </w:tc>
      </w:tr>
      <w:tr>
        <w:tc>
          <w:tcPr>
            <w:tcW w:type="dxa" w:w="2160"/>
          </w:tcPr>
          <w:p>
            <w:r>
              <w:rPr>
                <w:b/>
              </w:rPr>
              <w:t>Status:</w:t>
            </w:r>
          </w:p>
        </w:tc>
        <w:tc>
          <w:tcPr>
            <w:tcW w:type="dxa" w:w="6480"/>
          </w:tcPr>
          <w:p>
            <w:r>
              <w:t>For Review &amp; Sign-off</w:t>
            </w:r>
          </w:p>
        </w:tc>
      </w:tr>
    </w:tbl>
    <w:p>
      <w:r>
        <w:br w:type="page"/>
      </w:r>
    </w:p>
    <w:p>
      <w:pPr>
        <w:pStyle w:val="Heading1"/>
      </w:pPr>
      <w:r>
        <w:t>1. Business Context &amp; Overview</w:t>
      </w:r>
    </w:p>
    <w:p>
      <w:r>
        <w:t>Archroma India's distribution network needs a mechanism to handle ad-hoc pricing requests (called Exceptional Price Requests or EPRs) from distributors. EPRs are submitted for specific products, customers, and quantities and must pass through a defined internal approval chain. FlashNet 2.0 will replace the current manual Excel-based workflow with a governed, auditable portal.</w:t>
      </w:r>
    </w:p>
    <w:p>
      <w:pPr>
        <w:pStyle w:val="Heading1"/>
      </w:pPr>
      <w:r>
        <w:t>2. SAP Pricing Structure</w:t>
      </w:r>
    </w:p>
    <w:p>
      <w:r>
        <w:t>Three price types used as reference baselines for EPR assessment:</w:t>
      </w:r>
    </w:p>
    <w:tbl>
      <w:tblPr>
        <w:tblStyle w:val="TableGrid"/>
        <w:tblW w:type="auto" w:w="0"/>
        <w:tblLook w:firstColumn="1" w:firstRow="1" w:lastColumn="0" w:lastRow="0" w:noHBand="0" w:noVBand="1" w:val="04A0"/>
      </w:tblPr>
      <w:tblGrid>
        <w:gridCol w:w="4320"/>
        <w:gridCol w:w="4320"/>
      </w:tblGrid>
      <w:tr>
        <w:tc>
          <w:tcPr>
            <w:tcW w:type="dxa" w:w="2880"/>
          </w:tcPr>
          <w:p>
            <w:r>
              <w:rPr>
                <w:b/>
              </w:rPr>
              <w:t>Price Type</w:t>
            </w:r>
          </w:p>
        </w:tc>
        <w:tc>
          <w:tcPr>
            <w:tcW w:type="dxa" w:w="6480"/>
          </w:tcPr>
          <w:p>
            <w:r>
              <w:rPr>
                <w:b/>
              </w:rPr>
              <w:t>Description</w:t>
            </w:r>
          </w:p>
        </w:tc>
      </w:tr>
      <w:tr>
        <w:tc>
          <w:tcPr>
            <w:tcW w:type="dxa" w:w="2880"/>
          </w:tcPr>
          <w:p>
            <w:r>
              <w:rPr>
                <w:b/>
              </w:rPr>
              <w:t>MSP (Minimum Sales Price)</w:t>
            </w:r>
          </w:p>
        </w:tc>
        <w:tc>
          <w:tcPr>
            <w:tcW w:type="dxa" w:w="6480"/>
          </w:tcPr>
          <w:p>
            <w:r>
              <w:t>Floor price; sale ordinarily cannot happen below it without escalated approval.</w:t>
            </w:r>
          </w:p>
        </w:tc>
      </w:tr>
      <w:tr>
        <w:tc>
          <w:tcPr>
            <w:tcW w:type="dxa" w:w="2880"/>
          </w:tcPr>
          <w:p>
            <w:r>
              <w:rPr>
                <w:b/>
              </w:rPr>
              <w:t>Ton Lot Price</w:t>
            </w:r>
          </w:p>
        </w:tc>
        <w:tc>
          <w:tcPr>
            <w:tcW w:type="dxa" w:w="6480"/>
          </w:tcPr>
          <w:p>
            <w:r>
              <w:t>Volume-based price when a minimum order quantity per Indent is met.</w:t>
            </w:r>
          </w:p>
        </w:tc>
      </w:tr>
      <w:tr>
        <w:tc>
          <w:tcPr>
            <w:tcW w:type="dxa" w:w="2880"/>
          </w:tcPr>
          <w:p>
            <w:r>
              <w:rPr>
                <w:b/>
              </w:rPr>
              <w:t>Special Price</w:t>
            </w:r>
          </w:p>
        </w:tc>
        <w:tc>
          <w:tcPr>
            <w:tcW w:type="dxa" w:w="6480"/>
          </w:tcPr>
          <w:p>
            <w:r>
              <w:t>Customer-specific price for a Sold-To/Ship-To Party combination for a defined date range. May be authorised below MSP or within a specific margin % range.</w:t>
            </w:r>
          </w:p>
        </w:tc>
      </w:tr>
    </w:tbl>
    <w:p/>
    <w:p>
      <w:r>
        <w:rPr>
          <w:b/>
        </w:rPr>
        <w:t>📌 Note: SAP pricing data (MSP, Special Prices) will be downloaded as read-only snapshots into FlashNet 2.0. No pricing data will be modified directly in SAP through this portal.</w:t>
      </w:r>
    </w:p>
    <w:p>
      <w:pPr>
        <w:pStyle w:val="Heading1"/>
      </w:pPr>
      <w:r>
        <w:t>3. EPR Submission &amp; Assessment Criteria</w:t>
      </w:r>
    </w:p>
    <w:p>
      <w:r>
        <w:t>Distributors may submit an EPR for a specific combination of Product, Customer, and Quantity. The Pricing Team and Business Development (BD) Team evaluate each EPR against four criteria:</w:t>
      </w:r>
    </w:p>
    <w:p>
      <w:pPr>
        <w:pStyle w:val="ListBullet"/>
      </w:pPr>
      <w:r>
        <w:rPr>
          <w:b/>
        </w:rPr>
        <w:t>Past Purchase Price:</w:t>
      </w:r>
      <w:r>
        <w:t xml:space="preserve"> historical price paid by the distributor for that product/customer.</w:t>
      </w:r>
    </w:p>
    <w:p>
      <w:pPr>
        <w:pStyle w:val="ListBullet"/>
      </w:pPr>
      <w:r>
        <w:rPr>
          <w:b/>
        </w:rPr>
        <w:t>Regional Pricing:</w:t>
      </w:r>
      <w:r>
        <w:t xml:space="preserve"> prevalent market price in that geography.</w:t>
      </w:r>
    </w:p>
    <w:p>
      <w:pPr>
        <w:pStyle w:val="ListBullet"/>
      </w:pPr>
      <w:r>
        <w:rPr>
          <w:b/>
        </w:rPr>
        <w:t>Product Margins:</w:t>
      </w:r>
      <w:r>
        <w:t xml:space="preserve"> margin implications for Archroma.</w:t>
      </w:r>
    </w:p>
    <w:p>
      <w:pPr>
        <w:pStyle w:val="ListBullet"/>
      </w:pPr>
      <w:r>
        <w:rPr>
          <w:b/>
        </w:rPr>
        <w:t>Quantity Indicated:</w:t>
      </w:r>
      <w:r>
        <w:t xml:space="preserve"> volume committed — larger quantities may justify lower unit pricing.</w:t>
      </w:r>
    </w:p>
    <w:p>
      <w:pPr>
        <w:pStyle w:val="Heading1"/>
      </w:pPr>
      <w:r>
        <w:t>4. Approval Matrix</w:t>
      </w:r>
    </w:p>
    <w:tbl>
      <w:tblPr>
        <w:tblStyle w:val="TableGrid"/>
        <w:tblW w:type="auto" w:w="0"/>
        <w:tblLook w:firstColumn="1" w:firstRow="1" w:lastColumn="0" w:lastRow="0" w:noHBand="0" w:noVBand="1" w:val="04A0"/>
      </w:tblPr>
      <w:tblGrid>
        <w:gridCol w:w="2160"/>
        <w:gridCol w:w="2160"/>
        <w:gridCol w:w="2160"/>
        <w:gridCol w:w="2160"/>
      </w:tblGrid>
      <w:tr>
        <w:tc>
          <w:tcPr>
            <w:tcW w:type="dxa" w:w="4320"/>
          </w:tcPr>
          <w:p>
            <w:r>
              <w:rPr>
                <w:b/>
              </w:rPr>
              <w:t>Scenario</w:t>
            </w:r>
          </w:p>
        </w:tc>
        <w:tc>
          <w:tcPr>
            <w:tcW w:type="dxa" w:w="1440"/>
          </w:tcPr>
          <w:p>
            <w:r>
              <w:rPr>
                <w:b/>
              </w:rPr>
              <w:t>Pricing Team</w:t>
            </w:r>
          </w:p>
        </w:tc>
        <w:tc>
          <w:tcPr>
            <w:tcW w:type="dxa" w:w="1440"/>
          </w:tcPr>
          <w:p>
            <w:r>
              <w:rPr>
                <w:b/>
              </w:rPr>
              <w:t>BD Team</w:t>
            </w:r>
          </w:p>
        </w:tc>
        <w:tc>
          <w:tcPr>
            <w:tcW w:type="dxa" w:w="2160"/>
          </w:tcPr>
          <w:p>
            <w:r>
              <w:rPr>
                <w:b/>
              </w:rPr>
              <w:t>Sales Director</w:t>
            </w:r>
          </w:p>
        </w:tc>
      </w:tr>
      <w:tr>
        <w:tc>
          <w:tcPr>
            <w:tcW w:type="dxa" w:w="4320"/>
          </w:tcPr>
          <w:p>
            <w:r>
              <w:t>Price above MSP (standard)</w:t>
            </w:r>
          </w:p>
        </w:tc>
        <w:tc>
          <w:tcPr>
            <w:tcW w:type="dxa" w:w="1440"/>
          </w:tcPr>
          <w:p>
            <w:pPr>
              <w:jc w:val="center"/>
            </w:pPr>
            <w:r>
              <w:t>✔</w:t>
            </w:r>
          </w:p>
        </w:tc>
        <w:tc>
          <w:tcPr>
            <w:tcW w:type="dxa" w:w="1440"/>
          </w:tcPr>
          <w:p>
            <w:pPr>
              <w:jc w:val="center"/>
            </w:pPr>
            <w:r>
              <w:t>✔</w:t>
            </w:r>
          </w:p>
        </w:tc>
        <w:tc>
          <w:tcPr>
            <w:tcW w:type="dxa" w:w="2160"/>
          </w:tcPr>
          <w:p>
            <w:pPr>
              <w:jc w:val="center"/>
            </w:pPr>
            <w:r>
              <w:t>—</w:t>
            </w:r>
          </w:p>
        </w:tc>
      </w:tr>
      <w:tr>
        <w:tc>
          <w:tcPr>
            <w:tcW w:type="dxa" w:w="4320"/>
          </w:tcPr>
          <w:p>
            <w:r>
              <w:t>Price below MSP (mandatory Sales Director sign-off)</w:t>
            </w:r>
          </w:p>
        </w:tc>
        <w:tc>
          <w:tcPr>
            <w:tcW w:type="dxa" w:w="1440"/>
          </w:tcPr>
          <w:p>
            <w:pPr>
              <w:jc w:val="center"/>
            </w:pPr>
            <w:r>
              <w:t>✔</w:t>
            </w:r>
          </w:p>
        </w:tc>
        <w:tc>
          <w:tcPr>
            <w:tcW w:type="dxa" w:w="1440"/>
          </w:tcPr>
          <w:p>
            <w:pPr>
              <w:jc w:val="center"/>
            </w:pPr>
            <w:r>
              <w:t>✔</w:t>
            </w:r>
          </w:p>
        </w:tc>
        <w:tc>
          <w:tcPr>
            <w:tcW w:type="dxa" w:w="2160"/>
          </w:tcPr>
          <w:p>
            <w:pPr>
              <w:jc w:val="center"/>
            </w:pPr>
            <w:r>
              <w:t>✔</w:t>
            </w:r>
          </w:p>
        </w:tc>
      </w:tr>
      <w:tr>
        <w:tc>
          <w:tcPr>
            <w:tcW w:type="dxa" w:w="4320"/>
          </w:tcPr>
          <w:p>
            <w:r>
              <w:t>Pricing Team discretion (unique circumstances, even if price ≥ MSP)</w:t>
            </w:r>
          </w:p>
        </w:tc>
        <w:tc>
          <w:tcPr>
            <w:tcW w:type="dxa" w:w="1440"/>
          </w:tcPr>
          <w:p>
            <w:pPr>
              <w:jc w:val="center"/>
            </w:pPr>
            <w:r>
              <w:t>✔</w:t>
            </w:r>
          </w:p>
        </w:tc>
        <w:tc>
          <w:tcPr>
            <w:tcW w:type="dxa" w:w="1440"/>
          </w:tcPr>
          <w:p>
            <w:pPr>
              <w:jc w:val="center"/>
            </w:pPr>
            <w:r>
              <w:t>✔</w:t>
            </w:r>
          </w:p>
        </w:tc>
        <w:tc>
          <w:tcPr>
            <w:tcW w:type="dxa" w:w="2160"/>
          </w:tcPr>
          <w:p>
            <w:pPr>
              <w:jc w:val="center"/>
            </w:pPr>
            <w:r>
              <w:t>✔</w:t>
            </w:r>
          </w:p>
        </w:tc>
      </w:tr>
    </w:tbl>
    <w:p/>
    <w:p>
      <w:r>
        <w:rPr>
          <w:b/>
        </w:rPr>
        <w:t>📌 Note: Sales Director approval is mandatory when the requested price falls below MSP. The Pricing Team may also escalate to the Sales Director at their discretion. The mechanism for this discretionary escalation (e.g. 'Assign Approver' flag) is to be confirmed.</w:t>
      </w:r>
    </w:p>
    <w:p>
      <w:pPr>
        <w:pStyle w:val="Heading1"/>
      </w:pPr>
      <w:r>
        <w:t>5. Workflow &amp; Automation</w:t>
      </w:r>
    </w:p>
    <w:p>
      <w:r>
        <w:t>FlashNet 2.0 will route EPRs through the approval chain with automated email notifications and portal reminders at each stage.</w:t>
      </w:r>
    </w:p>
    <w:tbl>
      <w:tblPr>
        <w:tblStyle w:val="TableGrid"/>
        <w:tblW w:type="auto" w:w="0"/>
        <w:tblLook w:firstColumn="1" w:firstRow="1" w:lastColumn="0" w:lastRow="0" w:noHBand="0" w:noVBand="1" w:val="04A0"/>
      </w:tblPr>
      <w:tblGrid>
        <w:gridCol w:w="2880"/>
        <w:gridCol w:w="2880"/>
        <w:gridCol w:w="2880"/>
      </w:tblGrid>
      <w:tr>
        <w:tc>
          <w:tcPr>
            <w:tcW w:type="dxa" w:w="864"/>
          </w:tcPr>
          <w:p>
            <w:r>
              <w:rPr>
                <w:b/>
              </w:rPr>
              <w:t>Step</w:t>
            </w:r>
          </w:p>
        </w:tc>
        <w:tc>
          <w:tcPr>
            <w:tcW w:type="dxa" w:w="2736"/>
          </w:tcPr>
          <w:p>
            <w:r>
              <w:rPr>
                <w:b/>
              </w:rPr>
              <w:t>Actor</w:t>
            </w:r>
          </w:p>
        </w:tc>
        <w:tc>
          <w:tcPr>
            <w:tcW w:type="dxa" w:w="5760"/>
          </w:tcPr>
          <w:p>
            <w:r>
              <w:rPr>
                <w:b/>
              </w:rPr>
              <w:t>Action</w:t>
            </w:r>
          </w:p>
        </w:tc>
      </w:tr>
      <w:tr>
        <w:tc>
          <w:tcPr>
            <w:tcW w:type="dxa" w:w="864"/>
          </w:tcPr>
          <w:p>
            <w:r>
              <w:t>1</w:t>
            </w:r>
          </w:p>
        </w:tc>
        <w:tc>
          <w:tcPr>
            <w:tcW w:type="dxa" w:w="2736"/>
          </w:tcPr>
          <w:p>
            <w:r>
              <w:t>Distributor</w:t>
            </w:r>
          </w:p>
        </w:tc>
        <w:tc>
          <w:tcPr>
            <w:tcW w:type="dxa" w:w="5760"/>
          </w:tcPr>
          <w:p>
            <w:r>
              <w:t>Submits EPR via FlashNet portal specifying Product, Customer (Sold-To/Ship-To), Quantity and Requested Price.</w:t>
            </w:r>
          </w:p>
        </w:tc>
      </w:tr>
      <w:tr>
        <w:tc>
          <w:tcPr>
            <w:tcW w:type="dxa" w:w="864"/>
          </w:tcPr>
          <w:p>
            <w:r>
              <w:t>2</w:t>
            </w:r>
          </w:p>
        </w:tc>
        <w:tc>
          <w:tcPr>
            <w:tcW w:type="dxa" w:w="2736"/>
          </w:tcPr>
          <w:p>
            <w:r>
              <w:t>Sales Executive</w:t>
            </w:r>
          </w:p>
        </w:tc>
        <w:tc>
          <w:tcPr>
            <w:tcW w:type="dxa" w:w="5760"/>
          </w:tcPr>
          <w:p>
            <w:r>
              <w:t>Reviews for completeness and context; forwards to Pricing Team and BD Team with supporting notes.</w:t>
            </w:r>
          </w:p>
        </w:tc>
      </w:tr>
      <w:tr>
        <w:tc>
          <w:tcPr>
            <w:tcW w:type="dxa" w:w="864"/>
          </w:tcPr>
          <w:p>
            <w:r>
              <w:t>3</w:t>
            </w:r>
          </w:p>
        </w:tc>
        <w:tc>
          <w:tcPr>
            <w:tcW w:type="dxa" w:w="2736"/>
          </w:tcPr>
          <w:p>
            <w:r>
              <w:t>Pricing Team &amp; BD Team</w:t>
            </w:r>
          </w:p>
        </w:tc>
        <w:tc>
          <w:tcPr>
            <w:tcW w:type="dxa" w:w="5760"/>
          </w:tcPr>
          <w:p>
            <w:r>
              <w:t>Assesses against MSP, past price, regional pricing, margins, and quantity. Approves, rejects, or escalates.</w:t>
            </w:r>
          </w:p>
        </w:tc>
      </w:tr>
      <w:tr>
        <w:tc>
          <w:tcPr>
            <w:tcW w:type="dxa" w:w="864"/>
          </w:tcPr>
          <w:p>
            <w:r>
              <w:t>4</w:t>
            </w:r>
          </w:p>
        </w:tc>
        <w:tc>
          <w:tcPr>
            <w:tcW w:type="dxa" w:w="2736"/>
          </w:tcPr>
          <w:p>
            <w:r>
              <w:t>Sales Director</w:t>
            </w:r>
          </w:p>
        </w:tc>
        <w:tc>
          <w:tcPr>
            <w:tcW w:type="dxa" w:w="5760"/>
          </w:tcPr>
          <w:p>
            <w:r>
              <w:t>Mandatory approval when price is below MSP; also invoked at Pricing Team discretion. Decision is final.</w:t>
            </w:r>
          </w:p>
        </w:tc>
      </w:tr>
    </w:tbl>
    <w:p/>
    <w:p>
      <w:r>
        <w:t>System notifications will be delivered via:</w:t>
      </w:r>
    </w:p>
    <w:p>
      <w:pPr>
        <w:pStyle w:val="ListBullet"/>
      </w:pPr>
      <w:r>
        <w:t>Automated email alerts at each workflow transition</w:t>
      </w:r>
    </w:p>
    <w:p>
      <w:pPr>
        <w:pStyle w:val="ListBullet"/>
      </w:pPr>
      <w:r>
        <w:t>On-screen notifications and dashboard flags for pending actions</w:t>
      </w:r>
    </w:p>
    <w:p>
      <w:pPr>
        <w:pStyle w:val="ListBullet"/>
      </w:pPr>
      <w:r>
        <w:t>Escalation reminders if SLA is breached (rules to be confirmed)</w:t>
      </w:r>
    </w:p>
    <w:p>
      <w:pPr>
        <w:pStyle w:val="Heading1"/>
      </w:pPr>
      <w:r>
        <w:t>6. Master Data &amp; Hierarchy Configuration</w:t>
      </w:r>
    </w:p>
    <w:p>
      <w:r>
        <w:t>Correct EPR routing depends on three mappings configured by Authorised Administrators in FlashNet Masters:</w:t>
      </w:r>
    </w:p>
    <w:p>
      <w:pPr>
        <w:pStyle w:val="ListBullet"/>
      </w:pPr>
      <w:r>
        <w:t>Distributor → Sales Executive (first-level routing)</w:t>
      </w:r>
    </w:p>
    <w:p>
      <w:pPr>
        <w:pStyle w:val="ListBullet"/>
      </w:pPr>
      <w:r>
        <w:t>Product → BD Team (assessment routing)</w:t>
      </w:r>
    </w:p>
    <w:p>
      <w:pPr>
        <w:pStyle w:val="ListBullet"/>
      </w:pPr>
      <w:r>
        <w:t>Pricing Team Configuration (members and scope of responsibility)</w:t>
      </w:r>
    </w:p>
    <w:p>
      <w:r>
        <w:t>All master data will be manageable via the FlashNet 2.0 admin console with role-based access controls.</w:t>
      </w:r>
    </w:p>
    <w:p>
      <w:pPr>
        <w:pStyle w:val="Heading1"/>
      </w:pPr>
      <w:r>
        <w:t>7. MIS Dashboards &amp; Data Access</w:t>
      </w:r>
    </w:p>
    <w:p>
      <w:r>
        <w:t>MIS dashboards will give visibility into EPR volumes, approval turnaround times, pricing decisions, and distributor activity. Key access rules:</w:t>
      </w:r>
    </w:p>
    <w:p>
      <w:pPr>
        <w:pStyle w:val="ListBullet"/>
      </w:pPr>
      <w:r>
        <w:rPr>
          <w:b/>
        </w:rPr>
        <w:t>Pricing Team:</w:t>
      </w:r>
      <w:r>
        <w:t xml:space="preserve"> Full access to all EPR data across all distributors and products.</w:t>
      </w:r>
    </w:p>
    <w:p>
      <w:pPr>
        <w:pStyle w:val="ListBullet"/>
      </w:pPr>
      <w:r>
        <w:rPr>
          <w:b/>
        </w:rPr>
        <w:t>Entity-level Prioritisation:</w:t>
      </w:r>
      <w:r>
        <w:t xml:space="preserve"> Each user's own INX entity data surfaces at the top by default.</w:t>
      </w:r>
    </w:p>
    <w:p>
      <w:pPr>
        <w:pStyle w:val="ListBullet"/>
      </w:pPr>
      <w:r>
        <w:rPr>
          <w:b/>
        </w:rPr>
        <w:t>Role-based Views:</w:t>
      </w:r>
      <w:r>
        <w:t xml:space="preserve"> Distributors see only their own EPRs; Sales Executives see their assigned distributors; management has full cross-entity visibility.</w:t>
      </w:r>
    </w:p>
    <w:p>
      <w:pPr>
        <w:pStyle w:val="ListBullet"/>
      </w:pPr>
      <w:r>
        <w:rPr>
          <w:b/>
        </w:rPr>
        <w:t>Distributors</w:t>
      </w:r>
      <w:r>
        <w:t xml:space="preserve"> can only see whether their EPR (with rate) is approved or declined with remarks.</w:t>
      </w:r>
    </w:p>
    <w:p>
      <w:pPr>
        <w:pStyle w:val="Heading1"/>
      </w:pPr>
      <w:r>
        <w:t>8. Open Items &amp; Pending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r>
              <w:rPr>
                <w:b/>
              </w:rPr>
              <w:t>#</w:t>
            </w:r>
          </w:p>
        </w:tc>
        <w:tc>
          <w:tcPr>
            <w:tcW w:type="dxa" w:w="5184"/>
          </w:tcPr>
          <w:p>
            <w:r>
              <w:rPr>
                <w:b/>
              </w:rPr>
              <w:t>Open Item</w:t>
            </w:r>
          </w:p>
        </w:tc>
        <w:tc>
          <w:tcPr>
            <w:tcW w:type="dxa" w:w="2160"/>
          </w:tcPr>
          <w:p>
            <w:r>
              <w:rPr>
                <w:b/>
              </w:rPr>
              <w:t>Owner</w:t>
            </w:r>
          </w:p>
        </w:tc>
        <w:tc>
          <w:tcPr>
            <w:tcW w:type="dxa" w:w="1440"/>
          </w:tcPr>
          <w:p>
            <w:r>
              <w:rPr>
                <w:b/>
              </w:rPr>
              <w:t>Target Date</w:t>
            </w:r>
          </w:p>
        </w:tc>
      </w:tr>
      <w:tr>
        <w:tc>
          <w:tcPr>
            <w:tcW w:type="dxa" w:w="576"/>
          </w:tcPr>
          <w:p>
            <w:r>
              <w:t>1</w:t>
            </w:r>
          </w:p>
        </w:tc>
        <w:tc>
          <w:tcPr>
            <w:tcW w:type="dxa" w:w="5184"/>
          </w:tcPr>
          <w:p>
            <w:r>
              <w:t>Define the discretionary escalation mechanism (e.g. 'Assign Approver' flag)</w:t>
            </w:r>
          </w:p>
        </w:tc>
        <w:tc>
          <w:tcPr>
            <w:tcW w:type="dxa" w:w="2160"/>
          </w:tcPr>
          <w:p>
            <w:r>
              <w:t>Archroma Pricing</w:t>
            </w:r>
          </w:p>
        </w:tc>
        <w:tc>
          <w:tcPr>
            <w:tcW w:type="dxa" w:w="1440"/>
          </w:tcPr>
          <w:p>
            <w:r>
              <w:t>TBD</w:t>
            </w:r>
          </w:p>
        </w:tc>
      </w:tr>
      <w:tr>
        <w:tc>
          <w:tcPr>
            <w:tcW w:type="dxa" w:w="576"/>
          </w:tcPr>
          <w:p>
            <w:r>
              <w:t>2</w:t>
            </w:r>
          </w:p>
        </w:tc>
        <w:tc>
          <w:tcPr>
            <w:tcW w:type="dxa" w:w="5184"/>
          </w:tcPr>
          <w:p>
            <w:r>
              <w:t>Confirm the Special Price margin % threshold for escalation</w:t>
            </w:r>
          </w:p>
        </w:tc>
        <w:tc>
          <w:tcPr>
            <w:tcW w:type="dxa" w:w="2160"/>
          </w:tcPr>
          <w:p>
            <w:r>
              <w:t>Archroma Commercial</w:t>
            </w:r>
          </w:p>
        </w:tc>
        <w:tc>
          <w:tcPr>
            <w:tcW w:type="dxa" w:w="1440"/>
          </w:tcPr>
          <w:p>
            <w:r>
              <w:t>TBD</w:t>
            </w:r>
          </w:p>
        </w:tc>
      </w:tr>
      <w:tr>
        <w:tc>
          <w:tcPr>
            <w:tcW w:type="dxa" w:w="576"/>
          </w:tcPr>
          <w:p>
            <w:r>
              <w:t>3</w:t>
            </w:r>
          </w:p>
        </w:tc>
        <w:tc>
          <w:tcPr>
            <w:tcW w:type="dxa" w:w="5184"/>
          </w:tcPr>
          <w:p>
            <w:r>
              <w:t>Define workflow SLA windows and escalation rules for breaches</w:t>
            </w:r>
          </w:p>
        </w:tc>
        <w:tc>
          <w:tcPr>
            <w:tcW w:type="dxa" w:w="2160"/>
          </w:tcPr>
          <w:p>
            <w:r>
              <w:t>Archroma CSD / Pricing</w:t>
            </w:r>
          </w:p>
        </w:tc>
        <w:tc>
          <w:tcPr>
            <w:tcW w:type="dxa" w:w="1440"/>
          </w:tcPr>
          <w:p>
            <w:r>
              <w:t>TBD</w:t>
            </w:r>
          </w:p>
        </w:tc>
      </w:tr>
      <w:tr>
        <w:tc>
          <w:tcPr>
            <w:tcW w:type="dxa" w:w="576"/>
          </w:tcPr>
          <w:p>
            <w:r>
              <w:t>4</w:t>
            </w:r>
          </w:p>
        </w:tc>
        <w:tc>
          <w:tcPr>
            <w:tcW w:type="dxa" w:w="5184"/>
          </w:tcPr>
          <w:p>
            <w:r>
              <w:t>Confirm fallback BD workflow when primary BD Team member is unavailable</w:t>
            </w:r>
          </w:p>
        </w:tc>
        <w:tc>
          <w:tcPr>
            <w:tcW w:type="dxa" w:w="2160"/>
          </w:tcPr>
          <w:p>
            <w:r>
              <w:t>Archroma BD / Abacus</w:t>
            </w:r>
          </w:p>
        </w:tc>
        <w:tc>
          <w:tcPr>
            <w:tcW w:type="dxa" w:w="1440"/>
          </w:tcPr>
          <w:p>
            <w:r>
              <w:t>TBD</w:t>
            </w:r>
          </w:p>
        </w:tc>
      </w:tr>
      <w:tr>
        <w:tc>
          <w:tcPr>
            <w:tcW w:type="dxa" w:w="576"/>
          </w:tcPr>
          <w:p>
            <w:r>
              <w:t>5</w:t>
            </w:r>
          </w:p>
        </w:tc>
        <w:tc>
          <w:tcPr>
            <w:tcW w:type="dxa" w:w="5184"/>
          </w:tcPr>
          <w:p>
            <w:r>
              <w:t>Provide complete Distributor → Sales Executive mapping for master data</w:t>
            </w:r>
          </w:p>
        </w:tc>
        <w:tc>
          <w:tcPr>
            <w:tcW w:type="dxa" w:w="2160"/>
          </w:tcPr>
          <w:p>
            <w:r>
              <w:t>Archroma</w:t>
            </w:r>
          </w:p>
        </w:tc>
        <w:tc>
          <w:tcPr>
            <w:tcW w:type="dxa" w:w="1440"/>
          </w:tcPr>
          <w:p>
            <w:r>
              <w:t>TBD</w:t>
            </w:r>
          </w:p>
        </w:tc>
      </w:tr>
    </w:tbl>
    <w:p>
      <w:pPr>
        <w:pStyle w:val="Heading1"/>
      </w:pPr>
      <w:r>
        <w:t>9. Document Sign-off</w:t>
      </w:r>
    </w:p>
    <w:p>
      <w:r>
        <w:t>This document requires sign-off before development proceeds.</w:t>
      </w:r>
    </w:p>
    <w:p/>
    <w:tbl>
      <w:tblPr>
        <w:tblW w:type="auto" w:w="0"/>
        <w:tblLook w:firstColumn="1" w:firstRow="1" w:lastColumn="0" w:lastRow="0" w:noHBand="0" w:noVBand="1" w:val="04A0"/>
      </w:tblPr>
      <w:tblGrid>
        <w:gridCol w:w="4320"/>
        <w:gridCol w:w="4320"/>
      </w:tblGrid>
      <w:tr>
        <w:tc>
          <w:tcPr>
            <w:tcW w:type="dxa" w:w="4320"/>
          </w:tcPr>
          <w:p>
            <w:r>
              <w:rPr>
                <w:b/>
              </w:rPr>
              <w:t>Archroma India Pvt. Ltd.</w:t>
              <w:br/>
              <w:br/>
              <w:t>Name: _______________________</w:t>
              <w:br/>
              <w:t>Title: ________________________</w:t>
              <w:br/>
              <w:t>Date: ________________________</w:t>
            </w:r>
          </w:p>
        </w:tc>
        <w:tc>
          <w:tcPr>
            <w:tcW w:type="dxa" w:w="4320"/>
          </w:tcPr>
          <w:p>
            <w:r>
              <w:rPr>
                <w:b/>
              </w:rPr>
              <w:t>Abacus Software Services Pvt. Ltd.</w:t>
              <w:br/>
              <w:br/>
              <w:t>Name: _______________________</w:t>
              <w:br/>
              <w:t>Title: ________________________</w:t>
              <w:br/>
              <w:t>Date: ________________________</w:t>
            </w:r>
          </w:p>
        </w:tc>
      </w:tr>
    </w:tbl>
    <w:p/>
    <w:p/>
    <w:p>
      <w:pPr>
        <w:jc w:val="center"/>
      </w:pPr>
      <w:r>
        <w:t>— End of Document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Abacus Software Services Pvt. Ltd. | Page </w:t>
      <w:fldChar w:fldCharType="begin"/>
      <w:instrText xml:space="preserve">PAGE</w:instrText>
      <w:fldChar w:fldCharType="separate"/>
      <w:fldChar w:fldCharType="end"/>
    </w:r>
    <w:r>
      <w:t xml:space="preserve"> of </w:t>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