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4E79"/>
          <w:sz w:val="44"/>
          <w:szCs w:val="44"/>
        </w:rPr>
        <w:t xml:space="preserve">AISWARYA BALASUBRAMANIAN</w:t>
      </w:r>
    </w:p>
    <w:p>
      <w:pPr>
        <w:spacing w:after="80" w:before="0"/>
        <w:jc w:val="center"/>
      </w:pPr>
      <w:r>
        <w:rPr>
          <w:rFonts w:ascii="Calibri" w:cs="Calibri" w:eastAsia="Calibri" w:hAnsi="Calibri"/>
          <w:color w:val="555555"/>
          <w:sz w:val="22"/>
          <w:szCs w:val="22"/>
        </w:rPr>
        <w:t xml:space="preserve">Azure Cloud Architect  |  Azure Integration Architect  |  API Architect  |  DevOps Architect</w:t>
      </w:r>
    </w:p>
    <w:p>
      <w:pPr>
        <w:spacing w:after="0" w:before="0"/>
        <w:jc w:val="center"/>
      </w:pPr>
      <w:r>
        <w:rPr>
          <w:rFonts w:ascii="Calibri" w:cs="Calibri" w:eastAsia="Calibri" w:hAnsi="Calibri"/>
          <w:color w:val="444444"/>
          <w:sz w:val="19"/>
          <w:szCs w:val="19"/>
        </w:rPr>
        <w:t xml:space="preserve">aiswaryabalu100490@gmail.com   |   +33 745 471 036   |   Paris, France</w:t>
      </w:r>
    </w:p>
    <w:p>
      <w:pPr>
        <w:spacing w:after="0" w:before="0"/>
        <w:jc w:val="center"/>
      </w:pPr>
      <w:r>
        <w:rPr>
          <w:rFonts w:ascii="Calibri" w:cs="Calibri" w:eastAsia="Calibri" w:hAnsi="Calibri"/>
          <w:color w:val="444444"/>
          <w:sz w:val="19"/>
          <w:szCs w:val="19"/>
        </w:rPr>
        <w:t xml:space="preserve">LinkedIn: linkedin.com/in/aiswarya-balasubramanian-66abb363</w:t>
      </w:r>
    </w:p>
    <w:p>
      <w:pPr>
        <w:pBdr>
          <w:bottom w:val="single" w:color="2E75B6" w:sz="6" w:space="4"/>
        </w:pBdr>
        <w:spacing w:after="60" w:before="260"/>
      </w:pPr>
      <w:r>
        <w:rPr>
          <w:rFonts w:ascii="Calibri" w:cs="Calibri" w:eastAsia="Calibri" w:hAnsi="Calibri"/>
          <w:b/>
          <w:bCs/>
          <w:color w:val="1F4E79"/>
          <w:sz w:val="22"/>
          <w:szCs w:val="22"/>
        </w:rPr>
        <w:t xml:space="preserve">PROFESSIONAL SUMMARY</w:t>
      </w:r>
    </w:p>
    <w:p>
      <w:pPr>
        <w:spacing w:after="60" w:before="60"/>
      </w:pPr>
      <w:r>
        <w:rPr>
          <w:rFonts w:ascii="Calibri" w:cs="Calibri" w:eastAsia="Calibri" w:hAnsi="Calibri"/>
          <w:b w:val="false"/>
          <w:bCs w:val="false"/>
          <w:color w:val="1A1A1A"/>
          <w:sz w:val="20"/>
          <w:szCs w:val="20"/>
        </w:rPr>
        <w:t xml:space="preserve">Azure Solution Architect and DevOps Architect with 14+ years of experience designing and delivering enterprise-scale cloud-native solutions on Microsoft Azure. Deep expertise in Azure Integration Services, Azure API Management (APIM), microservices architecture, event-driven systems, CI/CD automation, and DevSecOps practices. Proven track record of leading end-to-end integration architecture for large SAP S/4HANA transformation programmes, defining API-first governance strategies, and implementing scalable Infrastructure-as-Code (IaC) pipelines. Strong collaboration skills with cross-functional and international stakeholders. Holds multiple Microsoft Azure certifications including DevOps Engineer Expert and Azure Developer Associate.</w:t>
      </w:r>
    </w:p>
    <w:p>
      <w:pPr>
        <w:pBdr>
          <w:bottom w:val="single" w:color="2E75B6" w:sz="6" w:space="4"/>
        </w:pBdr>
        <w:spacing w:after="60" w:before="260"/>
      </w:pPr>
      <w:r>
        <w:rPr>
          <w:rFonts w:ascii="Calibri" w:cs="Calibri" w:eastAsia="Calibri" w:hAnsi="Calibri"/>
          <w:b/>
          <w:bCs/>
          <w:color w:val="1F4E79"/>
          <w:sz w:val="22"/>
          <w:szCs w:val="22"/>
        </w:rPr>
        <w:t xml:space="preserve">TECHNICAL SKILLS</w:t>
      </w:r>
    </w:p>
    <w:p>
      <w:pPr>
        <w:spacing w:after="40" w:before="40"/>
      </w:pPr>
      <w:r>
        <w:rPr>
          <w:rFonts w:ascii="Calibri" w:cs="Calibri" w:eastAsia="Calibri" w:hAnsi="Calibri"/>
          <w:b/>
          <w:bCs/>
          <w:color w:val="1A1A1A"/>
          <w:sz w:val="20"/>
          <w:szCs w:val="20"/>
        </w:rPr>
        <w:t xml:space="preserve">Cloud Platforms: </w:t>
      </w:r>
      <w:r>
        <w:rPr>
          <w:rFonts w:ascii="Calibri" w:cs="Calibri" w:eastAsia="Calibri" w:hAnsi="Calibri"/>
          <w:color w:val="1A1A1A"/>
          <w:sz w:val="20"/>
          <w:szCs w:val="20"/>
        </w:rPr>
        <w:t xml:space="preserve">Microsoft Azure (primary), Amazon Web Services (AWS), Google Cloud Platform (GCP), Informatica Intelligent Cloud Services (IICS)</w:t>
      </w:r>
    </w:p>
    <w:p>
      <w:pPr>
        <w:spacing w:after="40" w:before="40"/>
      </w:pPr>
      <w:r>
        <w:rPr>
          <w:rFonts w:ascii="Calibri" w:cs="Calibri" w:eastAsia="Calibri" w:hAnsi="Calibri"/>
          <w:b/>
          <w:bCs/>
          <w:color w:val="1A1A1A"/>
          <w:sz w:val="20"/>
          <w:szCs w:val="20"/>
        </w:rPr>
        <w:t xml:space="preserve">Azure Services: </w:t>
      </w:r>
      <w:r>
        <w:rPr>
          <w:rFonts w:ascii="Calibri" w:cs="Calibri" w:eastAsia="Calibri" w:hAnsi="Calibri"/>
          <w:color w:val="1A1A1A"/>
          <w:sz w:val="20"/>
          <w:szCs w:val="20"/>
        </w:rPr>
        <w:t xml:space="preserve">Azure API Management (APIM), Azure Kubernetes Service (AKS), Azure Functions, Azure Logic Apps, Azure Service Bus, Azure Event Hub, Azure Event Grid, Azure Data Factory (ADF), Azure Synapse Analytics, Azure Data Lake Storage Gen2 (ADLS Gen2), Azure IoT Hub, Azure Digital Twins, Azure Container Apps, Azure App Services, Azure Cosmos DB, Azure SQL, Azure Key Vault, Azure Active Directory (Azure AD), Azure Firewall, Azure Application Gateway, Azure Front Door, Azure Monitor, Azure Application Insights, Log Analytics, Azure OpenAI</w:t>
      </w:r>
    </w:p>
    <w:p>
      <w:pPr>
        <w:spacing w:after="40" w:before="40"/>
      </w:pPr>
      <w:r>
        <w:rPr>
          <w:rFonts w:ascii="Calibri" w:cs="Calibri" w:eastAsia="Calibri" w:hAnsi="Calibri"/>
          <w:b/>
          <w:bCs/>
          <w:color w:val="1A1A1A"/>
          <w:sz w:val="20"/>
          <w:szCs w:val="20"/>
        </w:rPr>
        <w:t xml:space="preserve">Integration Platforms: </w:t>
      </w:r>
      <w:r>
        <w:rPr>
          <w:rFonts w:ascii="Calibri" w:cs="Calibri" w:eastAsia="Calibri" w:hAnsi="Calibri"/>
          <w:color w:val="1A1A1A"/>
          <w:sz w:val="20"/>
          <w:szCs w:val="20"/>
        </w:rPr>
        <w:t xml:space="preserve">Azure Integration Services, MuleSoft, Informatica IICS, Talend, SAP BTP Integration Suite, Axway, Kong, SAP S/4HANA</w:t>
      </w:r>
    </w:p>
    <w:p>
      <w:pPr>
        <w:spacing w:after="40" w:before="40"/>
      </w:pPr>
      <w:r>
        <w:rPr>
          <w:rFonts w:ascii="Calibri" w:cs="Calibri" w:eastAsia="Calibri" w:hAnsi="Calibri"/>
          <w:b/>
          <w:bCs/>
          <w:color w:val="1A1A1A"/>
          <w:sz w:val="20"/>
          <w:szCs w:val="20"/>
        </w:rPr>
        <w:t xml:space="preserve">API Management: </w:t>
      </w:r>
      <w:r>
        <w:rPr>
          <w:rFonts w:ascii="Calibri" w:cs="Calibri" w:eastAsia="Calibri" w:hAnsi="Calibri"/>
          <w:color w:val="1A1A1A"/>
          <w:sz w:val="20"/>
          <w:szCs w:val="20"/>
        </w:rPr>
        <w:t xml:space="preserve">Azure APIM, Apigee, MuleSoft, Axway, Kong — API-first design, API governance, API lifecycle management, API versioning, API security</w:t>
      </w:r>
    </w:p>
    <w:p>
      <w:pPr>
        <w:spacing w:after="40" w:before="40"/>
      </w:pPr>
      <w:r>
        <w:rPr>
          <w:rFonts w:ascii="Calibri" w:cs="Calibri" w:eastAsia="Calibri" w:hAnsi="Calibri"/>
          <w:b/>
          <w:bCs/>
          <w:color w:val="1A1A1A"/>
          <w:sz w:val="20"/>
          <w:szCs w:val="20"/>
        </w:rPr>
        <w:t xml:space="preserve">Architecture Patterns: </w:t>
      </w:r>
      <w:r>
        <w:rPr>
          <w:rFonts w:ascii="Calibri" w:cs="Calibri" w:eastAsia="Calibri" w:hAnsi="Calibri"/>
          <w:color w:val="1A1A1A"/>
          <w:sz w:val="20"/>
          <w:szCs w:val="20"/>
        </w:rPr>
        <w:t xml:space="preserve">Microservices Architecture, Event-Driven Architecture (EDA), API-Led Connectivity, Domain-Driven Design (DDD), Saga Orchestration, Event Sourcing, Backend for Frontend (BFF), Event Mesh, IoT Architecture, Hybrid Cloud Integration</w:t>
      </w:r>
    </w:p>
    <w:p>
      <w:pPr>
        <w:spacing w:after="40" w:before="40"/>
      </w:pPr>
      <w:r>
        <w:rPr>
          <w:rFonts w:ascii="Calibri" w:cs="Calibri" w:eastAsia="Calibri" w:hAnsi="Calibri"/>
          <w:b/>
          <w:bCs/>
          <w:color w:val="1A1A1A"/>
          <w:sz w:val="20"/>
          <w:szCs w:val="20"/>
        </w:rPr>
        <w:t xml:space="preserve">DevOps and CI/CD: </w:t>
      </w:r>
      <w:r>
        <w:rPr>
          <w:rFonts w:ascii="Calibri" w:cs="Calibri" w:eastAsia="Calibri" w:hAnsi="Calibri"/>
          <w:color w:val="1A1A1A"/>
          <w:sz w:val="20"/>
          <w:szCs w:val="20"/>
        </w:rPr>
        <w:t xml:space="preserve">Azure DevOps, GitHub Actions, Jenkins, GitLab CI, Terraform, Ansible, Bicep, ARM Templates, APIOps, Infrastructure-as-Code (IaC), Docker, Azure Container Registry</w:t>
      </w:r>
    </w:p>
    <w:p>
      <w:pPr>
        <w:spacing w:after="40" w:before="40"/>
      </w:pPr>
      <w:r>
        <w:rPr>
          <w:rFonts w:ascii="Calibri" w:cs="Calibri" w:eastAsia="Calibri" w:hAnsi="Calibri"/>
          <w:b/>
          <w:bCs/>
          <w:color w:val="1A1A1A"/>
          <w:sz w:val="20"/>
          <w:szCs w:val="20"/>
        </w:rPr>
        <w:t xml:space="preserve">Security and DevSecOps: </w:t>
      </w:r>
      <w:r>
        <w:rPr>
          <w:rFonts w:ascii="Calibri" w:cs="Calibri" w:eastAsia="Calibri" w:hAnsi="Calibri"/>
          <w:color w:val="1A1A1A"/>
          <w:sz w:val="20"/>
          <w:szCs w:val="20"/>
        </w:rPr>
        <w:t xml:space="preserve">DevSecOps, Azure Active Directory, Azure Key Vault, Web Application Firewall (WAF), VNET, Network Security Groups, Reverse Proxy, Shift-Left Security, Role-Based Access Control (RBAC)</w:t>
      </w:r>
    </w:p>
    <w:p>
      <w:pPr>
        <w:spacing w:after="40" w:before="40"/>
      </w:pPr>
      <w:r>
        <w:rPr>
          <w:rFonts w:ascii="Calibri" w:cs="Calibri" w:eastAsia="Calibri" w:hAnsi="Calibri"/>
          <w:b/>
          <w:bCs/>
          <w:color w:val="1A1A1A"/>
          <w:sz w:val="20"/>
          <w:szCs w:val="20"/>
        </w:rPr>
        <w:t xml:space="preserve">Data and Analytics: </w:t>
      </w:r>
      <w:r>
        <w:rPr>
          <w:rFonts w:ascii="Calibri" w:cs="Calibri" w:eastAsia="Calibri" w:hAnsi="Calibri"/>
          <w:color w:val="1A1A1A"/>
          <w:sz w:val="20"/>
          <w:szCs w:val="20"/>
        </w:rPr>
        <w:t xml:space="preserve">Azure Synapse Analytics, Azure Data Factory, ADLS Gen2, Azure Cosmos DB, Azure SQL, MongoDB, ETL Pipelines, Data Governance, Data Quality, Power BI, Azure OpenAI</w:t>
      </w:r>
    </w:p>
    <w:p>
      <w:pPr>
        <w:spacing w:after="40" w:before="40"/>
      </w:pPr>
      <w:r>
        <w:rPr>
          <w:rFonts w:ascii="Calibri" w:cs="Calibri" w:eastAsia="Calibri" w:hAnsi="Calibri"/>
          <w:b/>
          <w:bCs/>
          <w:color w:val="1A1A1A"/>
          <w:sz w:val="20"/>
          <w:szCs w:val="20"/>
        </w:rPr>
        <w:t xml:space="preserve">Monitoring and Observability: </w:t>
      </w:r>
      <w:r>
        <w:rPr>
          <w:rFonts w:ascii="Calibri" w:cs="Calibri" w:eastAsia="Calibri" w:hAnsi="Calibri"/>
          <w:color w:val="1A1A1A"/>
          <w:sz w:val="20"/>
          <w:szCs w:val="20"/>
        </w:rPr>
        <w:t xml:space="preserve">Azure Monitor, Datadog, Grafana, ELK Stack (Elasticsearch, Logstash, Kibana), Application Insights, Log Analytics, Distributed Tracing</w:t>
      </w:r>
    </w:p>
    <w:p>
      <w:pPr>
        <w:spacing w:after="40" w:before="40"/>
      </w:pPr>
      <w:r>
        <w:rPr>
          <w:rFonts w:ascii="Calibri" w:cs="Calibri" w:eastAsia="Calibri" w:hAnsi="Calibri"/>
          <w:b/>
          <w:bCs/>
          <w:color w:val="1A1A1A"/>
          <w:sz w:val="20"/>
          <w:szCs w:val="20"/>
        </w:rPr>
        <w:t xml:space="preserve">Programming and Scripting: </w:t>
      </w:r>
      <w:r>
        <w:rPr>
          <w:rFonts w:ascii="Calibri" w:cs="Calibri" w:eastAsia="Calibri" w:hAnsi="Calibri"/>
          <w:color w:val="1A1A1A"/>
          <w:sz w:val="20"/>
          <w:szCs w:val="20"/>
        </w:rPr>
        <w:t xml:space="preserve">Python, PowerShell, .NET, YAML, JSON, REST, GraphQL, OpenAPI / Swagger</w:t>
      </w:r>
    </w:p>
    <w:p>
      <w:pPr>
        <w:spacing w:after="40" w:before="40"/>
      </w:pPr>
      <w:r>
        <w:rPr>
          <w:rFonts w:ascii="Calibri" w:cs="Calibri" w:eastAsia="Calibri" w:hAnsi="Calibri"/>
          <w:b/>
          <w:bCs/>
          <w:color w:val="1A1A1A"/>
          <w:sz w:val="20"/>
          <w:szCs w:val="20"/>
        </w:rPr>
        <w:t xml:space="preserve">Project Tools: </w:t>
      </w:r>
      <w:r>
        <w:rPr>
          <w:rFonts w:ascii="Calibri" w:cs="Calibri" w:eastAsia="Calibri" w:hAnsi="Calibri"/>
          <w:color w:val="1A1A1A"/>
          <w:sz w:val="20"/>
          <w:szCs w:val="20"/>
        </w:rPr>
        <w:t xml:space="preserve">JIRA, Azure Boards, Confluence, Miro, Visio, Draw.io, SharePoint</w:t>
      </w:r>
    </w:p>
    <w:p>
      <w:pPr>
        <w:pBdr>
          <w:bottom w:val="single" w:color="2E75B6" w:sz="6" w:space="4"/>
        </w:pBdr>
        <w:spacing w:after="60" w:before="260"/>
      </w:pPr>
      <w:r>
        <w:rPr>
          <w:rFonts w:ascii="Calibri" w:cs="Calibri" w:eastAsia="Calibri" w:hAnsi="Calibri"/>
          <w:b/>
          <w:bCs/>
          <w:color w:val="1F4E79"/>
          <w:sz w:val="22"/>
          <w:szCs w:val="22"/>
        </w:rPr>
        <w:t xml:space="preserve">PROFESSIONAL EXPERIENCE</w:t>
      </w:r>
    </w:p>
    <w:p>
      <w:pPr>
        <w:spacing w:after="20" w:before="200"/>
      </w:pPr>
      <w:r>
        <w:rPr>
          <w:rFonts w:ascii="Calibri" w:cs="Calibri" w:eastAsia="Calibri" w:hAnsi="Calibri"/>
          <w:b/>
          <w:bCs/>
          <w:color w:val="1F4E79"/>
          <w:sz w:val="22"/>
          <w:szCs w:val="22"/>
        </w:rPr>
        <w:t xml:space="preserve">Azure Solution Architect</w:t>
      </w:r>
    </w:p>
    <w:p>
      <w:pPr>
        <w:spacing w:after="60" w:before="0"/>
      </w:pPr>
      <w:r>
        <w:rPr>
          <w:rFonts w:ascii="Calibri" w:cs="Calibri" w:eastAsia="Calibri" w:hAnsi="Calibri"/>
          <w:b/>
          <w:bCs/>
          <w:color w:val="1A1A1A"/>
          <w:sz w:val="20"/>
          <w:szCs w:val="20"/>
        </w:rPr>
        <w:t xml:space="preserve">Tata Consultancy Services — Sodexo Inc.</w:t>
      </w:r>
      <w:r>
        <w:rPr>
          <w:rFonts w:ascii="Calibri" w:cs="Calibri" w:eastAsia="Calibri" w:hAnsi="Calibri"/>
          <w:color w:val="666666"/>
          <w:sz w:val="20"/>
          <w:szCs w:val="20"/>
        </w:rPr>
        <w:t xml:space="preserve">   |   2023 – Present   |   Paris, France</w:t>
      </w:r>
    </w:p>
    <w:p>
      <w:pPr>
        <w:pStyle w:val="ListParagraph"/>
        <w:numPr>
          <w:ilvl w:val="0"/>
          <w:numId w:val="2"/>
        </w:numPr>
        <w:spacing w:after="40" w:before="40"/>
      </w:pPr>
      <w:r>
        <w:rPr>
          <w:rFonts w:ascii="Calibri" w:cs="Calibri" w:eastAsia="Calibri" w:hAnsi="Calibri"/>
          <w:color w:val="1A1A1A"/>
          <w:sz w:val="20"/>
          <w:szCs w:val="20"/>
        </w:rPr>
        <w:t xml:space="preserve">Designed and implemented scalable, secure microservices ecosystems using Azure API Management (APIM), Azure Kubernetes Service (AKS), Azure Service Bus, and Azure Event Grid, aligned with enterprise architecture standards.</w:t>
      </w:r>
    </w:p>
    <w:p>
      <w:pPr>
        <w:pStyle w:val="ListParagraph"/>
        <w:numPr>
          <w:ilvl w:val="0"/>
          <w:numId w:val="2"/>
        </w:numPr>
        <w:spacing w:after="40" w:before="40"/>
      </w:pPr>
      <w:r>
        <w:rPr>
          <w:rFonts w:ascii="Calibri" w:cs="Calibri" w:eastAsia="Calibri" w:hAnsi="Calibri"/>
          <w:color w:val="1A1A1A"/>
          <w:sz w:val="20"/>
          <w:szCs w:val="20"/>
        </w:rPr>
        <w:t xml:space="preserve">Led the API-first strategy across multiple business domains: defined API governance standards, API lifecycle management, versioning policies, API security controls (OAuth 2.0, JWT), and developer portal adoption.</w:t>
      </w:r>
    </w:p>
    <w:p>
      <w:pPr>
        <w:pStyle w:val="ListParagraph"/>
        <w:numPr>
          <w:ilvl w:val="0"/>
          <w:numId w:val="2"/>
        </w:numPr>
        <w:spacing w:after="40" w:before="40"/>
      </w:pPr>
      <w:r>
        <w:rPr>
          <w:rFonts w:ascii="Calibri" w:cs="Calibri" w:eastAsia="Calibri" w:hAnsi="Calibri"/>
          <w:color w:val="1A1A1A"/>
          <w:sz w:val="20"/>
          <w:szCs w:val="20"/>
        </w:rPr>
        <w:t xml:space="preserve">Architected hybrid and cloud integration solutions using Azure Integration Services, MuleSoft, and SAP BTP Integration Suite for a large SAP S/4HANA enterprise transformation programme.</w:t>
      </w:r>
    </w:p>
    <w:p>
      <w:pPr>
        <w:pStyle w:val="ListParagraph"/>
        <w:numPr>
          <w:ilvl w:val="0"/>
          <w:numId w:val="2"/>
        </w:numPr>
        <w:spacing w:after="40" w:before="40"/>
      </w:pPr>
      <w:r>
        <w:rPr>
          <w:rFonts w:ascii="Calibri" w:cs="Calibri" w:eastAsia="Calibri" w:hAnsi="Calibri"/>
          <w:color w:val="1A1A1A"/>
          <w:sz w:val="20"/>
          <w:szCs w:val="20"/>
        </w:rPr>
        <w:t xml:space="preserve">Designed event-driven integration patterns (Event Mesh, Saga orchestration) to ensure reliable, asynchronous, and decoupled communication between enterprise systems.</w:t>
      </w:r>
    </w:p>
    <w:p>
      <w:pPr>
        <w:pStyle w:val="ListParagraph"/>
        <w:numPr>
          <w:ilvl w:val="0"/>
          <w:numId w:val="2"/>
        </w:numPr>
        <w:spacing w:after="40" w:before="40"/>
      </w:pPr>
      <w:r>
        <w:rPr>
          <w:rFonts w:ascii="Calibri" w:cs="Calibri" w:eastAsia="Calibri" w:hAnsi="Calibri"/>
          <w:color w:val="1A1A1A"/>
          <w:sz w:val="20"/>
          <w:szCs w:val="20"/>
        </w:rPr>
        <w:t xml:space="preserve">Implemented APIOps and CI/CD pipelines using Azure DevOps for automated API deployment, testing, monitoring, and versioning, reducing release cycle time.</w:t>
      </w:r>
    </w:p>
    <w:p>
      <w:pPr>
        <w:pStyle w:val="ListParagraph"/>
        <w:numPr>
          <w:ilvl w:val="0"/>
          <w:numId w:val="2"/>
        </w:numPr>
        <w:spacing w:after="40" w:before="40"/>
      </w:pPr>
      <w:r>
        <w:rPr>
          <w:rFonts w:ascii="Calibri" w:cs="Calibri" w:eastAsia="Calibri" w:hAnsi="Calibri"/>
          <w:color w:val="1A1A1A"/>
          <w:sz w:val="20"/>
          <w:szCs w:val="20"/>
        </w:rPr>
        <w:t xml:space="preserve">Designed IoT architecture using Azure IoT Hub and Azure Digital Twins, enabling secure device connectivity, real-time telemetry processing, and cloud integration.</w:t>
      </w:r>
    </w:p>
    <w:p>
      <w:pPr>
        <w:pStyle w:val="ListParagraph"/>
        <w:numPr>
          <w:ilvl w:val="0"/>
          <w:numId w:val="2"/>
        </w:numPr>
        <w:spacing w:after="40" w:before="40"/>
      </w:pPr>
      <w:r>
        <w:rPr>
          <w:rFonts w:ascii="Calibri" w:cs="Calibri" w:eastAsia="Calibri" w:hAnsi="Calibri"/>
          <w:color w:val="1A1A1A"/>
          <w:sz w:val="20"/>
          <w:szCs w:val="20"/>
        </w:rPr>
        <w:t xml:space="preserve">Built data-driven solutions using Azure Synapse Analytics, Azure Data Factory (ADF), and Azure OpenAI to deliver real-time integration, analytics, and intelligent data services.</w:t>
      </w:r>
    </w:p>
    <w:p>
      <w:pPr>
        <w:pStyle w:val="ListParagraph"/>
        <w:numPr>
          <w:ilvl w:val="0"/>
          <w:numId w:val="2"/>
        </w:numPr>
        <w:spacing w:after="40" w:before="40"/>
      </w:pPr>
      <w:r>
        <w:rPr>
          <w:rFonts w:ascii="Calibri" w:cs="Calibri" w:eastAsia="Calibri" w:hAnsi="Calibri"/>
          <w:color w:val="1A1A1A"/>
          <w:sz w:val="20"/>
          <w:szCs w:val="20"/>
        </w:rPr>
        <w:t xml:space="preserve">Applied Domain-Driven Design (DDD) principles to define bounded contexts, API contracts, and service ownership across domains.</w:t>
      </w:r>
    </w:p>
    <w:p>
      <w:pPr>
        <w:pStyle w:val="ListParagraph"/>
        <w:numPr>
          <w:ilvl w:val="0"/>
          <w:numId w:val="2"/>
        </w:numPr>
        <w:spacing w:after="40" w:before="40"/>
      </w:pPr>
      <w:r>
        <w:rPr>
          <w:rFonts w:ascii="Calibri" w:cs="Calibri" w:eastAsia="Calibri" w:hAnsi="Calibri"/>
          <w:color w:val="1A1A1A"/>
          <w:sz w:val="20"/>
          <w:szCs w:val="20"/>
        </w:rPr>
        <w:t xml:space="preserve">Conducted architecture reviews, produced High-Level Design (HLD) and Low-Level Design (LLD) documents, and delivered architecture workshops for business and technical stakeholders.</w:t>
      </w:r>
    </w:p>
    <w:p>
      <w:pPr>
        <w:pStyle w:val="ListParagraph"/>
        <w:numPr>
          <w:ilvl w:val="0"/>
          <w:numId w:val="2"/>
        </w:numPr>
        <w:spacing w:after="40" w:before="40"/>
      </w:pPr>
      <w:r>
        <w:rPr>
          <w:rFonts w:ascii="Calibri" w:cs="Calibri" w:eastAsia="Calibri" w:hAnsi="Calibri"/>
          <w:color w:val="1A1A1A"/>
          <w:sz w:val="20"/>
          <w:szCs w:val="20"/>
        </w:rPr>
        <w:t xml:space="preserve">Collaborated with cross-functional international teams across France and India to ensure delivery alignment, integration governance, and adherence to enterprise security standards.</w:t>
      </w:r>
    </w:p>
    <w:p>
      <w:pPr>
        <w:spacing w:after="20" w:before="200"/>
      </w:pPr>
      <w:r>
        <w:rPr>
          <w:rFonts w:ascii="Calibri" w:cs="Calibri" w:eastAsia="Calibri" w:hAnsi="Calibri"/>
          <w:b/>
          <w:bCs/>
          <w:color w:val="1F4E79"/>
          <w:sz w:val="22"/>
          <w:szCs w:val="22"/>
        </w:rPr>
        <w:t xml:space="preserve">Integration Architect</w:t>
      </w:r>
    </w:p>
    <w:p>
      <w:pPr>
        <w:spacing w:after="60" w:before="0"/>
      </w:pPr>
      <w:r>
        <w:rPr>
          <w:rFonts w:ascii="Calibri" w:cs="Calibri" w:eastAsia="Calibri" w:hAnsi="Calibri"/>
          <w:b/>
          <w:bCs/>
          <w:color w:val="1A1A1A"/>
          <w:sz w:val="20"/>
          <w:szCs w:val="20"/>
        </w:rPr>
        <w:t xml:space="preserve">Tata Consultancy Services — Sodexo Inc.</w:t>
      </w:r>
      <w:r>
        <w:rPr>
          <w:rFonts w:ascii="Calibri" w:cs="Calibri" w:eastAsia="Calibri" w:hAnsi="Calibri"/>
          <w:color w:val="666666"/>
          <w:sz w:val="20"/>
          <w:szCs w:val="20"/>
        </w:rPr>
        <w:t xml:space="preserve">   |   2021 – 2023   |   Chennai, India</w:t>
      </w:r>
    </w:p>
    <w:p>
      <w:pPr>
        <w:pStyle w:val="ListParagraph"/>
        <w:numPr>
          <w:ilvl w:val="0"/>
          <w:numId w:val="2"/>
        </w:numPr>
        <w:spacing w:after="40" w:before="40"/>
      </w:pPr>
      <w:r>
        <w:rPr>
          <w:rFonts w:ascii="Calibri" w:cs="Calibri" w:eastAsia="Calibri" w:hAnsi="Calibri"/>
          <w:color w:val="1A1A1A"/>
          <w:sz w:val="20"/>
          <w:szCs w:val="20"/>
        </w:rPr>
        <w:t xml:space="preserve">Designed and implemented enterprise-grade CI/CD pipelines using Azure DevOps for Informatica Intelligent Cloud Services (IICS), enabling automated deployment and release governance across integration workloads.</w:t>
      </w:r>
    </w:p>
    <w:p>
      <w:pPr>
        <w:pStyle w:val="ListParagraph"/>
        <w:numPr>
          <w:ilvl w:val="0"/>
          <w:numId w:val="2"/>
        </w:numPr>
        <w:spacing w:after="40" w:before="40"/>
      </w:pPr>
      <w:r>
        <w:rPr>
          <w:rFonts w:ascii="Calibri" w:cs="Calibri" w:eastAsia="Calibri" w:hAnsi="Calibri"/>
          <w:color w:val="1A1A1A"/>
          <w:sz w:val="20"/>
          <w:szCs w:val="20"/>
        </w:rPr>
        <w:t xml:space="preserve">Developed scalable data-driven integration architectures using Informatica IICS and Azure Integration Services, applying loosely coupled, event-driven, and metadata-driven integration principles.</w:t>
      </w:r>
    </w:p>
    <w:p>
      <w:pPr>
        <w:pStyle w:val="ListParagraph"/>
        <w:numPr>
          <w:ilvl w:val="0"/>
          <w:numId w:val="2"/>
        </w:numPr>
        <w:spacing w:after="40" w:before="40"/>
      </w:pPr>
      <w:r>
        <w:rPr>
          <w:rFonts w:ascii="Calibri" w:cs="Calibri" w:eastAsia="Calibri" w:hAnsi="Calibri"/>
          <w:color w:val="1A1A1A"/>
          <w:sz w:val="20"/>
          <w:szCs w:val="20"/>
        </w:rPr>
        <w:t xml:space="preserve">Designed distributed integration solutions using Saga orchestration patterns, ensuring transaction consistency and resiliency across long-running business workflows.</w:t>
      </w:r>
    </w:p>
    <w:p>
      <w:pPr>
        <w:pStyle w:val="ListParagraph"/>
        <w:numPr>
          <w:ilvl w:val="0"/>
          <w:numId w:val="2"/>
        </w:numPr>
        <w:spacing w:after="40" w:before="40"/>
      </w:pPr>
      <w:r>
        <w:rPr>
          <w:rFonts w:ascii="Calibri" w:cs="Calibri" w:eastAsia="Calibri" w:hAnsi="Calibri"/>
          <w:color w:val="1A1A1A"/>
          <w:sz w:val="20"/>
          <w:szCs w:val="20"/>
        </w:rPr>
        <w:t xml:space="preserve">Applied event sourcing and event-driven architecture patterns to support auditability, replay capability, and asynchronous communication between enterprise applications and data platforms.</w:t>
      </w:r>
    </w:p>
    <w:p>
      <w:pPr>
        <w:pStyle w:val="ListParagraph"/>
        <w:numPr>
          <w:ilvl w:val="0"/>
          <w:numId w:val="2"/>
        </w:numPr>
        <w:spacing w:after="40" w:before="40"/>
      </w:pPr>
      <w:r>
        <w:rPr>
          <w:rFonts w:ascii="Calibri" w:cs="Calibri" w:eastAsia="Calibri" w:hAnsi="Calibri"/>
          <w:color w:val="1A1A1A"/>
          <w:sz w:val="20"/>
          <w:szCs w:val="20"/>
        </w:rPr>
        <w:t xml:space="preserve">Implemented security and observability controls using Azure Active Directory (Azure AD), Azure Key Vault, Application Insights, and Azure Monitor across integration landscapes.</w:t>
      </w:r>
    </w:p>
    <w:p>
      <w:pPr>
        <w:pStyle w:val="ListParagraph"/>
        <w:numPr>
          <w:ilvl w:val="0"/>
          <w:numId w:val="2"/>
        </w:numPr>
        <w:spacing w:after="40" w:before="40"/>
      </w:pPr>
      <w:r>
        <w:rPr>
          <w:rFonts w:ascii="Calibri" w:cs="Calibri" w:eastAsia="Calibri" w:hAnsi="Calibri"/>
          <w:color w:val="1A1A1A"/>
          <w:sz w:val="20"/>
          <w:szCs w:val="20"/>
        </w:rPr>
        <w:t xml:space="preserve">Defined integration standards, reusable patterns, and data governance models in collaboration with architects and engineering teams, aligned to the enterprise data platform strategy.</w:t>
      </w:r>
    </w:p>
    <w:p>
      <w:pPr>
        <w:pStyle w:val="ListParagraph"/>
        <w:numPr>
          <w:ilvl w:val="0"/>
          <w:numId w:val="2"/>
        </w:numPr>
        <w:spacing w:after="40" w:before="40"/>
      </w:pPr>
      <w:r>
        <w:rPr>
          <w:rFonts w:ascii="Calibri" w:cs="Calibri" w:eastAsia="Calibri" w:hAnsi="Calibri"/>
          <w:color w:val="1A1A1A"/>
          <w:sz w:val="20"/>
          <w:szCs w:val="20"/>
        </w:rPr>
        <w:t xml:space="preserve">Delivered resilient, high-quality integration solutions supporting business-critical operations with focus on scalability, reliability, and operational excellence.</w:t>
      </w:r>
    </w:p>
    <w:p>
      <w:pPr>
        <w:spacing w:after="20" w:before="200"/>
      </w:pPr>
      <w:r>
        <w:rPr>
          <w:rFonts w:ascii="Calibri" w:cs="Calibri" w:eastAsia="Calibri" w:hAnsi="Calibri"/>
          <w:b/>
          <w:bCs/>
          <w:color w:val="1F4E79"/>
          <w:sz w:val="22"/>
          <w:szCs w:val="22"/>
        </w:rPr>
        <w:t xml:space="preserve">Technical Consultant — Cloud and Integration</w:t>
      </w:r>
    </w:p>
    <w:p>
      <w:pPr>
        <w:spacing w:after="60" w:before="0"/>
      </w:pPr>
      <w:r>
        <w:rPr>
          <w:rFonts w:ascii="Calibri" w:cs="Calibri" w:eastAsia="Calibri" w:hAnsi="Calibri"/>
          <w:b/>
          <w:bCs/>
          <w:color w:val="1A1A1A"/>
          <w:sz w:val="20"/>
          <w:szCs w:val="20"/>
        </w:rPr>
        <w:t xml:space="preserve">Kelp HR</w:t>
      </w:r>
      <w:r>
        <w:rPr>
          <w:rFonts w:ascii="Calibri" w:cs="Calibri" w:eastAsia="Calibri" w:hAnsi="Calibri"/>
          <w:color w:val="666666"/>
          <w:sz w:val="20"/>
          <w:szCs w:val="20"/>
        </w:rPr>
        <w:t xml:space="preserve">   |   2019 – 2021   |   Chennai, India</w:t>
      </w:r>
    </w:p>
    <w:p>
      <w:pPr>
        <w:pStyle w:val="ListParagraph"/>
        <w:numPr>
          <w:ilvl w:val="0"/>
          <w:numId w:val="2"/>
        </w:numPr>
        <w:spacing w:after="40" w:before="40"/>
      </w:pPr>
      <w:r>
        <w:rPr>
          <w:rFonts w:ascii="Calibri" w:cs="Calibri" w:eastAsia="Calibri" w:hAnsi="Calibri"/>
          <w:color w:val="1A1A1A"/>
          <w:sz w:val="20"/>
          <w:szCs w:val="20"/>
        </w:rPr>
        <w:t xml:space="preserve">Developed and maintained Infrastructure-as-Code (IaC) using Terraform and ARM templates to automate repeatable cloud deployments across DEV, UAT, and PROD environments.</w:t>
      </w:r>
    </w:p>
    <w:p>
      <w:pPr>
        <w:pStyle w:val="ListParagraph"/>
        <w:numPr>
          <w:ilvl w:val="0"/>
          <w:numId w:val="2"/>
        </w:numPr>
        <w:spacing w:after="40" w:before="40"/>
      </w:pPr>
      <w:r>
        <w:rPr>
          <w:rFonts w:ascii="Calibri" w:cs="Calibri" w:eastAsia="Calibri" w:hAnsi="Calibri"/>
          <w:color w:val="1A1A1A"/>
          <w:sz w:val="20"/>
          <w:szCs w:val="20"/>
        </w:rPr>
        <w:t xml:space="preserve">Designed serverless integration architectures using Azure Functions and Azure Logic Apps, enabling event-driven workflows and lightweight cross-domain integration.</w:t>
      </w:r>
    </w:p>
    <w:p>
      <w:pPr>
        <w:pStyle w:val="ListParagraph"/>
        <w:numPr>
          <w:ilvl w:val="0"/>
          <w:numId w:val="2"/>
        </w:numPr>
        <w:spacing w:after="40" w:before="40"/>
      </w:pPr>
      <w:r>
        <w:rPr>
          <w:rFonts w:ascii="Calibri" w:cs="Calibri" w:eastAsia="Calibri" w:hAnsi="Calibri"/>
          <w:color w:val="1A1A1A"/>
          <w:sz w:val="20"/>
          <w:szCs w:val="20"/>
        </w:rPr>
        <w:t xml:space="preserve">Built containerised microservices using Docker and Azure Container Registry, orchestrated on Azure Kubernetes Service (AKS), ensuring scalability and maintainability.</w:t>
      </w:r>
    </w:p>
    <w:p>
      <w:pPr>
        <w:pStyle w:val="ListParagraph"/>
        <w:numPr>
          <w:ilvl w:val="0"/>
          <w:numId w:val="2"/>
        </w:numPr>
        <w:spacing w:after="40" w:before="40"/>
      </w:pPr>
      <w:r>
        <w:rPr>
          <w:rFonts w:ascii="Calibri" w:cs="Calibri" w:eastAsia="Calibri" w:hAnsi="Calibri"/>
          <w:color w:val="1A1A1A"/>
          <w:sz w:val="20"/>
          <w:szCs w:val="20"/>
        </w:rPr>
        <w:t xml:space="preserve">Designed data integration patterns using Azure Synapse Analytics, Azure Data Factory, and Azure OpenAI to deliver real-time analytics and intelligent automation.</w:t>
      </w:r>
    </w:p>
    <w:p>
      <w:pPr>
        <w:spacing w:after="20" w:before="200"/>
      </w:pPr>
      <w:r>
        <w:rPr>
          <w:rFonts w:ascii="Calibri" w:cs="Calibri" w:eastAsia="Calibri" w:hAnsi="Calibri"/>
          <w:b/>
          <w:bCs/>
          <w:color w:val="1F4E79"/>
          <w:sz w:val="22"/>
          <w:szCs w:val="22"/>
        </w:rPr>
        <w:t xml:space="preserve">Senior DevOps Engineer</w:t>
      </w:r>
    </w:p>
    <w:p>
      <w:pPr>
        <w:spacing w:after="60" w:before="0"/>
      </w:pPr>
      <w:r>
        <w:rPr>
          <w:rFonts w:ascii="Calibri" w:cs="Calibri" w:eastAsia="Calibri" w:hAnsi="Calibri"/>
          <w:b/>
          <w:bCs/>
          <w:color w:val="1A1A1A"/>
          <w:sz w:val="20"/>
          <w:szCs w:val="20"/>
        </w:rPr>
        <w:t xml:space="preserve">Cognizant Technology Solutions — Apple Inc. / E*TRADE</w:t>
      </w:r>
      <w:r>
        <w:rPr>
          <w:rFonts w:ascii="Calibri" w:cs="Calibri" w:eastAsia="Calibri" w:hAnsi="Calibri"/>
          <w:color w:val="666666"/>
          <w:sz w:val="20"/>
          <w:szCs w:val="20"/>
        </w:rPr>
        <w:t xml:space="preserve">   |   2012 – 2017   |   India</w:t>
      </w:r>
    </w:p>
    <w:p>
      <w:pPr>
        <w:pStyle w:val="ListParagraph"/>
        <w:numPr>
          <w:ilvl w:val="0"/>
          <w:numId w:val="2"/>
        </w:numPr>
        <w:spacing w:after="40" w:before="40"/>
      </w:pPr>
      <w:r>
        <w:rPr>
          <w:rFonts w:ascii="Calibri" w:cs="Calibri" w:eastAsia="Calibri" w:hAnsi="Calibri"/>
          <w:color w:val="1A1A1A"/>
          <w:sz w:val="20"/>
          <w:szCs w:val="20"/>
        </w:rPr>
        <w:t xml:space="preserve">Designed and maintained CI/CD pipelines using Jenkins, GitLab CI, and Azure DevOps (VSTS) for automated, reliable deployments across multiple environments.</w:t>
      </w:r>
    </w:p>
    <w:p>
      <w:pPr>
        <w:pStyle w:val="ListParagraph"/>
        <w:numPr>
          <w:ilvl w:val="0"/>
          <w:numId w:val="2"/>
        </w:numPr>
        <w:spacing w:after="40" w:before="40"/>
      </w:pPr>
      <w:r>
        <w:rPr>
          <w:rFonts w:ascii="Calibri" w:cs="Calibri" w:eastAsia="Calibri" w:hAnsi="Calibri"/>
          <w:color w:val="1A1A1A"/>
          <w:sz w:val="20"/>
          <w:szCs w:val="20"/>
        </w:rPr>
        <w:t xml:space="preserve">Implemented Infrastructure-as-Code (IaC) using Terraform, Ansible, and Chef for consistent provisioning of cloud and on-premises infrastructure.</w:t>
      </w:r>
    </w:p>
    <w:p>
      <w:pPr>
        <w:pStyle w:val="ListParagraph"/>
        <w:numPr>
          <w:ilvl w:val="0"/>
          <w:numId w:val="2"/>
        </w:numPr>
        <w:spacing w:after="40" w:before="40"/>
      </w:pPr>
      <w:r>
        <w:rPr>
          <w:rFonts w:ascii="Calibri" w:cs="Calibri" w:eastAsia="Calibri" w:hAnsi="Calibri"/>
          <w:color w:val="1A1A1A"/>
          <w:sz w:val="20"/>
          <w:szCs w:val="20"/>
        </w:rPr>
        <w:t xml:space="preserve">Established centralised logging and monitoring using ELK Stack (Elasticsearch, Logstash, Kibana) and Grafana, providing real-time observability and proactive alerting.</w:t>
      </w:r>
    </w:p>
    <w:p>
      <w:pPr>
        <w:pStyle w:val="ListParagraph"/>
        <w:numPr>
          <w:ilvl w:val="0"/>
          <w:numId w:val="2"/>
        </w:numPr>
        <w:spacing w:after="40" w:before="40"/>
      </w:pPr>
      <w:r>
        <w:rPr>
          <w:rFonts w:ascii="Calibri" w:cs="Calibri" w:eastAsia="Calibri" w:hAnsi="Calibri"/>
          <w:color w:val="1A1A1A"/>
          <w:sz w:val="20"/>
          <w:szCs w:val="20"/>
        </w:rPr>
        <w:t xml:space="preserve">Deployed and managed containerised applications using Docker, following production-grade security, scalability, and compliance best practices.</w:t>
      </w:r>
    </w:p>
    <w:p>
      <w:pPr>
        <w:pBdr>
          <w:bottom w:val="single" w:color="2E75B6" w:sz="6" w:space="4"/>
        </w:pBdr>
        <w:spacing w:after="60" w:before="260"/>
      </w:pPr>
      <w:r>
        <w:rPr>
          <w:rFonts w:ascii="Calibri" w:cs="Calibri" w:eastAsia="Calibri" w:hAnsi="Calibri"/>
          <w:b/>
          <w:bCs/>
          <w:color w:val="1F4E79"/>
          <w:sz w:val="22"/>
          <w:szCs w:val="22"/>
        </w:rPr>
        <w:t xml:space="preserve">CERTIFICATIONS</w:t>
      </w:r>
    </w:p>
    <w:p>
      <w:pPr>
        <w:pStyle w:val="ListParagraph"/>
        <w:numPr>
          <w:ilvl w:val="0"/>
          <w:numId w:val="2"/>
        </w:numPr>
        <w:spacing w:after="40" w:before="40"/>
      </w:pPr>
      <w:r>
        <w:rPr>
          <w:rFonts w:ascii="Calibri" w:cs="Calibri" w:eastAsia="Calibri" w:hAnsi="Calibri"/>
          <w:color w:val="1A1A1A"/>
          <w:sz w:val="20"/>
          <w:szCs w:val="20"/>
        </w:rPr>
        <w:t xml:space="preserve">Microsoft Certified: Azure Fundamentals (AZ-900)</w:t>
      </w:r>
    </w:p>
    <w:p>
      <w:pPr>
        <w:pStyle w:val="ListParagraph"/>
        <w:numPr>
          <w:ilvl w:val="0"/>
          <w:numId w:val="2"/>
        </w:numPr>
        <w:spacing w:after="40" w:before="40"/>
      </w:pPr>
      <w:r>
        <w:rPr>
          <w:rFonts w:ascii="Calibri" w:cs="Calibri" w:eastAsia="Calibri" w:hAnsi="Calibri"/>
          <w:color w:val="1A1A1A"/>
          <w:sz w:val="20"/>
          <w:szCs w:val="20"/>
        </w:rPr>
        <w:t xml:space="preserve">Microsoft Certified: AI Fundamentals (AI-900)</w:t>
      </w:r>
    </w:p>
    <w:p>
      <w:pPr>
        <w:pStyle w:val="ListParagraph"/>
        <w:numPr>
          <w:ilvl w:val="0"/>
          <w:numId w:val="2"/>
        </w:numPr>
        <w:spacing w:after="40" w:before="40"/>
      </w:pPr>
      <w:r>
        <w:rPr>
          <w:rFonts w:ascii="Calibri" w:cs="Calibri" w:eastAsia="Calibri" w:hAnsi="Calibri"/>
          <w:color w:val="1A1A1A"/>
          <w:sz w:val="20"/>
          <w:szCs w:val="20"/>
        </w:rPr>
        <w:t xml:space="preserve">Microsoft Certified: Azure Developer Associate (AZ-204)</w:t>
      </w:r>
    </w:p>
    <w:p>
      <w:pPr>
        <w:pStyle w:val="ListParagraph"/>
        <w:numPr>
          <w:ilvl w:val="0"/>
          <w:numId w:val="2"/>
        </w:numPr>
        <w:spacing w:after="40" w:before="40"/>
      </w:pPr>
      <w:r>
        <w:rPr>
          <w:rFonts w:ascii="Calibri" w:cs="Calibri" w:eastAsia="Calibri" w:hAnsi="Calibri"/>
          <w:color w:val="1A1A1A"/>
          <w:sz w:val="20"/>
          <w:szCs w:val="20"/>
        </w:rPr>
        <w:t xml:space="preserve">Microsoft Certified: DevOps Engineer Expert (AZ-400)</w:t>
      </w:r>
    </w:p>
    <w:p>
      <w:pPr>
        <w:pStyle w:val="ListParagraph"/>
        <w:numPr>
          <w:ilvl w:val="0"/>
          <w:numId w:val="2"/>
        </w:numPr>
        <w:spacing w:after="40" w:before="40"/>
      </w:pPr>
      <w:r>
        <w:rPr>
          <w:rFonts w:ascii="Calibri" w:cs="Calibri" w:eastAsia="Calibri" w:hAnsi="Calibri"/>
          <w:color w:val="1A1A1A"/>
          <w:sz w:val="20"/>
          <w:szCs w:val="20"/>
        </w:rPr>
        <w:t xml:space="preserve">Microsoft Certified: Azure Administrator Associate (AZ-104)</w:t>
      </w:r>
    </w:p>
    <w:p>
      <w:pPr>
        <w:pStyle w:val="ListParagraph"/>
        <w:numPr>
          <w:ilvl w:val="0"/>
          <w:numId w:val="2"/>
        </w:numPr>
        <w:spacing w:after="40" w:before="40"/>
      </w:pPr>
      <w:r>
        <w:rPr>
          <w:rFonts w:ascii="Calibri" w:cs="Calibri" w:eastAsia="Calibri" w:hAnsi="Calibri"/>
          <w:color w:val="1A1A1A"/>
          <w:sz w:val="20"/>
          <w:szCs w:val="20"/>
        </w:rPr>
        <w:t xml:space="preserve">Microsoft Certified: Azure Solutions Architect Expert — Designing Microsoft Azure Infrastructure Solutions (AZ-305)</w:t>
      </w:r>
    </w:p>
    <w:p>
      <w:pPr>
        <w:pBdr>
          <w:bottom w:val="single" w:color="2E75B6" w:sz="6" w:space="4"/>
        </w:pBdr>
        <w:spacing w:after="60" w:before="260"/>
      </w:pPr>
      <w:r>
        <w:rPr>
          <w:rFonts w:ascii="Calibri" w:cs="Calibri" w:eastAsia="Calibri" w:hAnsi="Calibri"/>
          <w:b/>
          <w:bCs/>
          <w:color w:val="1F4E79"/>
          <w:sz w:val="22"/>
          <w:szCs w:val="22"/>
        </w:rPr>
        <w:t xml:space="preserve">EDUCATION</w:t>
      </w:r>
    </w:p>
    <w:p>
      <w:pPr>
        <w:spacing w:after="20" w:before="100"/>
      </w:pPr>
      <w:r>
        <w:rPr>
          <w:rFonts w:ascii="Calibri" w:cs="Calibri" w:eastAsia="Calibri" w:hAnsi="Calibri"/>
          <w:b/>
          <w:bCs/>
          <w:color w:val="1A1A1A"/>
          <w:sz w:val="20"/>
          <w:szCs w:val="20"/>
        </w:rPr>
        <w:t xml:space="preserve">Bachelor of Technology (B.Tech) — Information Technology</w:t>
      </w:r>
    </w:p>
    <w:p>
      <w:pPr>
        <w:spacing w:after="0" w:before="0"/>
      </w:pPr>
      <w:r>
        <w:rPr>
          <w:rFonts w:ascii="Calibri" w:cs="Calibri" w:eastAsia="Calibri" w:hAnsi="Calibri"/>
          <w:color w:val="666666"/>
          <w:sz w:val="20"/>
          <w:szCs w:val="20"/>
        </w:rPr>
        <w:t xml:space="preserve">Anna University, India   |   2007 – 2011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2026-04-08T14:57:59.755Z</dcterms:created>
  <dcterms:modified xsi:type="dcterms:W3CDTF">2026-04-08T14:57:59.756Z</dcterms:modified>
</cp:coreProperties>
</file>

<file path=docProps/custom.xml><?xml version="1.0" encoding="utf-8"?>
<Properties xmlns="http://schemas.openxmlformats.org/officeDocument/2006/custom-properties" xmlns:vt="http://schemas.openxmlformats.org/officeDocument/2006/docPropsVTypes"/>
</file>