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9AD12" w14:textId="77777777" w:rsidR="00687EEE" w:rsidRPr="00687EEE" w:rsidRDefault="00687EEE" w:rsidP="00687EEE">
      <w:pPr>
        <w:pStyle w:val="Heading1"/>
        <w:spacing w:before="0" w:after="0" w:line="360" w:lineRule="auto"/>
        <w:jc w:val="both"/>
        <w:rPr>
          <w:rFonts w:ascii="Arial" w:eastAsia="Times New Roman" w:hAnsi="Arial" w:cs="Arial"/>
          <w:b/>
          <w:bCs/>
          <w:color w:val="0A0A0A"/>
          <w:kern w:val="36"/>
          <w:sz w:val="22"/>
          <w:szCs w:val="22"/>
          <w:lang w:eastAsia="en-GB"/>
          <w14:ligatures w14:val="none"/>
        </w:rPr>
      </w:pPr>
      <w:r w:rsidRPr="00687EEE">
        <w:rPr>
          <w:rFonts w:ascii="Arial" w:hAnsi="Arial" w:cs="Arial"/>
          <w:sz w:val="22"/>
          <w:szCs w:val="22"/>
        </w:rPr>
        <w:t xml:space="preserve">Title: </w:t>
      </w:r>
      <w:r w:rsidRPr="00687EEE">
        <w:rPr>
          <w:rFonts w:ascii="Arial" w:eastAsia="Times New Roman" w:hAnsi="Arial" w:cs="Arial"/>
          <w:b/>
          <w:bCs/>
          <w:color w:val="0A0A0A"/>
          <w:kern w:val="36"/>
          <w:sz w:val="22"/>
          <w:szCs w:val="22"/>
          <w:lang w:eastAsia="en-GB"/>
          <w14:ligatures w14:val="none"/>
        </w:rPr>
        <w:t xml:space="preserve">Extreme weather is 2024’s top supply chain risk: </w:t>
      </w:r>
      <w:proofErr w:type="spellStart"/>
      <w:r w:rsidRPr="00687EEE">
        <w:rPr>
          <w:rFonts w:ascii="Arial" w:eastAsia="Times New Roman" w:hAnsi="Arial" w:cs="Arial"/>
          <w:b/>
          <w:bCs/>
          <w:color w:val="0A0A0A"/>
          <w:kern w:val="36"/>
          <w:sz w:val="22"/>
          <w:szCs w:val="22"/>
          <w:lang w:eastAsia="en-GB"/>
          <w14:ligatures w14:val="none"/>
        </w:rPr>
        <w:t>Everstream</w:t>
      </w:r>
      <w:proofErr w:type="spellEnd"/>
    </w:p>
    <w:p w14:paraId="42496A9A" w14:textId="311A5981" w:rsidR="00687EEE" w:rsidRPr="00687EEE" w:rsidRDefault="00687EEE" w:rsidP="00687EEE">
      <w:pPr>
        <w:spacing w:line="360" w:lineRule="auto"/>
        <w:jc w:val="both"/>
        <w:rPr>
          <w:rFonts w:ascii="Arial" w:hAnsi="Arial" w:cs="Arial"/>
          <w:sz w:val="22"/>
          <w:szCs w:val="22"/>
        </w:rPr>
      </w:pPr>
      <w:r w:rsidRPr="00687EEE">
        <w:rPr>
          <w:rFonts w:ascii="Arial" w:hAnsi="Arial" w:cs="Arial"/>
          <w:sz w:val="22"/>
          <w:szCs w:val="22"/>
        </w:rPr>
        <w:t>Source: Supply Chain Dive</w:t>
      </w:r>
    </w:p>
    <w:p w14:paraId="42641698" w14:textId="4AAE2B1A" w:rsidR="00687EEE" w:rsidRPr="00687EEE" w:rsidRDefault="00687EEE" w:rsidP="00687EEE">
      <w:pPr>
        <w:spacing w:line="360" w:lineRule="auto"/>
        <w:jc w:val="both"/>
        <w:rPr>
          <w:rFonts w:ascii="Arial" w:hAnsi="Arial" w:cs="Arial"/>
          <w:sz w:val="22"/>
          <w:szCs w:val="22"/>
        </w:rPr>
      </w:pPr>
      <w:r w:rsidRPr="00687EEE">
        <w:rPr>
          <w:rFonts w:ascii="Arial" w:hAnsi="Arial" w:cs="Arial"/>
          <w:sz w:val="22"/>
          <w:szCs w:val="22"/>
        </w:rPr>
        <w:t xml:space="preserve">URL: </w:t>
      </w:r>
      <w:hyperlink r:id="rId5" w:history="1">
        <w:r w:rsidRPr="00687EEE">
          <w:rPr>
            <w:rStyle w:val="Hyperlink"/>
            <w:rFonts w:ascii="Arial" w:hAnsi="Arial" w:cs="Arial"/>
            <w:sz w:val="22"/>
            <w:szCs w:val="22"/>
          </w:rPr>
          <w:t>https://www.supplychaindive.com/news/extreme-weather--top-supply-chain-risk-2024-everstream-climate-change-food-shortages/704232/</w:t>
        </w:r>
      </w:hyperlink>
    </w:p>
    <w:p w14:paraId="70E6CA7B"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Extreme weather events are the</w:t>
      </w:r>
      <w:r w:rsidRPr="00687EEE">
        <w:rPr>
          <w:rStyle w:val="apple-converted-space"/>
          <w:rFonts w:ascii="Arial" w:eastAsiaTheme="majorEastAsia" w:hAnsi="Arial" w:cs="Arial"/>
          <w:color w:val="0A0A0A"/>
          <w:sz w:val="22"/>
          <w:szCs w:val="22"/>
        </w:rPr>
        <w:t> </w:t>
      </w:r>
      <w:hyperlink r:id="rId6" w:history="1">
        <w:r w:rsidRPr="00687EEE">
          <w:rPr>
            <w:rStyle w:val="Hyperlink"/>
            <w:rFonts w:ascii="Arial" w:eastAsiaTheme="majorEastAsia" w:hAnsi="Arial" w:cs="Arial"/>
            <w:color w:val="0A0A0A"/>
            <w:sz w:val="22"/>
            <w:szCs w:val="22"/>
          </w:rPr>
          <w:t>top risk facing supply chains in 2024</w:t>
        </w:r>
      </w:hyperlink>
      <w:r w:rsidRPr="00687EEE">
        <w:rPr>
          <w:rFonts w:ascii="Arial" w:hAnsi="Arial" w:cs="Arial"/>
          <w:color w:val="0A0A0A"/>
          <w:sz w:val="22"/>
          <w:szCs w:val="22"/>
        </w:rPr>
        <w:t xml:space="preserve">, according to an annual outlook report from </w:t>
      </w:r>
      <w:proofErr w:type="spellStart"/>
      <w:r w:rsidRPr="00687EEE">
        <w:rPr>
          <w:rFonts w:ascii="Arial" w:hAnsi="Arial" w:cs="Arial"/>
          <w:color w:val="0A0A0A"/>
          <w:sz w:val="22"/>
          <w:szCs w:val="22"/>
        </w:rPr>
        <w:t>Everstream</w:t>
      </w:r>
      <w:proofErr w:type="spellEnd"/>
      <w:r w:rsidRPr="00687EEE">
        <w:rPr>
          <w:rFonts w:ascii="Arial" w:hAnsi="Arial" w:cs="Arial"/>
          <w:color w:val="0A0A0A"/>
          <w:sz w:val="22"/>
          <w:szCs w:val="22"/>
        </w:rPr>
        <w:t xml:space="preserve"> Analytics. </w:t>
      </w:r>
    </w:p>
    <w:p w14:paraId="60F2C1C0"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The firm attached a risk score of 100% to the possibility of extreme weather causing supply chain disruption. That assessment follows a year where weather caused havoc for supply chains, from</w:t>
      </w:r>
      <w:r w:rsidRPr="00687EEE">
        <w:rPr>
          <w:rStyle w:val="apple-converted-space"/>
          <w:rFonts w:ascii="Arial" w:eastAsiaTheme="majorEastAsia" w:hAnsi="Arial" w:cs="Arial"/>
          <w:color w:val="0A0A0A"/>
          <w:sz w:val="22"/>
          <w:szCs w:val="22"/>
        </w:rPr>
        <w:t> </w:t>
      </w:r>
      <w:hyperlink r:id="rId7" w:history="1">
        <w:r w:rsidRPr="00687EEE">
          <w:rPr>
            <w:rStyle w:val="Hyperlink"/>
            <w:rFonts w:ascii="Arial" w:eastAsiaTheme="majorEastAsia" w:hAnsi="Arial" w:cs="Arial"/>
            <w:color w:val="0A0A0A"/>
            <w:sz w:val="22"/>
            <w:szCs w:val="22"/>
          </w:rPr>
          <w:t>crop failures</w:t>
        </w:r>
      </w:hyperlink>
      <w:r w:rsidRPr="00687EEE">
        <w:rPr>
          <w:rStyle w:val="apple-converted-space"/>
          <w:rFonts w:ascii="Arial" w:eastAsiaTheme="majorEastAsia" w:hAnsi="Arial" w:cs="Arial"/>
          <w:color w:val="0A0A0A"/>
          <w:sz w:val="22"/>
          <w:szCs w:val="22"/>
        </w:rPr>
        <w:t> </w:t>
      </w:r>
      <w:r w:rsidRPr="00687EEE">
        <w:rPr>
          <w:rFonts w:ascii="Arial" w:hAnsi="Arial" w:cs="Arial"/>
          <w:color w:val="0A0A0A"/>
          <w:sz w:val="22"/>
          <w:szCs w:val="22"/>
        </w:rPr>
        <w:t>to</w:t>
      </w:r>
      <w:r w:rsidRPr="00687EEE">
        <w:rPr>
          <w:rStyle w:val="apple-converted-space"/>
          <w:rFonts w:ascii="Arial" w:eastAsiaTheme="majorEastAsia" w:hAnsi="Arial" w:cs="Arial"/>
          <w:color w:val="0A0A0A"/>
          <w:sz w:val="22"/>
          <w:szCs w:val="22"/>
        </w:rPr>
        <w:t> </w:t>
      </w:r>
      <w:hyperlink r:id="rId8" w:history="1">
        <w:r w:rsidRPr="00687EEE">
          <w:rPr>
            <w:rStyle w:val="Hyperlink"/>
            <w:rFonts w:ascii="Arial" w:eastAsiaTheme="majorEastAsia" w:hAnsi="Arial" w:cs="Arial"/>
            <w:color w:val="0A0A0A"/>
            <w:sz w:val="22"/>
            <w:szCs w:val="22"/>
          </w:rPr>
          <w:t>storm damage</w:t>
        </w:r>
      </w:hyperlink>
      <w:r w:rsidRPr="00687EEE">
        <w:rPr>
          <w:rStyle w:val="apple-converted-space"/>
          <w:rFonts w:ascii="Arial" w:eastAsiaTheme="majorEastAsia" w:hAnsi="Arial" w:cs="Arial"/>
          <w:color w:val="0A0A0A"/>
          <w:sz w:val="22"/>
          <w:szCs w:val="22"/>
        </w:rPr>
        <w:t> </w:t>
      </w:r>
      <w:r w:rsidRPr="00687EEE">
        <w:rPr>
          <w:rFonts w:ascii="Arial" w:hAnsi="Arial" w:cs="Arial"/>
          <w:color w:val="0A0A0A"/>
          <w:sz w:val="22"/>
          <w:szCs w:val="22"/>
        </w:rPr>
        <w:t>to</w:t>
      </w:r>
      <w:r w:rsidRPr="00687EEE">
        <w:rPr>
          <w:rStyle w:val="apple-converted-space"/>
          <w:rFonts w:ascii="Arial" w:eastAsiaTheme="majorEastAsia" w:hAnsi="Arial" w:cs="Arial"/>
          <w:color w:val="0A0A0A"/>
          <w:sz w:val="22"/>
          <w:szCs w:val="22"/>
        </w:rPr>
        <w:t> </w:t>
      </w:r>
      <w:hyperlink r:id="rId9" w:history="1">
        <w:r w:rsidRPr="00687EEE">
          <w:rPr>
            <w:rStyle w:val="Hyperlink"/>
            <w:rFonts w:ascii="Arial" w:eastAsiaTheme="majorEastAsia" w:hAnsi="Arial" w:cs="Arial"/>
            <w:color w:val="0A0A0A"/>
            <w:sz w:val="22"/>
            <w:szCs w:val="22"/>
          </w:rPr>
          <w:t>slowdowns</w:t>
        </w:r>
      </w:hyperlink>
      <w:r w:rsidRPr="00687EEE">
        <w:rPr>
          <w:rStyle w:val="apple-converted-space"/>
          <w:rFonts w:ascii="Arial" w:eastAsiaTheme="majorEastAsia" w:hAnsi="Arial" w:cs="Arial"/>
          <w:color w:val="0A0A0A"/>
          <w:sz w:val="22"/>
          <w:szCs w:val="22"/>
        </w:rPr>
        <w:t> </w:t>
      </w:r>
      <w:r w:rsidRPr="00687EEE">
        <w:rPr>
          <w:rFonts w:ascii="Arial" w:hAnsi="Arial" w:cs="Arial"/>
          <w:color w:val="0A0A0A"/>
          <w:sz w:val="22"/>
          <w:szCs w:val="22"/>
        </w:rPr>
        <w:t>on</w:t>
      </w:r>
      <w:r w:rsidRPr="00687EEE">
        <w:rPr>
          <w:rStyle w:val="apple-converted-space"/>
          <w:rFonts w:ascii="Arial" w:eastAsiaTheme="majorEastAsia" w:hAnsi="Arial" w:cs="Arial"/>
          <w:color w:val="0A0A0A"/>
          <w:sz w:val="22"/>
          <w:szCs w:val="22"/>
        </w:rPr>
        <w:t> </w:t>
      </w:r>
      <w:hyperlink r:id="rId10" w:history="1">
        <w:r w:rsidRPr="00687EEE">
          <w:rPr>
            <w:rStyle w:val="Hyperlink"/>
            <w:rFonts w:ascii="Arial" w:eastAsiaTheme="majorEastAsia" w:hAnsi="Arial" w:cs="Arial"/>
            <w:color w:val="0A0A0A"/>
            <w:sz w:val="22"/>
            <w:szCs w:val="22"/>
          </w:rPr>
          <w:t>major shipping channels</w:t>
        </w:r>
      </w:hyperlink>
      <w:r w:rsidRPr="00687EEE">
        <w:rPr>
          <w:rFonts w:ascii="Arial" w:hAnsi="Arial" w:cs="Arial"/>
          <w:color w:val="0A0A0A"/>
          <w:sz w:val="22"/>
          <w:szCs w:val="22"/>
        </w:rPr>
        <w:t>.</w:t>
      </w:r>
    </w:p>
    <w:p w14:paraId="5BFFC056"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 xml:space="preserve">Among other examples, heavy rains and flooding in California, Nevada and Utah in spring of 2023 caused a 20% to 30% decrease in shipments in areas where transportation systems were disrupted, according to </w:t>
      </w:r>
      <w:proofErr w:type="spellStart"/>
      <w:r w:rsidRPr="00687EEE">
        <w:rPr>
          <w:rFonts w:ascii="Arial" w:hAnsi="Arial" w:cs="Arial"/>
          <w:color w:val="0A0A0A"/>
          <w:sz w:val="22"/>
          <w:szCs w:val="22"/>
        </w:rPr>
        <w:t>Everstream’s</w:t>
      </w:r>
      <w:proofErr w:type="spellEnd"/>
      <w:r w:rsidRPr="00687EEE">
        <w:rPr>
          <w:rFonts w:ascii="Arial" w:hAnsi="Arial" w:cs="Arial"/>
          <w:color w:val="0A0A0A"/>
          <w:sz w:val="22"/>
          <w:szCs w:val="22"/>
        </w:rPr>
        <w:t xml:space="preserve"> analysis. </w:t>
      </w:r>
    </w:p>
    <w:p w14:paraId="2C366A44"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The firm also found that smoky conditions from 2023’s prolonged wildfires in Canada delayed deliveries in Chicago and New York by up to two days, while reduced visibility caused shipments in different areas to fall — by up to 75% in some places. </w:t>
      </w:r>
    </w:p>
    <w:p w14:paraId="3E978593"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 xml:space="preserve">To manage weather risks, </w:t>
      </w:r>
      <w:proofErr w:type="spellStart"/>
      <w:r w:rsidRPr="00687EEE">
        <w:rPr>
          <w:rFonts w:ascii="Arial" w:hAnsi="Arial" w:cs="Arial"/>
          <w:color w:val="0A0A0A"/>
          <w:sz w:val="22"/>
          <w:szCs w:val="22"/>
        </w:rPr>
        <w:t>Everstream</w:t>
      </w:r>
      <w:proofErr w:type="spellEnd"/>
      <w:r w:rsidRPr="00687EEE">
        <w:rPr>
          <w:rFonts w:ascii="Arial" w:hAnsi="Arial" w:cs="Arial"/>
          <w:color w:val="0A0A0A"/>
          <w:sz w:val="22"/>
          <w:szCs w:val="22"/>
        </w:rPr>
        <w:t xml:space="preserve"> recommends firms monitor routes for disruption and look to predictive weather forecasts and alerts. </w:t>
      </w:r>
    </w:p>
    <w:p w14:paraId="55EC2E32"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 xml:space="preserve">Extreme weather also factors into </w:t>
      </w:r>
      <w:proofErr w:type="spellStart"/>
      <w:r w:rsidRPr="00687EEE">
        <w:rPr>
          <w:rFonts w:ascii="Arial" w:hAnsi="Arial" w:cs="Arial"/>
          <w:color w:val="0A0A0A"/>
          <w:sz w:val="22"/>
          <w:szCs w:val="22"/>
        </w:rPr>
        <w:t>Everstream’s</w:t>
      </w:r>
      <w:proofErr w:type="spellEnd"/>
      <w:r w:rsidRPr="00687EEE">
        <w:rPr>
          <w:rFonts w:ascii="Arial" w:hAnsi="Arial" w:cs="Arial"/>
          <w:color w:val="0A0A0A"/>
          <w:sz w:val="22"/>
          <w:szCs w:val="22"/>
        </w:rPr>
        <w:t xml:space="preserve"> No. 5 supply chain risk in 2024: the potential for shortages of food commodities. Most at risk are sugar, rubber and fuel crops. </w:t>
      </w:r>
    </w:p>
    <w:p w14:paraId="60B50D2D"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“Commodity shortages will come to a head this year due to the culmination of many factors, including high input prices, farm profitability concerns, increasing protectionism, and extreme weather events,” the firm said in its report. </w:t>
      </w:r>
    </w:p>
    <w:p w14:paraId="1CC76F76"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t xml:space="preserve">Rounding out the full list of </w:t>
      </w:r>
      <w:proofErr w:type="spellStart"/>
      <w:r w:rsidRPr="00687EEE">
        <w:rPr>
          <w:rFonts w:ascii="Arial" w:hAnsi="Arial" w:cs="Arial"/>
          <w:color w:val="0A0A0A"/>
          <w:sz w:val="22"/>
          <w:szCs w:val="22"/>
        </w:rPr>
        <w:t>Everstream’s</w:t>
      </w:r>
      <w:proofErr w:type="spellEnd"/>
      <w:r w:rsidRPr="00687EEE">
        <w:rPr>
          <w:rFonts w:ascii="Arial" w:hAnsi="Arial" w:cs="Arial"/>
          <w:color w:val="0A0A0A"/>
          <w:sz w:val="22"/>
          <w:szCs w:val="22"/>
        </w:rPr>
        <w:t xml:space="preserve"> top five supply chain risks for 2024 were:</w:t>
      </w:r>
    </w:p>
    <w:p w14:paraId="2A0BBBDD" w14:textId="77777777" w:rsidR="00687EEE" w:rsidRPr="00687EEE" w:rsidRDefault="00687EEE" w:rsidP="00687EEE">
      <w:pPr>
        <w:numPr>
          <w:ilvl w:val="0"/>
          <w:numId w:val="1"/>
        </w:numPr>
        <w:spacing w:before="100" w:beforeAutospacing="1" w:after="100" w:afterAutospacing="1" w:line="360" w:lineRule="auto"/>
        <w:jc w:val="both"/>
        <w:rPr>
          <w:rFonts w:ascii="Arial" w:hAnsi="Arial" w:cs="Arial"/>
          <w:color w:val="0A0A0A"/>
          <w:sz w:val="22"/>
          <w:szCs w:val="22"/>
        </w:rPr>
      </w:pPr>
      <w:r w:rsidRPr="00687EEE">
        <w:rPr>
          <w:rFonts w:ascii="Arial" w:hAnsi="Arial" w:cs="Arial"/>
          <w:color w:val="0A0A0A"/>
          <w:sz w:val="22"/>
          <w:szCs w:val="22"/>
        </w:rPr>
        <w:t>Extreme weather.</w:t>
      </w:r>
    </w:p>
    <w:p w14:paraId="1F32D764" w14:textId="77777777" w:rsidR="00687EEE" w:rsidRPr="00687EEE" w:rsidRDefault="00687EEE" w:rsidP="00687EEE">
      <w:pPr>
        <w:numPr>
          <w:ilvl w:val="0"/>
          <w:numId w:val="1"/>
        </w:numPr>
        <w:spacing w:before="100" w:beforeAutospacing="1" w:after="100" w:afterAutospacing="1" w:line="360" w:lineRule="auto"/>
        <w:jc w:val="both"/>
        <w:rPr>
          <w:rFonts w:ascii="Arial" w:hAnsi="Arial" w:cs="Arial"/>
          <w:color w:val="0A0A0A"/>
          <w:sz w:val="22"/>
          <w:szCs w:val="22"/>
        </w:rPr>
      </w:pPr>
      <w:r w:rsidRPr="00687EEE">
        <w:rPr>
          <w:rFonts w:ascii="Arial" w:hAnsi="Arial" w:cs="Arial"/>
          <w:color w:val="0A0A0A"/>
          <w:sz w:val="22"/>
          <w:szCs w:val="22"/>
        </w:rPr>
        <w:t>New environmental regulations that could create disruption to operations.</w:t>
      </w:r>
    </w:p>
    <w:p w14:paraId="7C7DE374" w14:textId="77777777" w:rsidR="00687EEE" w:rsidRPr="00687EEE" w:rsidRDefault="00687EEE" w:rsidP="00687EEE">
      <w:pPr>
        <w:numPr>
          <w:ilvl w:val="0"/>
          <w:numId w:val="1"/>
        </w:numPr>
        <w:spacing w:before="100" w:beforeAutospacing="1" w:after="100" w:afterAutospacing="1" w:line="360" w:lineRule="auto"/>
        <w:jc w:val="both"/>
        <w:rPr>
          <w:rFonts w:ascii="Arial" w:hAnsi="Arial" w:cs="Arial"/>
          <w:color w:val="0A0A0A"/>
          <w:sz w:val="22"/>
          <w:szCs w:val="22"/>
        </w:rPr>
      </w:pPr>
      <w:r w:rsidRPr="00687EEE">
        <w:rPr>
          <w:rFonts w:ascii="Arial" w:hAnsi="Arial" w:cs="Arial"/>
          <w:color w:val="0A0A0A"/>
          <w:sz w:val="22"/>
          <w:szCs w:val="22"/>
        </w:rPr>
        <w:t>National protectionist measures, particularly between the U.S. and China. </w:t>
      </w:r>
    </w:p>
    <w:p w14:paraId="048BC7F7" w14:textId="77777777" w:rsidR="00687EEE" w:rsidRPr="00687EEE" w:rsidRDefault="00687EEE" w:rsidP="00687EEE">
      <w:pPr>
        <w:numPr>
          <w:ilvl w:val="0"/>
          <w:numId w:val="1"/>
        </w:numPr>
        <w:spacing w:before="100" w:beforeAutospacing="1" w:after="100" w:afterAutospacing="1" w:line="360" w:lineRule="auto"/>
        <w:jc w:val="both"/>
        <w:rPr>
          <w:rFonts w:ascii="Arial" w:hAnsi="Arial" w:cs="Arial"/>
          <w:color w:val="0A0A0A"/>
          <w:sz w:val="22"/>
          <w:szCs w:val="22"/>
        </w:rPr>
      </w:pPr>
      <w:r w:rsidRPr="00687EEE">
        <w:rPr>
          <w:rFonts w:ascii="Arial" w:hAnsi="Arial" w:cs="Arial"/>
          <w:color w:val="0A0A0A"/>
          <w:sz w:val="22"/>
          <w:szCs w:val="22"/>
        </w:rPr>
        <w:t>The potential for escalating tension over Taiwan and its political status with respect to China.</w:t>
      </w:r>
    </w:p>
    <w:p w14:paraId="0182F4B9" w14:textId="77777777" w:rsidR="00687EEE" w:rsidRPr="00687EEE" w:rsidRDefault="00687EEE" w:rsidP="00687EEE">
      <w:pPr>
        <w:numPr>
          <w:ilvl w:val="0"/>
          <w:numId w:val="1"/>
        </w:numPr>
        <w:spacing w:before="100" w:beforeAutospacing="1" w:after="100" w:afterAutospacing="1" w:line="360" w:lineRule="auto"/>
        <w:jc w:val="both"/>
        <w:rPr>
          <w:rFonts w:ascii="Arial" w:hAnsi="Arial" w:cs="Arial"/>
          <w:color w:val="0A0A0A"/>
          <w:sz w:val="22"/>
          <w:szCs w:val="22"/>
        </w:rPr>
      </w:pPr>
      <w:r w:rsidRPr="00687EEE">
        <w:rPr>
          <w:rFonts w:ascii="Arial" w:hAnsi="Arial" w:cs="Arial"/>
          <w:color w:val="0A0A0A"/>
          <w:sz w:val="22"/>
          <w:szCs w:val="22"/>
        </w:rPr>
        <w:t>Shortages of agricultural commodities.</w:t>
      </w:r>
    </w:p>
    <w:p w14:paraId="17F31435" w14:textId="77777777" w:rsidR="00687EEE" w:rsidRPr="00687EEE" w:rsidRDefault="00687EEE" w:rsidP="00687EEE">
      <w:pPr>
        <w:pStyle w:val="NormalWeb"/>
        <w:spacing w:line="360" w:lineRule="auto"/>
        <w:jc w:val="both"/>
        <w:rPr>
          <w:rFonts w:ascii="Arial" w:hAnsi="Arial" w:cs="Arial"/>
          <w:color w:val="0A0A0A"/>
          <w:sz w:val="22"/>
          <w:szCs w:val="22"/>
        </w:rPr>
      </w:pPr>
      <w:r w:rsidRPr="00687EEE">
        <w:rPr>
          <w:rFonts w:ascii="Arial" w:hAnsi="Arial" w:cs="Arial"/>
          <w:color w:val="0A0A0A"/>
          <w:sz w:val="22"/>
          <w:szCs w:val="22"/>
        </w:rPr>
        <w:lastRenderedPageBreak/>
        <w:t>In various ways, sourcing from China was a factor throughout</w:t>
      </w:r>
      <w:r w:rsidRPr="00687EEE">
        <w:rPr>
          <w:rStyle w:val="apple-converted-space"/>
          <w:rFonts w:ascii="Arial" w:eastAsiaTheme="majorEastAsia" w:hAnsi="Arial" w:cs="Arial"/>
          <w:color w:val="0A0A0A"/>
          <w:sz w:val="22"/>
          <w:szCs w:val="22"/>
        </w:rPr>
        <w:t> </w:t>
      </w:r>
      <w:proofErr w:type="spellStart"/>
      <w:r w:rsidRPr="00687EEE">
        <w:rPr>
          <w:rFonts w:ascii="Arial" w:hAnsi="Arial" w:cs="Arial"/>
          <w:color w:val="0A0A0A"/>
          <w:sz w:val="22"/>
          <w:szCs w:val="22"/>
        </w:rPr>
        <w:fldChar w:fldCharType="begin"/>
      </w:r>
      <w:r w:rsidRPr="00687EEE">
        <w:rPr>
          <w:rFonts w:ascii="Arial" w:hAnsi="Arial" w:cs="Arial"/>
          <w:color w:val="0A0A0A"/>
          <w:sz w:val="22"/>
          <w:szCs w:val="22"/>
        </w:rPr>
        <w:instrText>HYPERLINK "https://www.supplychaindive.com/news/china-sourcing-supply-chain-risks-everstream-2023/647602/"</w:instrText>
      </w:r>
      <w:r w:rsidRPr="00687EEE">
        <w:rPr>
          <w:rFonts w:ascii="Arial" w:hAnsi="Arial" w:cs="Arial"/>
          <w:color w:val="0A0A0A"/>
          <w:sz w:val="22"/>
          <w:szCs w:val="22"/>
        </w:rPr>
      </w:r>
      <w:r w:rsidRPr="00687EEE">
        <w:rPr>
          <w:rFonts w:ascii="Arial" w:hAnsi="Arial" w:cs="Arial"/>
          <w:color w:val="0A0A0A"/>
          <w:sz w:val="22"/>
          <w:szCs w:val="22"/>
        </w:rPr>
        <w:fldChar w:fldCharType="separate"/>
      </w:r>
      <w:r w:rsidRPr="00687EEE">
        <w:rPr>
          <w:rStyle w:val="Hyperlink"/>
          <w:rFonts w:ascii="Arial" w:eastAsiaTheme="majorEastAsia" w:hAnsi="Arial" w:cs="Arial"/>
          <w:color w:val="0A0A0A"/>
          <w:sz w:val="22"/>
          <w:szCs w:val="22"/>
        </w:rPr>
        <w:t>Everstream’s</w:t>
      </w:r>
      <w:proofErr w:type="spellEnd"/>
      <w:r w:rsidRPr="00687EEE">
        <w:rPr>
          <w:rStyle w:val="Hyperlink"/>
          <w:rFonts w:ascii="Arial" w:eastAsiaTheme="majorEastAsia" w:hAnsi="Arial" w:cs="Arial"/>
          <w:color w:val="0A0A0A"/>
          <w:sz w:val="22"/>
          <w:szCs w:val="22"/>
        </w:rPr>
        <w:t xml:space="preserve"> entire risk list</w:t>
      </w:r>
      <w:r w:rsidRPr="00687EEE">
        <w:rPr>
          <w:rFonts w:ascii="Arial" w:hAnsi="Arial" w:cs="Arial"/>
          <w:color w:val="0A0A0A"/>
          <w:sz w:val="22"/>
          <w:szCs w:val="22"/>
        </w:rPr>
        <w:fldChar w:fldCharType="end"/>
      </w:r>
      <w:r w:rsidRPr="00687EEE">
        <w:rPr>
          <w:rStyle w:val="apple-converted-space"/>
          <w:rFonts w:ascii="Arial" w:eastAsiaTheme="majorEastAsia" w:hAnsi="Arial" w:cs="Arial"/>
          <w:color w:val="0A0A0A"/>
          <w:sz w:val="22"/>
          <w:szCs w:val="22"/>
        </w:rPr>
        <w:t> </w:t>
      </w:r>
      <w:r w:rsidRPr="00687EEE">
        <w:rPr>
          <w:rFonts w:ascii="Arial" w:hAnsi="Arial" w:cs="Arial"/>
          <w:color w:val="0A0A0A"/>
          <w:sz w:val="22"/>
          <w:szCs w:val="22"/>
        </w:rPr>
        <w:t>for the previous year. </w:t>
      </w:r>
      <w:r w:rsidRPr="00687EEE">
        <w:rPr>
          <w:rStyle w:val="apple-converted-space"/>
          <w:rFonts w:ascii="Arial" w:eastAsiaTheme="majorEastAsia" w:hAnsi="Arial" w:cs="Arial"/>
          <w:color w:val="0A0A0A"/>
          <w:sz w:val="22"/>
          <w:szCs w:val="22"/>
        </w:rPr>
        <w:t> </w:t>
      </w:r>
      <w:r w:rsidRPr="00687EEE">
        <w:rPr>
          <w:rFonts w:ascii="Arial" w:hAnsi="Arial" w:cs="Arial"/>
          <w:color w:val="0A0A0A"/>
          <w:sz w:val="22"/>
          <w:szCs w:val="22"/>
        </w:rPr>
        <w:t xml:space="preserve">In this year’s report, </w:t>
      </w:r>
      <w:proofErr w:type="spellStart"/>
      <w:r w:rsidRPr="00687EEE">
        <w:rPr>
          <w:rFonts w:ascii="Arial" w:hAnsi="Arial" w:cs="Arial"/>
          <w:color w:val="0A0A0A"/>
          <w:sz w:val="22"/>
          <w:szCs w:val="22"/>
        </w:rPr>
        <w:t>Everstream</w:t>
      </w:r>
      <w:proofErr w:type="spellEnd"/>
      <w:r w:rsidRPr="00687EEE">
        <w:rPr>
          <w:rFonts w:ascii="Arial" w:hAnsi="Arial" w:cs="Arial"/>
          <w:color w:val="0A0A0A"/>
          <w:sz w:val="22"/>
          <w:szCs w:val="22"/>
        </w:rPr>
        <w:t xml:space="preserve"> pointed to the skyrocketing number of firms banned by China starting in 2017, which is continuing to ascend in 2023.</w:t>
      </w:r>
      <w:r w:rsidRPr="00687EEE">
        <w:rPr>
          <w:rStyle w:val="apple-converted-space"/>
          <w:rFonts w:ascii="Arial" w:eastAsiaTheme="majorEastAsia" w:hAnsi="Arial" w:cs="Arial"/>
          <w:color w:val="0A0A0A"/>
          <w:sz w:val="22"/>
          <w:szCs w:val="22"/>
        </w:rPr>
        <w:t> </w:t>
      </w:r>
      <w:r w:rsidRPr="00687EEE">
        <w:rPr>
          <w:rFonts w:ascii="Arial" w:hAnsi="Arial" w:cs="Arial"/>
          <w:color w:val="0A0A0A"/>
          <w:sz w:val="22"/>
          <w:szCs w:val="22"/>
        </w:rPr>
        <w:t>The analytics firm also pointed to the continued outsized role China plays in the sourcing base for companies, including Apple.</w:t>
      </w:r>
    </w:p>
    <w:p w14:paraId="16C712A6" w14:textId="77777777" w:rsidR="00687EEE" w:rsidRPr="00687EEE" w:rsidRDefault="00687EEE" w:rsidP="00687EEE">
      <w:pPr>
        <w:spacing w:line="360" w:lineRule="auto"/>
        <w:jc w:val="both"/>
        <w:rPr>
          <w:rFonts w:ascii="Arial" w:hAnsi="Arial" w:cs="Arial"/>
          <w:sz w:val="22"/>
          <w:szCs w:val="22"/>
        </w:rPr>
      </w:pPr>
    </w:p>
    <w:p w14:paraId="3B7C5EBA" w14:textId="77777777" w:rsidR="00687EEE" w:rsidRPr="00687EEE" w:rsidRDefault="00687EEE" w:rsidP="00687EEE">
      <w:pPr>
        <w:spacing w:line="360" w:lineRule="auto"/>
        <w:jc w:val="both"/>
        <w:rPr>
          <w:rFonts w:ascii="Arial" w:hAnsi="Arial" w:cs="Arial"/>
          <w:sz w:val="22"/>
          <w:szCs w:val="22"/>
        </w:rPr>
      </w:pPr>
    </w:p>
    <w:sectPr w:rsidR="00687EEE" w:rsidRPr="0068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4F6352"/>
    <w:multiLevelType w:val="multilevel"/>
    <w:tmpl w:val="149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198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EE"/>
    <w:rsid w:val="002B2565"/>
    <w:rsid w:val="00687E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F2C791"/>
  <w15:chartTrackingRefBased/>
  <w15:docId w15:val="{D738639B-A3FD-154E-AA08-77AA3844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E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E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E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E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E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E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E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E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E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E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EEE"/>
    <w:rPr>
      <w:rFonts w:eastAsiaTheme="majorEastAsia" w:cstheme="majorBidi"/>
      <w:color w:val="272727" w:themeColor="text1" w:themeTint="D8"/>
    </w:rPr>
  </w:style>
  <w:style w:type="paragraph" w:styleId="Title">
    <w:name w:val="Title"/>
    <w:basedOn w:val="Normal"/>
    <w:next w:val="Normal"/>
    <w:link w:val="TitleChar"/>
    <w:uiPriority w:val="10"/>
    <w:qFormat/>
    <w:rsid w:val="0068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EEE"/>
    <w:pPr>
      <w:spacing w:before="160"/>
      <w:jc w:val="center"/>
    </w:pPr>
    <w:rPr>
      <w:i/>
      <w:iCs/>
      <w:color w:val="404040" w:themeColor="text1" w:themeTint="BF"/>
    </w:rPr>
  </w:style>
  <w:style w:type="character" w:customStyle="1" w:styleId="QuoteChar">
    <w:name w:val="Quote Char"/>
    <w:basedOn w:val="DefaultParagraphFont"/>
    <w:link w:val="Quote"/>
    <w:uiPriority w:val="29"/>
    <w:rsid w:val="00687EEE"/>
    <w:rPr>
      <w:i/>
      <w:iCs/>
      <w:color w:val="404040" w:themeColor="text1" w:themeTint="BF"/>
    </w:rPr>
  </w:style>
  <w:style w:type="paragraph" w:styleId="ListParagraph">
    <w:name w:val="List Paragraph"/>
    <w:basedOn w:val="Normal"/>
    <w:uiPriority w:val="34"/>
    <w:qFormat/>
    <w:rsid w:val="00687EEE"/>
    <w:pPr>
      <w:ind w:left="720"/>
      <w:contextualSpacing/>
    </w:pPr>
  </w:style>
  <w:style w:type="character" w:styleId="IntenseEmphasis">
    <w:name w:val="Intense Emphasis"/>
    <w:basedOn w:val="DefaultParagraphFont"/>
    <w:uiPriority w:val="21"/>
    <w:qFormat/>
    <w:rsid w:val="00687EEE"/>
    <w:rPr>
      <w:i/>
      <w:iCs/>
      <w:color w:val="0F4761" w:themeColor="accent1" w:themeShade="BF"/>
    </w:rPr>
  </w:style>
  <w:style w:type="paragraph" w:styleId="IntenseQuote">
    <w:name w:val="Intense Quote"/>
    <w:basedOn w:val="Normal"/>
    <w:next w:val="Normal"/>
    <w:link w:val="IntenseQuoteChar"/>
    <w:uiPriority w:val="30"/>
    <w:qFormat/>
    <w:rsid w:val="00687E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EEE"/>
    <w:rPr>
      <w:i/>
      <w:iCs/>
      <w:color w:val="0F4761" w:themeColor="accent1" w:themeShade="BF"/>
    </w:rPr>
  </w:style>
  <w:style w:type="character" w:styleId="IntenseReference">
    <w:name w:val="Intense Reference"/>
    <w:basedOn w:val="DefaultParagraphFont"/>
    <w:uiPriority w:val="32"/>
    <w:qFormat/>
    <w:rsid w:val="00687EEE"/>
    <w:rPr>
      <w:b/>
      <w:bCs/>
      <w:smallCaps/>
      <w:color w:val="0F4761" w:themeColor="accent1" w:themeShade="BF"/>
      <w:spacing w:val="5"/>
    </w:rPr>
  </w:style>
  <w:style w:type="character" w:styleId="Hyperlink">
    <w:name w:val="Hyperlink"/>
    <w:basedOn w:val="DefaultParagraphFont"/>
    <w:uiPriority w:val="99"/>
    <w:unhideWhenUsed/>
    <w:rsid w:val="00687EEE"/>
    <w:rPr>
      <w:color w:val="467886" w:themeColor="hyperlink"/>
      <w:u w:val="single"/>
    </w:rPr>
  </w:style>
  <w:style w:type="character" w:styleId="UnresolvedMention">
    <w:name w:val="Unresolved Mention"/>
    <w:basedOn w:val="DefaultParagraphFont"/>
    <w:uiPriority w:val="99"/>
    <w:semiHidden/>
    <w:unhideWhenUsed/>
    <w:rsid w:val="00687EEE"/>
    <w:rPr>
      <w:color w:val="605E5C"/>
      <w:shd w:val="clear" w:color="auto" w:fill="E1DFDD"/>
    </w:rPr>
  </w:style>
  <w:style w:type="paragraph" w:styleId="NormalWeb">
    <w:name w:val="Normal (Web)"/>
    <w:basedOn w:val="Normal"/>
    <w:uiPriority w:val="99"/>
    <w:semiHidden/>
    <w:unhideWhenUsed/>
    <w:rsid w:val="00687EE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687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133310">
      <w:bodyDiv w:val="1"/>
      <w:marLeft w:val="0"/>
      <w:marRight w:val="0"/>
      <w:marTop w:val="0"/>
      <w:marBottom w:val="0"/>
      <w:divBdr>
        <w:top w:val="none" w:sz="0" w:space="0" w:color="auto"/>
        <w:left w:val="none" w:sz="0" w:space="0" w:color="auto"/>
        <w:bottom w:val="none" w:sz="0" w:space="0" w:color="auto"/>
        <w:right w:val="none" w:sz="0" w:space="0" w:color="auto"/>
      </w:divBdr>
    </w:div>
    <w:div w:id="455833116">
      <w:bodyDiv w:val="1"/>
      <w:marLeft w:val="0"/>
      <w:marRight w:val="0"/>
      <w:marTop w:val="0"/>
      <w:marBottom w:val="0"/>
      <w:divBdr>
        <w:top w:val="none" w:sz="0" w:space="0" w:color="auto"/>
        <w:left w:val="none" w:sz="0" w:space="0" w:color="auto"/>
        <w:bottom w:val="none" w:sz="0" w:space="0" w:color="auto"/>
        <w:right w:val="none" w:sz="0" w:space="0" w:color="auto"/>
      </w:divBdr>
    </w:div>
    <w:div w:id="4828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ufacturingdive.com/news/pfizer-restarts-majority-production-rocky-mount-north-carolina-tornado-drug-supply/694746/" TargetMode="External"/><Relationship Id="rId3" Type="http://schemas.openxmlformats.org/officeDocument/2006/relationships/settings" Target="settings.xml"/><Relationship Id="rId7" Type="http://schemas.openxmlformats.org/officeDocument/2006/relationships/hyperlink" Target="https://www.cnn.com/2023/08/19/business/olive-oil-food-crisis-climate-change-intl/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stream.ai/special-reports/2024-supply-chain-annual-risk-report/" TargetMode="External"/><Relationship Id="rId11" Type="http://schemas.openxmlformats.org/officeDocument/2006/relationships/fontTable" Target="fontTable.xml"/><Relationship Id="rId5" Type="http://schemas.openxmlformats.org/officeDocument/2006/relationships/hyperlink" Target="https://www.supplychaindive.com/news/extreme-weather--top-supply-chain-risk-2024-everstream-climate-change-food-shortages/704232/" TargetMode="External"/><Relationship Id="rId10" Type="http://schemas.openxmlformats.org/officeDocument/2006/relationships/hyperlink" Target="https://www.supplychaindive.com/news/panama-canal-restrictions-continue-until-2024/698812/" TargetMode="External"/><Relationship Id="rId4" Type="http://schemas.openxmlformats.org/officeDocument/2006/relationships/webSettings" Target="webSettings.xml"/><Relationship Id="rId9" Type="http://schemas.openxmlformats.org/officeDocument/2006/relationships/hyperlink" Target="https://www.supplychaindive.com/news/mississippi-low-water-levels-drought-barge-shipping-rates/692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2025-05-31T15:58:00Z</dcterms:created>
  <dcterms:modified xsi:type="dcterms:W3CDTF">2025-05-31T16:03:00Z</dcterms:modified>
</cp:coreProperties>
</file>