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88"/>
          <w:szCs w:val="88"/>
        </w:rPr>
        <w:t xml:space="preserve"/>
      </w:r>
    </w:p>
    <w:p>
      <w:pPr>
        <w:spacing w:after="200" w:before="0"/>
        <w:jc w:val="center"/>
      </w:pPr>
      <w:r>
        <w:rPr>
          <w:rFonts w:ascii="Arial" w:cs="Arial" w:eastAsia="Arial" w:hAnsi="Arial"/>
          <w:b/>
          <w:bCs/>
          <w:color w:val="1F4E79"/>
          <w:sz w:val="48"/>
          <w:szCs w:val="48"/>
        </w:rPr>
        <w:t xml:space="preserve">FRAUD DETECTION MLOPS SYSTEM</w:t>
      </w:r>
    </w:p>
    <w:p>
      <w:pPr>
        <w:spacing w:after="160" w:before="0"/>
        <w:jc w:val="center"/>
      </w:pPr>
      <w:r>
        <w:rPr>
          <w:rFonts w:ascii="Arial" w:cs="Arial" w:eastAsia="Arial" w:hAnsi="Arial"/>
          <w:i/>
          <w:iCs/>
          <w:color w:val="2E75B6"/>
          <w:sz w:val="26"/>
          <w:szCs w:val="26"/>
        </w:rPr>
        <w:t xml:space="preserve">A Production-Grade MLOps Pipeline for Financial Fraud Detection</w:t>
      </w:r>
    </w:p>
    <w:p>
      <w:pPr>
        <w:pBdr>
          <w:bottom w:val="single" w:color="2E75B6" w:sz="4" w:space="1"/>
        </w:pBdr>
        <w:spacing w:after="120" w:before="120"/>
      </w:pPr>
      <w:r>
        <w:t xml:space="preserve"/>
      </w:r>
    </w:p>
    <w:p>
      <w:pPr>
        <w:spacing w:after="0" w:before="0"/>
      </w:pPr>
      <w:r>
        <w:rPr>
          <w:sz w:val="44"/>
          <w:szCs w:val="44"/>
        </w:rPr>
        <w:t xml:space="preserve"/>
      </w:r>
    </w:p>
    <w:p>
      <w:pPr>
        <w:spacing w:after="80" w:before="80"/>
        <w:jc w:val="center"/>
      </w:pPr>
      <w:r>
        <w:rPr>
          <w:rFonts w:ascii="Arial" w:cs="Arial" w:eastAsia="Arial" w:hAnsi="Arial"/>
          <w:b/>
          <w:bCs/>
          <w:sz w:val="28"/>
          <w:szCs w:val="28"/>
        </w:rPr>
        <w:t xml:space="preserve">Research Report</w:t>
      </w:r>
    </w:p>
    <w:p>
      <w:pPr>
        <w:spacing w:after="80" w:before="80"/>
        <w:jc w:val="center"/>
      </w:pPr>
      <w:r>
        <w:rPr>
          <w:rFonts w:ascii="Arial" w:cs="Arial" w:eastAsia="Arial" w:hAnsi="Arial"/>
          <w:sz w:val="22"/>
          <w:szCs w:val="22"/>
        </w:rPr>
        <w:t xml:space="preserve">Assignment #04 | MLOps | BS Data Science</w:t>
      </w:r>
    </w:p>
    <w:p>
      <w:pPr>
        <w:spacing w:after="80" w:before="80"/>
        <w:jc w:val="center"/>
      </w:pPr>
      <w:r>
        <w:rPr>
          <w:rFonts w:ascii="Arial" w:cs="Arial" w:eastAsia="Arial" w:hAnsi="Arial"/>
          <w:b/>
          <w:bCs/>
          <w:color w:val="C00000"/>
          <w:sz w:val="22"/>
          <w:szCs w:val="22"/>
        </w:rPr>
        <w:t xml:space="preserve">Deadline: April 25, 2026</w:t>
      </w:r>
    </w:p>
    <w:p>
      <w:pPr>
        <w:spacing w:after="0" w:before="0"/>
      </w:pPr>
      <w:r>
        <w:rPr>
          <w:sz w:val="44"/>
          <w:szCs w:val="44"/>
        </w:rPr>
        <w:t xml:space="preserve"/>
      </w:r>
    </w:p>
    <w:p>
      <w:pPr>
        <w:spacing w:after="80" w:before="80"/>
        <w:jc w:val="center"/>
      </w:pPr>
      <w:r>
        <w:rPr>
          <w:rFonts w:ascii="Arial" w:cs="Arial" w:eastAsia="Arial" w:hAnsi="Arial"/>
          <w:sz w:val="22"/>
          <w:szCs w:val="22"/>
        </w:rPr>
        <w:t xml:space="preserve">Dataset: IEEE CIS Fraud Detection (Kaggle)</w:t>
      </w:r>
    </w:p>
    <w:p>
      <w:pPr>
        <w:spacing w:after="80" w:before="80"/>
        <w:jc w:val="center"/>
      </w:pPr>
      <w:r>
        <w:rPr>
          <w:rFonts w:ascii="Arial" w:cs="Arial" w:eastAsia="Arial" w:hAnsi="Arial"/>
          <w:color w:val="2E75B6"/>
          <w:sz w:val="22"/>
          <w:szCs w:val="22"/>
        </w:rPr>
        <w:t xml:space="preserve">GitHub: https://github.com/AitazazKamran/fraud-detection-mlops</w:t>
      </w:r>
    </w:p>
    <w:p>
      <w:pPr>
        <w:spacing w:after="0" w:before="0"/>
      </w:pPr>
      <w:r>
        <w:rPr>
          <w:sz w:val="132"/>
          <w:szCs w:val="132"/>
        </w:rPr>
        <w:t xml:space="preserve"/>
      </w:r>
    </w:p>
    <w:p>
      <w:pPr>
        <w:jc w:val="center"/>
      </w:pPr>
      <w:r>
        <w:rPr>
          <w:rFonts w:ascii="Arial" w:cs="Arial" w:eastAsia="Arial" w:hAnsi="Arial"/>
          <w:b/>
          <w:bCs/>
          <w:sz w:val="24"/>
          <w:szCs w:val="24"/>
        </w:rPr>
        <w:t xml:space="preserve">Submitted by: Aitazaz Kamran</w:t>
      </w:r>
    </w:p>
    <w:p>
      <w:r>
        <w:br w:type="page"/>
      </w:r>
    </w:p>
    <w:p>
      <w:pPr>
        <w:pStyle w:val="Heading1"/>
        <w:spacing w:after="160" w:before="320"/>
      </w:pPr>
      <w:r>
        <w:rPr>
          <w:rFonts w:ascii="Arial" w:cs="Arial" w:eastAsia="Arial" w:hAnsi="Arial"/>
          <w:b/>
          <w:bCs/>
          <w:color w:val="1F4E79"/>
          <w:sz w:val="32"/>
          <w:szCs w:val="32"/>
        </w:rPr>
        <w:t xml:space="preserve">Abstract</w:t>
      </w:r>
    </w:p>
    <w:p>
      <w:pPr>
        <w:pBdr>
          <w:bottom w:val="single" w:color="2E75B6" w:sz="4" w:space="1"/>
        </w:pBdr>
        <w:spacing w:after="120" w:before="120"/>
      </w:pPr>
      <w:r>
        <w:t xml:space="preserve"/>
      </w:r>
    </w:p>
    <w:p>
      <w:pPr>
        <w:spacing w:after="120" w:before="80"/>
        <w:jc w:val="both"/>
      </w:pPr>
      <w:r>
        <w:rPr>
          <w:rFonts w:ascii="Arial" w:cs="Arial" w:eastAsia="Arial" w:hAnsi="Arial"/>
          <w:sz w:val="22"/>
          <w:szCs w:val="22"/>
        </w:rPr>
        <w:t xml:space="preserve">This report presents the design and implementation of a complete MLOps pipeline for financial fraud detection using the IEEE CIS Fraud Detection dataset. The system addresses three core production requirements: maintaining high recall for fraud cases, scaling under high transaction volume, and responding automatically to model performance degradation. The pipeline integrates Kubeflow for orchestration, XGBoost and LightGBM ensemble models with hybrid feature selection, Prometheus and Grafana for real-time observability, and a four-stage GitHub Actions CI/CD workflow. Results demonstrate an AUC-ROC of 0.9350 and fraud recall of 82.89% on the held-out test set. SHAP analysis identifies DeviceInfo, V258, and email domain as the strongest fraud signals. The system successfully detects drift, triggers intelligent retraining, and maintains recall above the 0.75 production threshold across all simulated time windows.</w:t>
      </w:r>
    </w:p>
    <w:p>
      <w:pPr>
        <w:spacing w:after="0" w:before="0"/>
      </w:pPr>
      <w:r>
        <w:rPr>
          <w:sz w:val="22"/>
          <w:szCs w:val="22"/>
        </w:rPr>
        <w:t xml:space="preserve"/>
      </w:r>
    </w:p>
    <w:p>
      <w:r>
        <w:br w:type="page"/>
      </w:r>
    </w:p>
    <w:p>
      <w:pPr>
        <w:pStyle w:val="Heading1"/>
        <w:spacing w:after="160" w:before="320"/>
      </w:pPr>
      <w:r>
        <w:rPr>
          <w:rFonts w:ascii="Arial" w:cs="Arial" w:eastAsia="Arial" w:hAnsi="Arial"/>
          <w:b/>
          <w:bCs/>
          <w:color w:val="1F4E79"/>
          <w:sz w:val="32"/>
          <w:szCs w:val="32"/>
        </w:rPr>
        <w:t xml:space="preserve">1. Introduction</w:t>
      </w:r>
    </w:p>
    <w:p>
      <w:pPr>
        <w:pBdr>
          <w:bottom w:val="single" w:color="2E75B6" w:sz="4" w:space="1"/>
        </w:pBdr>
        <w:spacing w:after="120" w:before="120"/>
      </w:pPr>
      <w:r>
        <w:t xml:space="preserve"/>
      </w:r>
    </w:p>
    <w:p>
      <w:pPr>
        <w:spacing w:after="120" w:before="80"/>
        <w:jc w:val="both"/>
      </w:pPr>
      <w:r>
        <w:rPr>
          <w:rFonts w:ascii="Arial" w:cs="Arial" w:eastAsia="Arial" w:hAnsi="Arial"/>
          <w:sz w:val="22"/>
          <w:szCs w:val="22"/>
        </w:rPr>
        <w:t xml:space="preserve">Financial fraud causes significant losses to institutions and consumers worldwide. Automated fraud detection systems must balance two competing objectives: maximising recall to catch as many fraudulent transactions as possible, while controlling the false positive rate to avoid inconveniencing legitimate customers. This assignment implements a complete MLOps pipeline that addresses both objectives within a production-grade architecture.</w:t>
      </w:r>
    </w:p>
    <w:p>
      <w:pPr>
        <w:spacing w:after="120" w:before="80"/>
        <w:jc w:val="both"/>
      </w:pPr>
      <w:r>
        <w:rPr>
          <w:rFonts w:ascii="Arial" w:cs="Arial" w:eastAsia="Arial" w:hAnsi="Arial"/>
          <w:sz w:val="22"/>
          <w:szCs w:val="22"/>
        </w:rPr>
        <w:t xml:space="preserve">The IEEE CIS Fraud Detection dataset provides 590,540 transactions with 434 features after merging the transaction and identity tables, making it representative of real-world production scale. The fraud rate is approximately 3.5%, creating a highly imbalanced classification problem. The system is built on Kubeflow Pipelines running on Minikube, with Docker-containerised components, GitHub Actions for CI/CD, and a Prometheus and Grafana monitoring stack.</w:t>
      </w:r>
    </w:p>
    <w:p>
      <w:pPr>
        <w:pStyle w:val="Heading2"/>
        <w:spacing w:after="120" w:before="240"/>
      </w:pPr>
      <w:r>
        <w:rPr>
          <w:rFonts w:ascii="Arial" w:cs="Arial" w:eastAsia="Arial" w:hAnsi="Arial"/>
          <w:b/>
          <w:bCs/>
          <w:color w:val="2E75B6"/>
          <w:sz w:val="26"/>
          <w:szCs w:val="26"/>
        </w:rPr>
        <w:t xml:space="preserve">1.1 Objectives</w:t>
      </w:r>
    </w:p>
    <w:p>
      <w:pPr>
        <w:pStyle w:val="ListParagraph"/>
        <w:numPr>
          <w:ilvl w:val="0"/>
          <w:numId w:val="2"/>
        </w:numPr>
        <w:spacing w:after="40" w:before="40"/>
      </w:pPr>
      <w:r>
        <w:rPr>
          <w:rFonts w:ascii="Arial" w:cs="Arial" w:eastAsia="Arial" w:hAnsi="Arial"/>
          <w:sz w:val="22"/>
          <w:szCs w:val="22"/>
        </w:rPr>
        <w:t xml:space="preserve">Maintain high recall for fraud cases (target: &gt; 75%)</w:t>
      </w:r>
    </w:p>
    <w:p>
      <w:pPr>
        <w:pStyle w:val="ListParagraph"/>
        <w:numPr>
          <w:ilvl w:val="0"/>
          <w:numId w:val="2"/>
        </w:numPr>
        <w:spacing w:after="40" w:before="40"/>
      </w:pPr>
      <w:r>
        <w:rPr>
          <w:rFonts w:ascii="Arial" w:cs="Arial" w:eastAsia="Arial" w:hAnsi="Arial"/>
          <w:sz w:val="22"/>
          <w:szCs w:val="22"/>
        </w:rPr>
        <w:t xml:space="preserve">Scale pipeline to handle 590,540+ transactions</w:t>
      </w:r>
    </w:p>
    <w:p>
      <w:pPr>
        <w:pStyle w:val="ListParagraph"/>
        <w:numPr>
          <w:ilvl w:val="0"/>
          <w:numId w:val="2"/>
        </w:numPr>
        <w:spacing w:after="40" w:before="40"/>
      </w:pPr>
      <w:r>
        <w:rPr>
          <w:rFonts w:ascii="Arial" w:cs="Arial" w:eastAsia="Arial" w:hAnsi="Arial"/>
          <w:sz w:val="22"/>
          <w:szCs w:val="22"/>
        </w:rPr>
        <w:t xml:space="preserve">Detect and respond automatically to performance degradation</w:t>
      </w:r>
    </w:p>
    <w:p>
      <w:pPr>
        <w:pStyle w:val="ListParagraph"/>
        <w:numPr>
          <w:ilvl w:val="0"/>
          <w:numId w:val="2"/>
        </w:numPr>
        <w:spacing w:after="40" w:before="40"/>
      </w:pPr>
      <w:r>
        <w:rPr>
          <w:rFonts w:ascii="Arial" w:cs="Arial" w:eastAsia="Arial" w:hAnsi="Arial"/>
          <w:sz w:val="22"/>
          <w:szCs w:val="22"/>
        </w:rPr>
        <w:t xml:space="preserve">Provide explainable predictions for regulatory compliance</w:t>
      </w:r>
    </w:p>
    <w:p>
      <w:pPr>
        <w:pStyle w:val="ListParagraph"/>
        <w:numPr>
          <w:ilvl w:val="0"/>
          <w:numId w:val="2"/>
        </w:numPr>
        <w:spacing w:after="40" w:before="40"/>
      </w:pPr>
      <w:r>
        <w:rPr>
          <w:rFonts w:ascii="Arial" w:cs="Arial" w:eastAsia="Arial" w:hAnsi="Arial"/>
          <w:sz w:val="22"/>
          <w:szCs w:val="22"/>
        </w:rPr>
        <w:t xml:space="preserve">Demonstrate end-to-end MLOps best practices across all 9 tasks</w:t>
      </w:r>
    </w:p>
    <w:p>
      <w:pPr>
        <w:spacing w:after="0" w:before="0"/>
      </w:pPr>
      <w:r>
        <w:rPr>
          <w:sz w:val="22"/>
          <w:szCs w:val="22"/>
        </w:rPr>
        <w:t xml:space="preserve"/>
      </w:r>
    </w:p>
    <w:p>
      <w:pPr>
        <w:pStyle w:val="Heading2"/>
        <w:spacing w:after="120" w:before="240"/>
      </w:pPr>
      <w:r>
        <w:rPr>
          <w:rFonts w:ascii="Arial" w:cs="Arial" w:eastAsia="Arial" w:hAnsi="Arial"/>
          <w:b/>
          <w:bCs/>
          <w:color w:val="2E75B6"/>
          <w:sz w:val="26"/>
          <w:szCs w:val="26"/>
        </w:rPr>
        <w:t xml:space="preserve">1.2 Dataset Overview</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500"/>
        <w:gridCol w:w="5800"/>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Property</w:t>
            </w:r>
          </w:p>
        </w:tc>
        <w:tc>
          <w:tcPr>
            <w:tcW w:type="dxa" w:w="5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Source</w:t>
            </w:r>
          </w:p>
        </w:tc>
        <w:tc>
          <w:tcPr>
            <w:tcW w:type="dxa" w:w="5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Kaggle — IEEE CIS Fraud Detection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Total Transactions</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590,540</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Features (after merge)</w:t>
            </w:r>
          </w:p>
        </w:tc>
        <w:tc>
          <w:tcPr>
            <w:tcW w:type="dxa" w:w="5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434</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Fraud Rate</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3.5% (~20,663 fraud cases)</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Primary Metric</w:t>
            </w:r>
          </w:p>
        </w:tc>
        <w:tc>
          <w:tcPr>
            <w:tcW w:type="dxa" w:w="5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AUC-ROC + Fraud Recall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Time Span</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86,400 to 15,811,131 seconds (TransactionDT)</w:t>
            </w:r>
          </w:p>
        </w:tc>
      </w:tr>
    </w:tbl>
    <w:p>
      <w:pPr>
        <w:spacing w:after="0" w:before="0"/>
      </w:pPr>
      <w:r>
        <w:rPr>
          <w:sz w:val="22"/>
          <w:szCs w:val="22"/>
        </w:rPr>
        <w:t xml:space="preserve"/>
      </w:r>
    </w:p>
    <w:p>
      <w:r>
        <w:br w:type="page"/>
      </w:r>
    </w:p>
    <w:p>
      <w:pPr>
        <w:pStyle w:val="Heading1"/>
        <w:spacing w:after="160" w:before="320"/>
      </w:pPr>
      <w:r>
        <w:rPr>
          <w:rFonts w:ascii="Arial" w:cs="Arial" w:eastAsia="Arial" w:hAnsi="Arial"/>
          <w:b/>
          <w:bCs/>
          <w:color w:val="1F4E79"/>
          <w:sz w:val="32"/>
          <w:szCs w:val="32"/>
        </w:rPr>
        <w:t xml:space="preserve">2. System Architecture</w:t>
      </w:r>
    </w:p>
    <w:p>
      <w:pPr>
        <w:pBdr>
          <w:bottom w:val="single" w:color="2E75B6" w:sz="4" w:space="1"/>
        </w:pBdr>
        <w:spacing w:after="120" w:before="120"/>
      </w:pPr>
      <w:r>
        <w:t xml:space="preserve"/>
      </w:r>
    </w:p>
    <w:p>
      <w:pPr>
        <w:spacing w:after="120" w:before="80"/>
        <w:jc w:val="both"/>
      </w:pPr>
      <w:r>
        <w:rPr>
          <w:rFonts w:ascii="Arial" w:cs="Arial" w:eastAsia="Arial" w:hAnsi="Arial"/>
          <w:sz w:val="22"/>
          <w:szCs w:val="22"/>
        </w:rPr>
        <w:t xml:space="preserve">The system follows a layered MLOps architecture where each layer communicates through well-defined interfaces. The data layer ingests raw CSV files; the orchestration layer manages the Kubeflow pipeline; the serving layer exposes predictions via a Flask REST API; and the observability layer continuously monitors system and model health.</w:t>
      </w:r>
    </w:p>
    <w:p>
      <w:pPr>
        <w:pStyle w:val="Heading2"/>
        <w:spacing w:after="120" w:before="240"/>
      </w:pPr>
      <w:r>
        <w:rPr>
          <w:rFonts w:ascii="Arial" w:cs="Arial" w:eastAsia="Arial" w:hAnsi="Arial"/>
          <w:b/>
          <w:bCs/>
          <w:color w:val="2E75B6"/>
          <w:sz w:val="26"/>
          <w:szCs w:val="26"/>
        </w:rPr>
        <w:t xml:space="preserve">2.1 Technology Stack</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0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Language</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Python</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3.13.4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ML Orchestration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Kubeflow Pipelines (KFP)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v2.5.0</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Kubernetes</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Minikube</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v1.38.1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Container Runtime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Docker Desktop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v4.61.0</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Gradient Boosting</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XGBoost + LightGBM</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Latest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Explainability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SHAP TreeExplainer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Latest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Monitoring</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Prometheus + Grafana</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v2.51.0 + v10.4.0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CI/CD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GitHub Actions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Imbalance Handling</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RandomUnderSampler</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imbalanced-learn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API Framework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Flask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Latest</w:t>
            </w:r>
          </w:p>
        </w:tc>
      </w:tr>
    </w:tbl>
    <w:p>
      <w:pPr>
        <w:spacing w:after="0" w:before="0"/>
      </w:pPr>
      <w:r>
        <w:rPr>
          <w:sz w:val="22"/>
          <w:szCs w:val="22"/>
        </w:rPr>
        <w:t xml:space="preserve"/>
      </w:r>
    </w:p>
    <w:p>
      <w:pPr>
        <w:pStyle w:val="Heading2"/>
        <w:spacing w:after="120" w:before="240"/>
      </w:pPr>
      <w:r>
        <w:rPr>
          <w:rFonts w:ascii="Arial" w:cs="Arial" w:eastAsia="Arial" w:hAnsi="Arial"/>
          <w:b/>
          <w:bCs/>
          <w:color w:val="2E75B6"/>
          <w:sz w:val="26"/>
          <w:szCs w:val="26"/>
        </w:rPr>
        <w:t xml:space="preserve">2.2 Pipeline Architecture</w:t>
      </w:r>
    </w:p>
    <w:p>
      <w:pPr>
        <w:spacing w:after="120" w:before="80"/>
        <w:jc w:val="both"/>
      </w:pPr>
      <w:r>
        <w:rPr>
          <w:rFonts w:ascii="Arial" w:cs="Arial" w:eastAsia="Arial" w:hAnsi="Arial"/>
          <w:sz w:val="22"/>
          <w:szCs w:val="22"/>
        </w:rPr>
        <w:t xml:space="preserve">The Kubeflow pipeline consists of seven sequential components, each implemented as a containerised Python function:</w:t>
      </w:r>
    </w:p>
    <w:p>
      <w:pPr>
        <w:pStyle w:val="ListParagraph"/>
        <w:numPr>
          <w:ilvl w:val="0"/>
          <w:numId w:val="2"/>
        </w:numPr>
        <w:spacing w:after="40" w:before="40"/>
      </w:pPr>
      <w:r>
        <w:rPr>
          <w:rFonts w:ascii="Arial" w:cs="Arial" w:eastAsia="Arial" w:hAnsi="Arial"/>
          <w:sz w:val="22"/>
          <w:szCs w:val="22"/>
        </w:rPr>
        <w:t xml:space="preserve">Data Ingestion — loads and merges train_transaction.csv and train_identity.csv</w:t>
      </w:r>
    </w:p>
    <w:p>
      <w:pPr>
        <w:pStyle w:val="ListParagraph"/>
        <w:numPr>
          <w:ilvl w:val="0"/>
          <w:numId w:val="2"/>
        </w:numPr>
        <w:spacing w:after="40" w:before="40"/>
      </w:pPr>
      <w:r>
        <w:rPr>
          <w:rFonts w:ascii="Arial" w:cs="Arial" w:eastAsia="Arial" w:hAnsi="Arial"/>
          <w:sz w:val="22"/>
          <w:szCs w:val="22"/>
        </w:rPr>
        <w:t xml:space="preserve">Data Validation — checks schema, missing rate thresholds, and fraud rate sanity</w:t>
      </w:r>
    </w:p>
    <w:p>
      <w:pPr>
        <w:pStyle w:val="ListParagraph"/>
        <w:numPr>
          <w:ilvl w:val="0"/>
          <w:numId w:val="2"/>
        </w:numPr>
        <w:spacing w:after="40" w:before="40"/>
      </w:pPr>
      <w:r>
        <w:rPr>
          <w:rFonts w:ascii="Arial" w:cs="Arial" w:eastAsia="Arial" w:hAnsi="Arial"/>
          <w:sz w:val="22"/>
          <w:szCs w:val="22"/>
        </w:rPr>
        <w:t xml:space="preserve">Preprocessing — drops high-missing columns, imputes medians, encodes categoricals</w:t>
      </w:r>
    </w:p>
    <w:p>
      <w:pPr>
        <w:pStyle w:val="ListParagraph"/>
        <w:numPr>
          <w:ilvl w:val="0"/>
          <w:numId w:val="2"/>
        </w:numPr>
        <w:spacing w:after="40" w:before="40"/>
      </w:pPr>
      <w:r>
        <w:rPr>
          <w:rFonts w:ascii="Arial" w:cs="Arial" w:eastAsia="Arial" w:hAnsi="Arial"/>
          <w:sz w:val="22"/>
          <w:szCs w:val="22"/>
        </w:rPr>
        <w:t xml:space="preserve">Feature Engineering — target encoding for high-cardinality features (&gt;50 unique values)</w:t>
      </w:r>
    </w:p>
    <w:p>
      <w:pPr>
        <w:pStyle w:val="ListParagraph"/>
        <w:numPr>
          <w:ilvl w:val="0"/>
          <w:numId w:val="2"/>
        </w:numPr>
        <w:spacing w:after="40" w:before="40"/>
      </w:pPr>
      <w:r>
        <w:rPr>
          <w:rFonts w:ascii="Arial" w:cs="Arial" w:eastAsia="Arial" w:hAnsi="Arial"/>
          <w:sz w:val="22"/>
          <w:szCs w:val="22"/>
        </w:rPr>
        <w:t xml:space="preserve">Model Training — trains XGBoost / LightGBM / Hybrid with 3 retries on failure</w:t>
      </w:r>
    </w:p>
    <w:p>
      <w:pPr>
        <w:pStyle w:val="ListParagraph"/>
        <w:numPr>
          <w:ilvl w:val="0"/>
          <w:numId w:val="2"/>
        </w:numPr>
        <w:spacing w:after="40" w:before="40"/>
      </w:pPr>
      <w:r>
        <w:rPr>
          <w:rFonts w:ascii="Arial" w:cs="Arial" w:eastAsia="Arial" w:hAnsi="Arial"/>
          <w:sz w:val="22"/>
          <w:szCs w:val="22"/>
        </w:rPr>
        <w:t xml:space="preserve">Model Evaluation — computes AUC-ROC, recall, precision, F1, and confusion matrix</w:t>
      </w:r>
    </w:p>
    <w:p>
      <w:pPr>
        <w:pStyle w:val="ListParagraph"/>
        <w:numPr>
          <w:ilvl w:val="0"/>
          <w:numId w:val="2"/>
        </w:numPr>
        <w:spacing w:after="40" w:before="40"/>
      </w:pPr>
      <w:r>
        <w:rPr>
          <w:rFonts w:ascii="Arial" w:cs="Arial" w:eastAsia="Arial" w:hAnsi="Arial"/>
          <w:sz w:val="22"/>
          <w:szCs w:val="22"/>
        </w:rPr>
        <w:t xml:space="preserve">Conditional Deployment — deploys only if AUC-ROC &gt; 0.85 threshold</w:t>
      </w:r>
    </w:p>
    <w:p>
      <w:pPr>
        <w:spacing w:after="0" w:before="0"/>
      </w:pPr>
      <w:r>
        <w:rPr>
          <w:sz w:val="22"/>
          <w:szCs w:val="22"/>
        </w:rPr>
        <w:t xml:space="preserve"/>
      </w:r>
    </w:p>
    <w:p>
      <w:r>
        <w:br w:type="page"/>
      </w:r>
    </w:p>
    <w:p>
      <w:pPr>
        <w:pStyle w:val="Heading1"/>
        <w:spacing w:after="160" w:before="320"/>
      </w:pPr>
      <w:r>
        <w:rPr>
          <w:rFonts w:ascii="Arial" w:cs="Arial" w:eastAsia="Arial" w:hAnsi="Arial"/>
          <w:b/>
          <w:bCs/>
          <w:color w:val="1F4E79"/>
          <w:sz w:val="32"/>
          <w:szCs w:val="32"/>
        </w:rPr>
        <w:t xml:space="preserve">3. Task Implementations</w:t>
      </w:r>
    </w:p>
    <w:p>
      <w:pPr>
        <w:pBdr>
          <w:bottom w:val="single" w:color="2E75B6" w:sz="4" w:space="1"/>
        </w:pBdr>
        <w:spacing w:after="120" w:before="120"/>
      </w:pPr>
      <w:r>
        <w:t xml:space="preserve"/>
      </w:r>
    </w:p>
    <w:p>
      <w:pPr>
        <w:pStyle w:val="Heading2"/>
        <w:spacing w:after="120" w:before="240"/>
      </w:pPr>
      <w:r>
        <w:rPr>
          <w:rFonts w:ascii="Arial" w:cs="Arial" w:eastAsia="Arial" w:hAnsi="Arial"/>
          <w:b/>
          <w:bCs/>
          <w:color w:val="2E75B6"/>
          <w:sz w:val="26"/>
          <w:szCs w:val="26"/>
        </w:rPr>
        <w:t xml:space="preserve">3.1 Task 1 — Kubeflow Environment Setup</w:t>
      </w:r>
    </w:p>
    <w:p>
      <w:pPr>
        <w:spacing w:after="120" w:before="80"/>
        <w:jc w:val="both"/>
      </w:pPr>
      <w:r>
        <w:rPr>
          <w:rFonts w:ascii="Arial" w:cs="Arial" w:eastAsia="Arial" w:hAnsi="Arial"/>
          <w:sz w:val="22"/>
          <w:szCs w:val="22"/>
        </w:rPr>
        <w:t xml:space="preserve">Minikube was deployed with 4 CPUs and 8 GB memory using the Docker driver. The MinIO image was patched to RELEASE.2019-08-14T20-37-41Z to resolve a compatibility issue with the KFP version. All 14 Kubeflow pods reached the 1/1 Running state, and the KFP UI was accessible via port-forward at http://localhost:8080.</w:t>
      </w:r>
    </w:p>
    <w:p>
      <w:pPr>
        <w:spacing w:after="120" w:before="80"/>
        <w:jc w:val="both"/>
      </w:pPr>
      <w:r>
        <w:rPr>
          <w:rFonts w:ascii="Arial" w:cs="Arial" w:eastAsia="Arial" w:hAnsi="Arial"/>
          <w:sz w:val="22"/>
          <w:szCs w:val="22"/>
        </w:rPr>
        <w:t xml:space="preserve">The pipeline was compiled to YAML using the KFP SDK and uploaded to the KFP UI for execution. Key pipeline configuration:</w:t>
      </w:r>
    </w:p>
    <w:p>
      <w:pPr>
        <w:pStyle w:val="ListParagraph"/>
        <w:numPr>
          <w:ilvl w:val="0"/>
          <w:numId w:val="2"/>
        </w:numPr>
        <w:spacing w:after="40" w:before="40"/>
      </w:pPr>
      <w:r>
        <w:rPr>
          <w:rFonts w:ascii="Arial" w:cs="Arial" w:eastAsia="Arial" w:hAnsi="Arial"/>
          <w:sz w:val="22"/>
          <w:szCs w:val="22"/>
        </w:rPr>
        <w:t xml:space="preserve">Isolated kubeflow namespace for experiment isolation</w:t>
      </w:r>
    </w:p>
    <w:p>
      <w:pPr>
        <w:pStyle w:val="ListParagraph"/>
        <w:numPr>
          <w:ilvl w:val="0"/>
          <w:numId w:val="2"/>
        </w:numPr>
        <w:spacing w:after="40" w:before="40"/>
      </w:pPr>
      <w:r>
        <w:rPr>
          <w:rFonts w:ascii="Arial" w:cs="Arial" w:eastAsia="Arial" w:hAnsi="Arial"/>
          <w:sz w:val="22"/>
          <w:szCs w:val="22"/>
        </w:rPr>
        <w:t xml:space="preserve">Persistent volumes for model artefact storage via MinIO</w:t>
      </w:r>
    </w:p>
    <w:p>
      <w:pPr>
        <w:pStyle w:val="ListParagraph"/>
        <w:numPr>
          <w:ilvl w:val="0"/>
          <w:numId w:val="2"/>
        </w:numPr>
        <w:spacing w:after="40" w:before="40"/>
      </w:pPr>
      <w:r>
        <w:rPr>
          <w:rFonts w:ascii="Arial" w:cs="Arial" w:eastAsia="Arial" w:hAnsi="Arial"/>
          <w:sz w:val="22"/>
          <w:szCs w:val="22"/>
        </w:rPr>
        <w:t xml:space="preserve">Resource quotas: 4 CPUs and 8 GB memory limit per pipeline run</w:t>
      </w:r>
    </w:p>
    <w:p>
      <w:pPr>
        <w:pStyle w:val="ListParagraph"/>
        <w:numPr>
          <w:ilvl w:val="0"/>
          <w:numId w:val="2"/>
        </w:numPr>
        <w:spacing w:after="40" w:before="40"/>
      </w:pPr>
      <w:r>
        <w:rPr>
          <w:rFonts w:ascii="Arial" w:cs="Arial" w:eastAsia="Arial" w:hAnsi="Arial"/>
          <w:sz w:val="22"/>
          <w:szCs w:val="22"/>
        </w:rPr>
        <w:t xml:space="preserve">Retry mechanism: set_retry(num_retries=3) on the training step</w:t>
      </w:r>
    </w:p>
    <w:p>
      <w:pPr>
        <w:pStyle w:val="ListParagraph"/>
        <w:numPr>
          <w:ilvl w:val="0"/>
          <w:numId w:val="2"/>
        </w:numPr>
        <w:spacing w:after="40" w:before="40"/>
      </w:pPr>
      <w:r>
        <w:rPr>
          <w:rFonts w:ascii="Arial" w:cs="Arial" w:eastAsia="Arial" w:hAnsi="Arial"/>
          <w:sz w:val="22"/>
          <w:szCs w:val="22"/>
        </w:rPr>
        <w:t xml:space="preserve">Conditional deployment gate: only deploy if AUC-ROC exceeds 0.85</w:t>
      </w:r>
    </w:p>
    <w:p>
      <w:pPr>
        <w:spacing w:after="0" w:before="0"/>
      </w:pPr>
      <w:r>
        <w:rPr>
          <w:sz w:val="22"/>
          <w:szCs w:val="22"/>
        </w:rPr>
        <w:t xml:space="preserve"/>
      </w:r>
    </w:p>
    <w:p>
      <w:pPr>
        <w:pStyle w:val="Heading2"/>
        <w:spacing w:after="120" w:before="240"/>
      </w:pPr>
      <w:r>
        <w:rPr>
          <w:rFonts w:ascii="Arial" w:cs="Arial" w:eastAsia="Arial" w:hAnsi="Arial"/>
          <w:b/>
          <w:bCs/>
          <w:color w:val="2E75B6"/>
          <w:sz w:val="26"/>
          <w:szCs w:val="26"/>
        </w:rPr>
        <w:t xml:space="preserve">3.2 Task 2 — Data Challenges Handling</w:t>
      </w:r>
    </w:p>
    <w:p>
      <w:pPr>
        <w:pStyle w:val="Heading3"/>
        <w:spacing w:after="80" w:before="180"/>
      </w:pPr>
      <w:r>
        <w:rPr>
          <w:rFonts w:ascii="Arial" w:cs="Arial" w:eastAsia="Arial" w:hAnsi="Arial"/>
          <w:b/>
          <w:bCs/>
          <w:color w:val="404040"/>
          <w:sz w:val="24"/>
          <w:szCs w:val="24"/>
        </w:rPr>
        <w:t xml:space="preserve">Missing Value Strategy</w:t>
      </w:r>
    </w:p>
    <w:p>
      <w:pPr>
        <w:spacing w:after="120" w:before="80"/>
        <w:jc w:val="both"/>
      </w:pPr>
      <w:r>
        <w:rPr>
          <w:rFonts w:ascii="Arial" w:cs="Arial" w:eastAsia="Arial" w:hAnsi="Arial"/>
          <w:sz w:val="22"/>
          <w:szCs w:val="22"/>
        </w:rPr>
        <w:t xml:space="preserve">After merging the transaction and identity tables, 12 columns exceeded the 90% missing threshold and were dropped. The remaining numerical columns were imputed with column medians (robust to outliers in transaction data), and categorical columns were imputed with mode values.</w:t>
      </w:r>
    </w:p>
    <w:p>
      <w:pPr>
        <w:pStyle w:val="Heading3"/>
        <w:spacing w:after="80" w:before="180"/>
      </w:pPr>
      <w:r>
        <w:rPr>
          <w:rFonts w:ascii="Arial" w:cs="Arial" w:eastAsia="Arial" w:hAnsi="Arial"/>
          <w:b/>
          <w:bCs/>
          <w:color w:val="404040"/>
          <w:sz w:val="24"/>
          <w:szCs w:val="24"/>
        </w:rPr>
        <w:t xml:space="preserve">Feature Encoding</w:t>
      </w:r>
    </w:p>
    <w:p>
      <w:pPr>
        <w:spacing w:after="120" w:before="80"/>
        <w:jc w:val="both"/>
      </w:pPr>
      <w:r>
        <w:rPr>
          <w:rFonts w:ascii="Arial" w:cs="Arial" w:eastAsia="Arial" w:hAnsi="Arial"/>
          <w:sz w:val="22"/>
          <w:szCs w:val="22"/>
        </w:rPr>
        <w:t xml:space="preserve">Categorical features with more than 50 unique values were encoded using target encoding, replacing each category with the mean fraud rate for that category. This preserves the ordinal fraud-signal information without creating high-dimensional one-hot vectors. Categorical features with 50 or fewer unique values were label-encoded using pandas factorize.</w:t>
      </w:r>
    </w:p>
    <w:p>
      <w:pPr>
        <w:pStyle w:val="Heading3"/>
        <w:spacing w:after="80" w:before="180"/>
      </w:pPr>
      <w:r>
        <w:rPr>
          <w:rFonts w:ascii="Arial" w:cs="Arial" w:eastAsia="Arial" w:hAnsi="Arial"/>
          <w:b/>
          <w:bCs/>
          <w:color w:val="404040"/>
          <w:sz w:val="24"/>
          <w:szCs w:val="24"/>
        </w:rPr>
        <w:t xml:space="preserve">Class Imbalance Comparison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0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Strategy</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AUC-ROC</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Fraud Recall</w:t>
            </w:r>
          </w:p>
        </w:tc>
        <w:tc>
          <w:tcPr>
            <w:tcW w:type="dxa" w:w="2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Winner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SMOTE (oversampling)</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0.9265</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~76%</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Random Undersampling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0.9406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84%</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r>
    </w:tbl>
    <w:p>
      <w:pPr>
        <w:spacing w:after="0" w:before="0"/>
      </w:pPr>
      <w:r>
        <w:rPr>
          <w:sz w:val="22"/>
          <w:szCs w:val="22"/>
        </w:rPr>
        <w:t xml:space="preserve"/>
      </w:r>
    </w:p>
    <w:p>
      <w:pPr>
        <w:spacing w:after="120" w:before="80"/>
        <w:jc w:val="both"/>
      </w:pPr>
      <w:r>
        <w:rPr>
          <w:rFonts w:ascii="Arial" w:cs="Arial" w:eastAsia="Arial" w:hAnsi="Arial"/>
          <w:sz w:val="22"/>
          <w:szCs w:val="22"/>
        </w:rPr>
        <w:t xml:space="preserve">Undersampling was selected as the winner and used in all subsequent tasks. The key insight is that SMOTE generates synthetic minority samples which may introduce noise, while undersampling forces the model to learn from a more challenging but clean training distribution. The lower training set size (33,060 rows vs 590,540) also reduces training time significantly.</w:t>
      </w:r>
    </w:p>
    <w:p>
      <w:pPr>
        <w:spacing w:after="0" w:before="0"/>
      </w:pPr>
      <w:r>
        <w:rPr>
          <w:sz w:val="22"/>
          <w:szCs w:val="22"/>
        </w:rPr>
        <w:t xml:space="preserve"/>
      </w:r>
    </w:p>
    <w:p>
      <w:pPr>
        <w:pStyle w:val="Heading2"/>
        <w:spacing w:after="120" w:before="240"/>
      </w:pPr>
      <w:r>
        <w:rPr>
          <w:rFonts w:ascii="Arial" w:cs="Arial" w:eastAsia="Arial" w:hAnsi="Arial"/>
          <w:b/>
          <w:bCs/>
          <w:color w:val="2E75B6"/>
          <w:sz w:val="26"/>
          <w:szCs w:val="26"/>
        </w:rPr>
        <w:t xml:space="preserve">3.3 Task 3 — Model Complexity</w:t>
      </w:r>
    </w:p>
    <w:p>
      <w:pPr>
        <w:spacing w:after="120" w:before="80"/>
        <w:jc w:val="both"/>
      </w:pPr>
      <w:r>
        <w:rPr>
          <w:rFonts w:ascii="Arial" w:cs="Arial" w:eastAsia="Arial" w:hAnsi="Arial"/>
          <w:sz w:val="22"/>
          <w:szCs w:val="22"/>
        </w:rPr>
        <w:t xml:space="preserve">Three model architectures were trained and evaluated on the held-out test set (20% of data, 118,108 transactions):</w:t>
      </w:r>
    </w:p>
    <w:p>
      <w:pPr>
        <w:pStyle w:val="Heading3"/>
        <w:spacing w:after="80" w:before="180"/>
      </w:pPr>
      <w:r>
        <w:rPr>
          <w:rFonts w:ascii="Arial" w:cs="Arial" w:eastAsia="Arial" w:hAnsi="Arial"/>
          <w:b/>
          <w:bCs/>
          <w:color w:val="404040"/>
          <w:sz w:val="24"/>
          <w:szCs w:val="24"/>
        </w:rPr>
        <w:t xml:space="preserve">Models</w:t>
      </w:r>
    </w:p>
    <w:p>
      <w:pPr>
        <w:pStyle w:val="ListParagraph"/>
        <w:numPr>
          <w:ilvl w:val="0"/>
          <w:numId w:val="2"/>
        </w:numPr>
        <w:spacing w:after="40" w:before="40"/>
      </w:pPr>
      <w:r>
        <w:rPr>
          <w:rFonts w:ascii="Arial" w:cs="Arial" w:eastAsia="Arial" w:hAnsi="Arial"/>
          <w:sz w:val="22"/>
          <w:szCs w:val="22"/>
        </w:rPr>
        <w:t xml:space="preserve">XGBoost — 300 estimators, max_depth=6, learning_rate=0.05</w:t>
      </w:r>
    </w:p>
    <w:p>
      <w:pPr>
        <w:pStyle w:val="ListParagraph"/>
        <w:numPr>
          <w:ilvl w:val="0"/>
          <w:numId w:val="2"/>
        </w:numPr>
        <w:spacing w:after="40" w:before="40"/>
      </w:pPr>
      <w:r>
        <w:rPr>
          <w:rFonts w:ascii="Arial" w:cs="Arial" w:eastAsia="Arial" w:hAnsi="Arial"/>
          <w:sz w:val="22"/>
          <w:szCs w:val="22"/>
        </w:rPr>
        <w:t xml:space="preserve">LightGBM — 300 estimators, max_depth=6, learning_rate=0.05</w:t>
      </w:r>
    </w:p>
    <w:p>
      <w:pPr>
        <w:pStyle w:val="ListParagraph"/>
        <w:numPr>
          <w:ilvl w:val="0"/>
          <w:numId w:val="2"/>
        </w:numPr>
        <w:spacing w:after="40" w:before="40"/>
      </w:pPr>
      <w:r>
        <w:rPr>
          <w:rFonts w:ascii="Arial" w:cs="Arial" w:eastAsia="Arial" w:hAnsi="Arial"/>
          <w:sz w:val="22"/>
          <w:szCs w:val="22"/>
        </w:rPr>
        <w:t xml:space="preserve">Hybrid (RF + XGBoost) — Random Forest selects top features, XGBoost trains on reduced set</w:t>
      </w:r>
    </w:p>
    <w:p>
      <w:pPr>
        <w:spacing w:after="0" w:before="0"/>
      </w:pPr>
      <w:r>
        <w:rPr>
          <w:sz w:val="22"/>
          <w:szCs w:val="22"/>
        </w:rP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600"/>
        <w:gridCol w:w="1800"/>
        <w:gridCol w:w="170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w:t>
            </w:r>
          </w:p>
        </w:tc>
        <w:tc>
          <w:tcPr>
            <w:tcW w:type="dxa" w:w="1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AUC-ROC</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Recall</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Precision</w:t>
            </w:r>
          </w:p>
        </w:tc>
        <w:tc>
          <w:tcPr>
            <w:tcW w:type="dxa" w:w="1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F1-Score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XGBoost</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0.9330</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0.8243</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0.2178</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0.3446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LightGBM</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0.9325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0.8275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0.2146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0.3408</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Hybrid (RF+XGB) ✓</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0.9350</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0.8289</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0.2182</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0.3455</w:t>
            </w:r>
          </w:p>
        </w:tc>
      </w:tr>
    </w:tbl>
    <w:p>
      <w:pPr>
        <w:spacing w:after="0" w:before="0"/>
      </w:pPr>
      <w:r>
        <w:rPr>
          <w:sz w:val="22"/>
          <w:szCs w:val="22"/>
        </w:rPr>
        <w:t xml:space="preserve"/>
      </w:r>
    </w:p>
    <w:p>
      <w:pPr>
        <w:spacing w:after="120" w:before="80"/>
        <w:jc w:val="both"/>
      </w:pPr>
      <w:r>
        <w:rPr>
          <w:rFonts w:ascii="Arial" w:cs="Arial" w:eastAsia="Arial" w:hAnsi="Arial"/>
          <w:sz w:val="22"/>
          <w:szCs w:val="22"/>
        </w:rPr>
        <w:t xml:space="preserve">The Hybrid model achieved the best results on all three primary metrics. The RF feature selection step reduced the feature space from 420 to 118 features (72% reduction), improving the signal-to-noise ratio and slightly improving generalisation. The low precision (~0.22) is expected with undersampling on a 3.5% fraud rate dataset and is acceptable given the emphasis on recall.</w:t>
      </w:r>
    </w:p>
    <w:p>
      <w:pPr>
        <w:spacing w:after="0" w:before="0"/>
      </w:pPr>
      <w:r>
        <w:rPr>
          <w:sz w:val="22"/>
          <w:szCs w:val="22"/>
        </w:rPr>
        <w:t xml:space="preserve"/>
      </w:r>
    </w:p>
    <w:p>
      <w:pPr>
        <w:pStyle w:val="Heading2"/>
        <w:spacing w:after="120" w:before="240"/>
      </w:pPr>
      <w:r>
        <w:rPr>
          <w:rFonts w:ascii="Arial" w:cs="Arial" w:eastAsia="Arial" w:hAnsi="Arial"/>
          <w:b/>
          <w:bCs/>
          <w:color w:val="2E75B6"/>
          <w:sz w:val="26"/>
          <w:szCs w:val="26"/>
        </w:rPr>
        <w:t xml:space="preserve">3.4 Task 4 — Cost-Sensitive Learning</w:t>
      </w:r>
    </w:p>
    <w:p>
      <w:pPr>
        <w:spacing w:after="120" w:before="80"/>
        <w:jc w:val="both"/>
      </w:pPr>
      <w:r>
        <w:rPr>
          <w:rFonts w:ascii="Arial" w:cs="Arial" w:eastAsia="Arial" w:hAnsi="Arial"/>
          <w:sz w:val="22"/>
          <w:szCs w:val="22"/>
        </w:rPr>
        <w:t xml:space="preserve">Cost-sensitive learning assigns higher loss penalties to false negatives (missed fraud) than false positives (false alarms). The XGBoost scale_pos_weight parameter controls this ratio. The business cost model uses the following assumptions:</w:t>
      </w:r>
    </w:p>
    <w:p>
      <w:pPr>
        <w:pStyle w:val="ListParagraph"/>
        <w:numPr>
          <w:ilvl w:val="0"/>
          <w:numId w:val="2"/>
        </w:numPr>
        <w:spacing w:after="40" w:before="40"/>
      </w:pPr>
      <w:r>
        <w:rPr>
          <w:rFonts w:ascii="Arial" w:cs="Arial" w:eastAsia="Arial" w:hAnsi="Arial"/>
          <w:sz w:val="22"/>
          <w:szCs w:val="22"/>
        </w:rPr>
        <w:t xml:space="preserve">Fraud loss per missed case: $500</w:t>
      </w:r>
    </w:p>
    <w:p>
      <w:pPr>
        <w:pStyle w:val="ListParagraph"/>
        <w:numPr>
          <w:ilvl w:val="0"/>
          <w:numId w:val="2"/>
        </w:numPr>
        <w:spacing w:after="40" w:before="40"/>
      </w:pPr>
      <w:r>
        <w:rPr>
          <w:rFonts w:ascii="Arial" w:cs="Arial" w:eastAsia="Arial" w:hAnsi="Arial"/>
          <w:sz w:val="22"/>
          <w:szCs w:val="22"/>
        </w:rPr>
        <w:t xml:space="preserve">False alarm investigation cost: $10 per case</w:t>
      </w:r>
    </w:p>
    <w:p>
      <w:pPr>
        <w:pStyle w:val="ListParagraph"/>
        <w:numPr>
          <w:ilvl w:val="0"/>
          <w:numId w:val="2"/>
        </w:numPr>
        <w:spacing w:after="40" w:before="40"/>
      </w:pPr>
      <w:r>
        <w:rPr>
          <w:rFonts w:ascii="Arial" w:cs="Arial" w:eastAsia="Arial" w:hAnsi="Arial"/>
          <w:sz w:val="22"/>
          <w:szCs w:val="22"/>
        </w:rPr>
        <w:t xml:space="preserve">Implication: reducing false negatives is 50x more valuable than reducing false positives</w:t>
      </w:r>
    </w:p>
    <w:p>
      <w:pPr>
        <w:spacing w:after="0" w:before="0"/>
      </w:pPr>
      <w:r>
        <w:rPr>
          <w:sz w:val="22"/>
          <w:szCs w:val="22"/>
        </w:rP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700"/>
        <w:gridCol w:w="1700"/>
        <w:gridCol w:w="1900"/>
      </w:tblGrid>
      <w:tr>
        <w:trPr>
          <w:tblHeader/>
        </w:trPr>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Recall</w:t>
            </w:r>
          </w:p>
        </w:tc>
        <w:tc>
          <w:tcPr>
            <w:tcW w:type="dxa" w:w="1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False Negatives</w:t>
            </w:r>
          </w:p>
        </w:tc>
        <w:tc>
          <w:tcPr>
            <w:tcW w:type="dxa" w:w="1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False Positives</w:t>
            </w:r>
          </w:p>
        </w:tc>
        <w:tc>
          <w:tcPr>
            <w:tcW w:type="dxa" w:w="1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Business Cost</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XGBoost Standard ✓</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0.8168</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757</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12,482</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$503,320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XGBoost (spw=5)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0.9594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168</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48,503</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$569,030</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XGBoost (spw=10)</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0.9867</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55</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69,794</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$725,440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LightGBM Standard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0.8159</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761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12,646</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$506,960</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LightGBM (balanced)</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0.8159</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761</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12,646</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$506,960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LightGBM (spw=10)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0.9865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72,200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$750,000</w:t>
            </w:r>
          </w:p>
        </w:tc>
      </w:tr>
    </w:tbl>
    <w:p>
      <w:pPr>
        <w:spacing w:after="0" w:before="0"/>
      </w:pPr>
      <w:r>
        <w:rPr>
          <w:sz w:val="22"/>
          <w:szCs w:val="22"/>
        </w:rPr>
        <w:t xml:space="preserve"/>
      </w:r>
    </w:p>
    <w:p>
      <w:pPr>
        <w:spacing w:after="120" w:before="80"/>
        <w:jc w:val="both"/>
      </w:pPr>
      <w:r>
        <w:rPr>
          <w:rFonts w:ascii="Arial" w:cs="Arial" w:eastAsia="Arial" w:hAnsi="Arial"/>
          <w:sz w:val="22"/>
          <w:szCs w:val="22"/>
        </w:rPr>
        <w:t xml:space="preserve">Under the $500/$10 assumption, standard XGBoost achieved the lowest total business cost. Cost-sensitive models dramatically improved recall but generated so many false positives that the investigation costs exceeded the fraud savings. An important finding: LightGBM class_weight='balanced' produced identical results to standard LightGBM because classes were already 1:1 after undersampling, making the balanced weight compute to 1:1 with no effect.</w:t>
      </w:r>
    </w:p>
    <w:p>
      <w:pPr>
        <w:spacing w:after="120" w:before="80"/>
        <w:jc w:val="both"/>
      </w:pPr>
      <w:r>
        <w:rPr>
          <w:rFonts w:ascii="Arial" w:cs="Arial" w:eastAsia="Arial" w:hAnsi="Arial"/>
          <w:sz w:val="22"/>
          <w:szCs w:val="22"/>
        </w:rPr>
        <w:t xml:space="preserve">For higher-value fraud scenarios (e.g., $5,000 loss per case), spw=5 would become the optimal choice, reducing business cost to approximately $402,030. This illustrates that the optimal cost-sensitive penalty is domain-specific and must be calibrated to actual fraud amounts.</w:t>
      </w:r>
    </w:p>
    <w:p>
      <w:pPr>
        <w:spacing w:after="0" w:before="0"/>
      </w:pPr>
      <w:r>
        <w:rPr>
          <w:sz w:val="22"/>
          <w:szCs w:val="22"/>
        </w:rPr>
        <w:t xml:space="preserve"/>
      </w:r>
    </w:p>
    <w:p>
      <w:r>
        <w:br w:type="page"/>
      </w:r>
    </w:p>
    <w:p>
      <w:pPr>
        <w:pStyle w:val="Heading2"/>
        <w:spacing w:after="120" w:before="240"/>
      </w:pPr>
      <w:r>
        <w:rPr>
          <w:rFonts w:ascii="Arial" w:cs="Arial" w:eastAsia="Arial" w:hAnsi="Arial"/>
          <w:b/>
          <w:bCs/>
          <w:color w:val="2E75B6"/>
          <w:sz w:val="26"/>
          <w:szCs w:val="26"/>
        </w:rPr>
        <w:t xml:space="preserve">3.5 Task 5 — CI/CD Pipeline with Intelligent Triggers</w:t>
      </w:r>
    </w:p>
    <w:p>
      <w:pPr>
        <w:spacing w:after="120" w:before="80"/>
        <w:jc w:val="both"/>
      </w:pPr>
      <w:r>
        <w:rPr>
          <w:rFonts w:ascii="Arial" w:cs="Arial" w:eastAsia="Arial" w:hAnsi="Arial"/>
          <w:sz w:val="22"/>
          <w:szCs w:val="22"/>
        </w:rPr>
        <w:t xml:space="preserve">A four-stage GitHub Actions workflow was implemented at .github/workflows/fraud_detection_cicd.yml. The workflow triggers automatically on code push to main, on pull requests, and via manual dispatch to simulate monitoring alerts.</w:t>
      </w:r>
    </w:p>
    <w:p>
      <w:pPr>
        <w:pStyle w:val="Heading3"/>
        <w:spacing w:after="80" w:before="180"/>
      </w:pPr>
      <w:r>
        <w:rPr>
          <w:rFonts w:ascii="Arial" w:cs="Arial" w:eastAsia="Arial" w:hAnsi="Arial"/>
          <w:b/>
          <w:bCs/>
          <w:color w:val="404040"/>
          <w:sz w:val="24"/>
          <w:szCs w:val="24"/>
        </w:rPr>
        <w:t xml:space="preserve">Stage 1 — Continuous Integration</w:t>
      </w:r>
    </w:p>
    <w:p>
      <w:pPr>
        <w:pStyle w:val="ListParagraph"/>
        <w:numPr>
          <w:ilvl w:val="0"/>
          <w:numId w:val="2"/>
        </w:numPr>
        <w:spacing w:after="40" w:before="40"/>
      </w:pPr>
      <w:r>
        <w:rPr>
          <w:rFonts w:ascii="Arial" w:cs="Arial" w:eastAsia="Arial" w:hAnsi="Arial"/>
          <w:sz w:val="22"/>
          <w:szCs w:val="22"/>
        </w:rPr>
        <w:t xml:space="preserve">Trigger: code push or pull request to main branch</w:t>
      </w:r>
    </w:p>
    <w:p>
      <w:pPr>
        <w:pStyle w:val="ListParagraph"/>
        <w:numPr>
          <w:ilvl w:val="0"/>
          <w:numId w:val="2"/>
        </w:numPr>
        <w:spacing w:after="40" w:before="40"/>
      </w:pPr>
      <w:r>
        <w:rPr>
          <w:rFonts w:ascii="Arial" w:cs="Arial" w:eastAsia="Arial" w:hAnsi="Arial"/>
          <w:sz w:val="22"/>
          <w:szCs w:val="22"/>
        </w:rPr>
        <w:t xml:space="preserve">Flake8 linting: fails on syntax errors (E9, F63, F7, F82), warns on style issues</w:t>
      </w:r>
    </w:p>
    <w:p>
      <w:pPr>
        <w:pStyle w:val="ListParagraph"/>
        <w:numPr>
          <w:ilvl w:val="0"/>
          <w:numId w:val="2"/>
        </w:numPr>
        <w:spacing w:after="40" w:before="40"/>
      </w:pPr>
      <w:r>
        <w:rPr>
          <w:rFonts w:ascii="Arial" w:cs="Arial" w:eastAsia="Arial" w:hAnsi="Arial"/>
          <w:sz w:val="22"/>
          <w:szCs w:val="22"/>
        </w:rPr>
        <w:t xml:space="preserve">Unit tests: preprocessing logic, class balance checks, model file existence</w:t>
      </w:r>
    </w:p>
    <w:p>
      <w:pPr>
        <w:pStyle w:val="ListParagraph"/>
        <w:numPr>
          <w:ilvl w:val="0"/>
          <w:numId w:val="2"/>
        </w:numPr>
        <w:spacing w:after="40" w:before="40"/>
      </w:pPr>
      <w:r>
        <w:rPr>
          <w:rFonts w:ascii="Arial" w:cs="Arial" w:eastAsia="Arial" w:hAnsi="Arial"/>
          <w:sz w:val="22"/>
          <w:szCs w:val="22"/>
        </w:rPr>
        <w:t xml:space="preserve">Data validation: schema checks, missing value thresholds, fraud rate sanity (0-50%)</w:t>
      </w:r>
    </w:p>
    <w:p>
      <w:pPr>
        <w:spacing w:after="0" w:before="0"/>
      </w:pPr>
      <w:r>
        <w:rPr>
          <w:sz w:val="22"/>
          <w:szCs w:val="22"/>
        </w:rPr>
        <w:t xml:space="preserve"/>
      </w:r>
    </w:p>
    <w:p>
      <w:pPr>
        <w:pStyle w:val="Heading3"/>
        <w:spacing w:after="80" w:before="180"/>
      </w:pPr>
      <w:r>
        <w:rPr>
          <w:rFonts w:ascii="Arial" w:cs="Arial" w:eastAsia="Arial" w:hAnsi="Arial"/>
          <w:b/>
          <w:bCs/>
          <w:color w:val="404040"/>
          <w:sz w:val="24"/>
          <w:szCs w:val="24"/>
        </w:rPr>
        <w:t xml:space="preserve">Stage 2 — Build and Packaging</w:t>
      </w:r>
    </w:p>
    <w:p>
      <w:pPr>
        <w:pStyle w:val="ListParagraph"/>
        <w:numPr>
          <w:ilvl w:val="0"/>
          <w:numId w:val="2"/>
        </w:numPr>
        <w:spacing w:after="40" w:before="40"/>
      </w:pPr>
      <w:r>
        <w:rPr>
          <w:rFonts w:ascii="Arial" w:cs="Arial" w:eastAsia="Arial" w:hAnsi="Arial"/>
          <w:sz w:val="22"/>
          <w:szCs w:val="22"/>
        </w:rPr>
        <w:t xml:space="preserve">Builds Docker image for training pipeline components</w:t>
      </w:r>
    </w:p>
    <w:p>
      <w:pPr>
        <w:pStyle w:val="ListParagraph"/>
        <w:numPr>
          <w:ilvl w:val="0"/>
          <w:numId w:val="2"/>
        </w:numPr>
        <w:spacing w:after="40" w:before="40"/>
      </w:pPr>
      <w:r>
        <w:rPr>
          <w:rFonts w:ascii="Arial" w:cs="Arial" w:eastAsia="Arial" w:hAnsi="Arial"/>
          <w:sz w:val="22"/>
          <w:szCs w:val="22"/>
        </w:rPr>
        <w:t xml:space="preserve">Builds Docker image for inference API</w:t>
      </w:r>
    </w:p>
    <w:p>
      <w:pPr>
        <w:pStyle w:val="ListParagraph"/>
        <w:numPr>
          <w:ilvl w:val="0"/>
          <w:numId w:val="2"/>
        </w:numPr>
        <w:spacing w:after="40" w:before="40"/>
      </w:pPr>
      <w:r>
        <w:rPr>
          <w:rFonts w:ascii="Arial" w:cs="Arial" w:eastAsia="Arial" w:hAnsi="Arial"/>
          <w:sz w:val="22"/>
          <w:szCs w:val="22"/>
        </w:rPr>
        <w:t xml:space="preserve">Tags images with commit SHA for full traceability</w:t>
      </w:r>
    </w:p>
    <w:p>
      <w:pPr>
        <w:pStyle w:val="ListParagraph"/>
        <w:numPr>
          <w:ilvl w:val="0"/>
          <w:numId w:val="2"/>
        </w:numPr>
        <w:spacing w:after="40" w:before="40"/>
      </w:pPr>
      <w:r>
        <w:rPr>
          <w:rFonts w:ascii="Arial" w:cs="Arial" w:eastAsia="Arial" w:hAnsi="Arial"/>
          <w:sz w:val="22"/>
          <w:szCs w:val="22"/>
        </w:rPr>
        <w:t xml:space="preserve">In production: images pushed to container registry (Docker Hub / ECR)</w:t>
      </w:r>
    </w:p>
    <w:p>
      <w:pPr>
        <w:spacing w:after="0" w:before="0"/>
      </w:pPr>
      <w:r>
        <w:rPr>
          <w:sz w:val="22"/>
          <w:szCs w:val="22"/>
        </w:rPr>
        <w:t xml:space="preserve"/>
      </w:r>
    </w:p>
    <w:p>
      <w:pPr>
        <w:pStyle w:val="Heading3"/>
        <w:spacing w:after="80" w:before="180"/>
      </w:pPr>
      <w:r>
        <w:rPr>
          <w:rFonts w:ascii="Arial" w:cs="Arial" w:eastAsia="Arial" w:hAnsi="Arial"/>
          <w:b/>
          <w:bCs/>
          <w:color w:val="404040"/>
          <w:sz w:val="24"/>
          <w:szCs w:val="24"/>
        </w:rPr>
        <w:t xml:space="preserve">Stage 3 — Continuous Deployment</w:t>
      </w:r>
    </w:p>
    <w:p>
      <w:pPr>
        <w:pStyle w:val="ListParagraph"/>
        <w:numPr>
          <w:ilvl w:val="0"/>
          <w:numId w:val="2"/>
        </w:numPr>
        <w:spacing w:after="40" w:before="40"/>
      </w:pPr>
      <w:r>
        <w:rPr>
          <w:rFonts w:ascii="Arial" w:cs="Arial" w:eastAsia="Arial" w:hAnsi="Arial"/>
          <w:sz w:val="22"/>
          <w:szCs w:val="22"/>
        </w:rPr>
        <w:t xml:space="preserve">Triggers only on push to main (not on pull requests)</w:t>
      </w:r>
    </w:p>
    <w:p>
      <w:pPr>
        <w:pStyle w:val="ListParagraph"/>
        <w:numPr>
          <w:ilvl w:val="0"/>
          <w:numId w:val="2"/>
        </w:numPr>
        <w:spacing w:after="40" w:before="40"/>
      </w:pPr>
      <w:r>
        <w:rPr>
          <w:rFonts w:ascii="Arial" w:cs="Arial" w:eastAsia="Arial" w:hAnsi="Arial"/>
          <w:sz w:val="22"/>
          <w:szCs w:val="22"/>
        </w:rPr>
        <w:t xml:space="preserve">Simulates Kubeflow pipeline execution trigger via KFP Python SDK</w:t>
      </w:r>
    </w:p>
    <w:p>
      <w:pPr>
        <w:pStyle w:val="ListParagraph"/>
        <w:numPr>
          <w:ilvl w:val="0"/>
          <w:numId w:val="2"/>
        </w:numPr>
        <w:spacing w:after="40" w:before="40"/>
      </w:pPr>
      <w:r>
        <w:rPr>
          <w:rFonts w:ascii="Arial" w:cs="Arial" w:eastAsia="Arial" w:hAnsi="Arial"/>
          <w:sz w:val="22"/>
          <w:szCs w:val="22"/>
        </w:rPr>
        <w:t xml:space="preserve">Deployment gate: enforces recall &gt; 0.75 before approving model service update</w:t>
      </w:r>
    </w:p>
    <w:p>
      <w:pPr>
        <w:spacing w:after="0" w:before="0"/>
      </w:pPr>
      <w:r>
        <w:rPr>
          <w:sz w:val="22"/>
          <w:szCs w:val="22"/>
        </w:rPr>
        <w:t xml:space="preserve"/>
      </w:r>
    </w:p>
    <w:p>
      <w:pPr>
        <w:pStyle w:val="Heading3"/>
        <w:spacing w:after="80" w:before="180"/>
      </w:pPr>
      <w:r>
        <w:rPr>
          <w:rFonts w:ascii="Arial" w:cs="Arial" w:eastAsia="Arial" w:hAnsi="Arial"/>
          <w:b/>
          <w:bCs/>
          <w:color w:val="404040"/>
          <w:sz w:val="24"/>
          <w:szCs w:val="24"/>
        </w:rPr>
        <w:t xml:space="preserve">Stage 4 — Intelligent Trigger</w:t>
      </w:r>
    </w:p>
    <w:p>
      <w:pPr>
        <w:pStyle w:val="ListParagraph"/>
        <w:numPr>
          <w:ilvl w:val="0"/>
          <w:numId w:val="2"/>
        </w:numPr>
        <w:spacing w:after="40" w:before="40"/>
      </w:pPr>
      <w:r>
        <w:rPr>
          <w:rFonts w:ascii="Arial" w:cs="Arial" w:eastAsia="Arial" w:hAnsi="Arial"/>
          <w:sz w:val="22"/>
          <w:szCs w:val="22"/>
        </w:rPr>
        <w:t xml:space="preserve">Triggered by manual workflow dispatch (simulating Prometheus alert webhook)</w:t>
      </w:r>
    </w:p>
    <w:p>
      <w:pPr>
        <w:pStyle w:val="ListParagraph"/>
        <w:numPr>
          <w:ilvl w:val="0"/>
          <w:numId w:val="2"/>
        </w:numPr>
        <w:spacing w:after="40" w:before="40"/>
      </w:pPr>
      <w:r>
        <w:rPr>
          <w:rFonts w:ascii="Arial" w:cs="Arial" w:eastAsia="Arial" w:hAnsi="Arial"/>
          <w:sz w:val="22"/>
          <w:szCs w:val="22"/>
        </w:rPr>
        <w:t xml:space="preserve">Evaluates trigger_reason: recall_drop, drift_detected, or manual</w:t>
      </w:r>
    </w:p>
    <w:p>
      <w:pPr>
        <w:pStyle w:val="ListParagraph"/>
        <w:numPr>
          <w:ilvl w:val="0"/>
          <w:numId w:val="2"/>
        </w:numPr>
        <w:spacing w:after="40" w:before="40"/>
      </w:pPr>
      <w:r>
        <w:rPr>
          <w:rFonts w:ascii="Arial" w:cs="Arial" w:eastAsia="Arial" w:hAnsi="Arial"/>
          <w:sz w:val="22"/>
          <w:szCs w:val="22"/>
        </w:rPr>
        <w:t xml:space="preserve">For recall_drop: checks recall value against 0.75 threshold, triggers retraining if below</w:t>
      </w:r>
    </w:p>
    <w:p>
      <w:pPr>
        <w:pStyle w:val="ListParagraph"/>
        <w:numPr>
          <w:ilvl w:val="0"/>
          <w:numId w:val="2"/>
        </w:numPr>
        <w:spacing w:after="40" w:before="40"/>
      </w:pPr>
      <w:r>
        <w:rPr>
          <w:rFonts w:ascii="Arial" w:cs="Arial" w:eastAsia="Arial" w:hAnsi="Arial"/>
          <w:sz w:val="22"/>
          <w:szCs w:val="22"/>
        </w:rPr>
        <w:t xml:space="preserve">For drift_detected: triggers drift-aware retraining pipeline (Task 8 strategy)</w:t>
      </w:r>
    </w:p>
    <w:p>
      <w:pPr>
        <w:pStyle w:val="ListParagraph"/>
        <w:numPr>
          <w:ilvl w:val="0"/>
          <w:numId w:val="2"/>
        </w:numPr>
        <w:spacing w:after="40" w:before="40"/>
      </w:pPr>
      <w:r>
        <w:rPr>
          <w:rFonts w:ascii="Arial" w:cs="Arial" w:eastAsia="Arial" w:hAnsi="Arial"/>
          <w:sz w:val="22"/>
          <w:szCs w:val="22"/>
        </w:rPr>
        <w:t xml:space="preserve">Logs retraining event with timestamp, trigger reason, and actions taken</w:t>
      </w:r>
    </w:p>
    <w:p>
      <w:pPr>
        <w:spacing w:after="0" w:before="0"/>
      </w:pPr>
      <w:r>
        <w:rPr>
          <w:sz w:val="22"/>
          <w:szCs w:val="22"/>
        </w:rPr>
        <w:t xml:space="preserve"/>
      </w:r>
    </w:p>
    <w:p>
      <w:pPr>
        <w:pStyle w:val="Heading2"/>
        <w:spacing w:after="120" w:before="240"/>
      </w:pPr>
      <w:r>
        <w:rPr>
          <w:rFonts w:ascii="Arial" w:cs="Arial" w:eastAsia="Arial" w:hAnsi="Arial"/>
          <w:b/>
          <w:bCs/>
          <w:color w:val="2E75B6"/>
          <w:sz w:val="26"/>
          <w:szCs w:val="26"/>
        </w:rPr>
        <w:t xml:space="preserve">3.6 Task 6 — Observability and Monitoring</w:t>
      </w:r>
    </w:p>
    <w:p>
      <w:pPr>
        <w:spacing w:after="120" w:before="80"/>
        <w:jc w:val="both"/>
      </w:pPr>
      <w:r>
        <w:rPr>
          <w:rFonts w:ascii="Arial" w:cs="Arial" w:eastAsia="Arial" w:hAnsi="Arial"/>
          <w:sz w:val="22"/>
          <w:szCs w:val="22"/>
        </w:rPr>
        <w:t xml:space="preserve">A complete monitoring stack was deployed via Docker Compose, comprising the inference API, Prometheus, and Grafana. The stack runs at http://localhost:5000 (API), http://localhost:9090 (Prometheus), and http://localhost:3000 (Grafana).</w:t>
      </w:r>
    </w:p>
    <w:p>
      <w:pPr>
        <w:pStyle w:val="Heading3"/>
        <w:spacing w:after="80" w:before="180"/>
      </w:pPr>
      <w:r>
        <w:rPr>
          <w:rFonts w:ascii="Arial" w:cs="Arial" w:eastAsia="Arial" w:hAnsi="Arial"/>
          <w:b/>
          <w:bCs/>
          <w:color w:val="404040"/>
          <w:sz w:val="24"/>
          <w:szCs w:val="24"/>
        </w:rPr>
        <w:t xml:space="preserve">System-Level Metrics</w:t>
      </w:r>
    </w:p>
    <w:p>
      <w:pPr>
        <w:pStyle w:val="ListParagraph"/>
        <w:numPr>
          <w:ilvl w:val="0"/>
          <w:numId w:val="2"/>
        </w:numPr>
        <w:spacing w:after="40" w:before="40"/>
      </w:pPr>
      <w:r>
        <w:rPr>
          <w:rFonts w:ascii="Arial" w:cs="Arial" w:eastAsia="Arial" w:hAnsi="Arial"/>
          <w:sz w:val="22"/>
          <w:szCs w:val="22"/>
        </w:rPr>
        <w:t xml:space="preserve">fraud_api_requests_total — request count labelled by method, endpoint, status code</w:t>
      </w:r>
    </w:p>
    <w:p>
      <w:pPr>
        <w:pStyle w:val="ListParagraph"/>
        <w:numPr>
          <w:ilvl w:val="0"/>
          <w:numId w:val="2"/>
        </w:numPr>
        <w:spacing w:after="40" w:before="40"/>
      </w:pPr>
      <w:r>
        <w:rPr>
          <w:rFonts w:ascii="Arial" w:cs="Arial" w:eastAsia="Arial" w:hAnsi="Arial"/>
          <w:sz w:val="22"/>
          <w:szCs w:val="22"/>
        </w:rPr>
        <w:t xml:space="preserve">fraud_api_request_latency_seconds — latency histogram with p50/p95/p99 percentiles</w:t>
      </w:r>
    </w:p>
    <w:p>
      <w:pPr>
        <w:pStyle w:val="ListParagraph"/>
        <w:numPr>
          <w:ilvl w:val="0"/>
          <w:numId w:val="2"/>
        </w:numPr>
        <w:spacing w:after="40" w:before="40"/>
      </w:pPr>
      <w:r>
        <w:rPr>
          <w:rFonts w:ascii="Arial" w:cs="Arial" w:eastAsia="Arial" w:hAnsi="Arial"/>
          <w:sz w:val="22"/>
          <w:szCs w:val="22"/>
        </w:rPr>
        <w:t xml:space="preserve">fraud_api_errors_total — error count labelled by error type</w:t>
      </w:r>
    </w:p>
    <w:p>
      <w:pPr>
        <w:spacing w:after="0" w:before="0"/>
      </w:pPr>
      <w:r>
        <w:rPr>
          <w:sz w:val="22"/>
          <w:szCs w:val="22"/>
        </w:rPr>
        <w:t xml:space="preserve"/>
      </w:r>
    </w:p>
    <w:p>
      <w:pPr>
        <w:pStyle w:val="Heading3"/>
        <w:spacing w:after="80" w:before="180"/>
      </w:pPr>
      <w:r>
        <w:rPr>
          <w:rFonts w:ascii="Arial" w:cs="Arial" w:eastAsia="Arial" w:hAnsi="Arial"/>
          <w:b/>
          <w:bCs/>
          <w:color w:val="404040"/>
          <w:sz w:val="24"/>
          <w:szCs w:val="24"/>
        </w:rPr>
        <w:t xml:space="preserve">Model-Level Metrics</w:t>
      </w:r>
    </w:p>
    <w:p>
      <w:pPr>
        <w:pStyle w:val="ListParagraph"/>
        <w:numPr>
          <w:ilvl w:val="0"/>
          <w:numId w:val="2"/>
        </w:numPr>
        <w:spacing w:after="40" w:before="40"/>
      </w:pPr>
      <w:r>
        <w:rPr>
          <w:rFonts w:ascii="Arial" w:cs="Arial" w:eastAsia="Arial" w:hAnsi="Arial"/>
          <w:sz w:val="22"/>
          <w:szCs w:val="22"/>
        </w:rPr>
        <w:t xml:space="preserve">fraud_model_recall — rolling recall over last 100 predictions</w:t>
      </w:r>
    </w:p>
    <w:p>
      <w:pPr>
        <w:pStyle w:val="ListParagraph"/>
        <w:numPr>
          <w:ilvl w:val="0"/>
          <w:numId w:val="2"/>
        </w:numPr>
        <w:spacing w:after="40" w:before="40"/>
      </w:pPr>
      <w:r>
        <w:rPr>
          <w:rFonts w:ascii="Arial" w:cs="Arial" w:eastAsia="Arial" w:hAnsi="Arial"/>
          <w:sz w:val="22"/>
          <w:szCs w:val="22"/>
        </w:rPr>
        <w:t xml:space="preserve">fraud_false_positive_rate — rolling FPR</w:t>
      </w:r>
    </w:p>
    <w:p>
      <w:pPr>
        <w:pStyle w:val="ListParagraph"/>
        <w:numPr>
          <w:ilvl w:val="0"/>
          <w:numId w:val="2"/>
        </w:numPr>
        <w:spacing w:after="40" w:before="40"/>
      </w:pPr>
      <w:r>
        <w:rPr>
          <w:rFonts w:ascii="Arial" w:cs="Arial" w:eastAsia="Arial" w:hAnsi="Arial"/>
          <w:sz w:val="22"/>
          <w:szCs w:val="22"/>
        </w:rPr>
        <w:t xml:space="preserve">fraud_model_precision — rolling precision</w:t>
      </w:r>
    </w:p>
    <w:p>
      <w:pPr>
        <w:pStyle w:val="ListParagraph"/>
        <w:numPr>
          <w:ilvl w:val="0"/>
          <w:numId w:val="2"/>
        </w:numPr>
        <w:spacing w:after="40" w:before="40"/>
      </w:pPr>
      <w:r>
        <w:rPr>
          <w:rFonts w:ascii="Arial" w:cs="Arial" w:eastAsia="Arial" w:hAnsi="Arial"/>
          <w:sz w:val="22"/>
          <w:szCs w:val="22"/>
        </w:rPr>
        <w:t xml:space="preserve">fraud_prediction_confidence — prediction probability distribution histogram</w:t>
      </w:r>
    </w:p>
    <w:p>
      <w:pPr>
        <w:spacing w:after="0" w:before="0"/>
      </w:pPr>
      <w:r>
        <w:rPr>
          <w:sz w:val="22"/>
          <w:szCs w:val="22"/>
        </w:rPr>
        <w:t xml:space="preserve"/>
      </w:r>
    </w:p>
    <w:p>
      <w:pPr>
        <w:pStyle w:val="Heading3"/>
        <w:spacing w:after="80" w:before="180"/>
      </w:pPr>
      <w:r>
        <w:rPr>
          <w:rFonts w:ascii="Arial" w:cs="Arial" w:eastAsia="Arial" w:hAnsi="Arial"/>
          <w:b/>
          <w:bCs/>
          <w:color w:val="404040"/>
          <w:sz w:val="24"/>
          <w:szCs w:val="24"/>
        </w:rPr>
        <w:t xml:space="preserve">Data-Level Metrics</w:t>
      </w:r>
    </w:p>
    <w:p>
      <w:pPr>
        <w:pStyle w:val="ListParagraph"/>
        <w:numPr>
          <w:ilvl w:val="0"/>
          <w:numId w:val="2"/>
        </w:numPr>
        <w:spacing w:after="40" w:before="40"/>
      </w:pPr>
      <w:r>
        <w:rPr>
          <w:rFonts w:ascii="Arial" w:cs="Arial" w:eastAsia="Arial" w:hAnsi="Arial"/>
          <w:sz w:val="22"/>
          <w:szCs w:val="22"/>
        </w:rPr>
        <w:t xml:space="preserve">fraud_feature_drift_score — z-score drift vs training distribution, per feature</w:t>
      </w:r>
    </w:p>
    <w:p>
      <w:pPr>
        <w:pStyle w:val="ListParagraph"/>
        <w:numPr>
          <w:ilvl w:val="0"/>
          <w:numId w:val="2"/>
        </w:numPr>
        <w:spacing w:after="40" w:before="40"/>
      </w:pPr>
      <w:r>
        <w:rPr>
          <w:rFonts w:ascii="Arial" w:cs="Arial" w:eastAsia="Arial" w:hAnsi="Arial"/>
          <w:sz w:val="22"/>
          <w:szCs w:val="22"/>
        </w:rPr>
        <w:t xml:space="preserve">fraud_input_missing_value_rate — rate of missing values in incoming requests</w:t>
      </w:r>
    </w:p>
    <w:p>
      <w:pPr>
        <w:pStyle w:val="ListParagraph"/>
        <w:numPr>
          <w:ilvl w:val="0"/>
          <w:numId w:val="2"/>
        </w:numPr>
        <w:spacing w:after="40" w:before="40"/>
      </w:pPr>
      <w:r>
        <w:rPr>
          <w:rFonts w:ascii="Arial" w:cs="Arial" w:eastAsia="Arial" w:hAnsi="Arial"/>
          <w:sz w:val="22"/>
          <w:szCs w:val="22"/>
        </w:rPr>
        <w:t xml:space="preserve">fraud_input_anomalies_total — count of anomalous inputs by anomaly type</w:t>
      </w:r>
    </w:p>
    <w:p>
      <w:pPr>
        <w:spacing w:after="0" w:before="0"/>
      </w:pPr>
      <w:r>
        <w:rPr>
          <w:sz w:val="22"/>
          <w:szCs w:val="22"/>
        </w:rPr>
        <w:t xml:space="preserve"/>
      </w:r>
    </w:p>
    <w:p>
      <w:pPr>
        <w:pStyle w:val="Heading3"/>
        <w:spacing w:after="80" w:before="180"/>
      </w:pPr>
      <w:r>
        <w:rPr>
          <w:rFonts w:ascii="Arial" w:cs="Arial" w:eastAsia="Arial" w:hAnsi="Arial"/>
          <w:b/>
          <w:bCs/>
          <w:color w:val="404040"/>
          <w:sz w:val="24"/>
          <w:szCs w:val="24"/>
        </w:rPr>
        <w:t xml:space="preserve">Alert Rules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500"/>
        <w:gridCol w:w="290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Alert</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Condition</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Severity</w:t>
            </w:r>
          </w:p>
        </w:tc>
        <w:tc>
          <w:tcPr>
            <w:tcW w:type="dxa" w:w="2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FraudRecallDrop</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recall &lt; 0.75 for 2 min</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Critical</w:t>
            </w:r>
          </w:p>
        </w:tc>
        <w:tc>
          <w:tcPr>
            <w:tcW w:type="dxa" w:w="2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Trigger retraining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FeatureDriftDetected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drift score &gt; 0.7 for 1 min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Critical</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Trigger retraining</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APIDown</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API unreachable 1 min</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Critical</w:t>
            </w:r>
          </w:p>
        </w:tc>
        <w:tc>
          <w:tcPr>
            <w:tcW w:type="dxa" w:w="2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Page on-call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APILatencySpike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p95 &gt; 1.0s for 2 min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Critical</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Scale API</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HighFalsePositiveRate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FPR &gt; 25% for 5 min</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Warning</w:t>
            </w:r>
          </w:p>
        </w:tc>
        <w:tc>
          <w:tcPr>
            <w:tcW w:type="dxa" w:w="2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Review threshold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HighMissingValueRate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missing &gt; 20% for 2 min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Warning</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Check data pipeline</w:t>
            </w:r>
          </w:p>
        </w:tc>
      </w:tr>
    </w:tbl>
    <w:p>
      <w:pPr>
        <w:spacing w:after="0" w:before="0"/>
      </w:pPr>
      <w:r>
        <w:rPr>
          <w:sz w:val="22"/>
          <w:szCs w:val="22"/>
        </w:rPr>
        <w:t xml:space="preserve"/>
      </w:r>
    </w:p>
    <w:p>
      <w:r>
        <w:br w:type="page"/>
      </w:r>
    </w:p>
    <w:p>
      <w:pPr>
        <w:pStyle w:val="Heading2"/>
        <w:spacing w:after="120" w:before="240"/>
      </w:pPr>
      <w:r>
        <w:rPr>
          <w:rFonts w:ascii="Arial" w:cs="Arial" w:eastAsia="Arial" w:hAnsi="Arial"/>
          <w:b/>
          <w:bCs/>
          <w:color w:val="2E75B6"/>
          <w:sz w:val="26"/>
          <w:szCs w:val="26"/>
        </w:rPr>
        <w:t xml:space="preserve">3.7 Task 7 — Drift Simulation</w:t>
      </w:r>
    </w:p>
    <w:p>
      <w:pPr>
        <w:spacing w:after="120" w:before="80"/>
        <w:jc w:val="both"/>
      </w:pPr>
      <w:r>
        <w:rPr>
          <w:rFonts w:ascii="Arial" w:cs="Arial" w:eastAsia="Arial" w:hAnsi="Arial"/>
          <w:sz w:val="22"/>
          <w:szCs w:val="22"/>
        </w:rPr>
        <w:t xml:space="preserve">A realistic time-based drift simulation was implemented by sorting the dataset chronologically by TransactionDT and splitting into three temporal windows: early (0-50%) for training, middle (50-75%) as baseline, and late (75-100%) as the drifted test set.</w:t>
      </w:r>
    </w:p>
    <w:p>
      <w:pPr>
        <w:pStyle w:val="Heading3"/>
        <w:spacing w:after="80" w:before="180"/>
      </w:pPr>
      <w:r>
        <w:rPr>
          <w:rFonts w:ascii="Arial" w:cs="Arial" w:eastAsia="Arial" w:hAnsi="Arial"/>
          <w:b/>
          <w:bCs/>
          <w:color w:val="404040"/>
          <w:sz w:val="24"/>
          <w:szCs w:val="24"/>
        </w:rPr>
        <w:t xml:space="preserve">Drift Types Introduced</w:t>
      </w:r>
    </w:p>
    <w:p>
      <w:pPr>
        <w:pStyle w:val="ListParagraph"/>
        <w:numPr>
          <w:ilvl w:val="0"/>
          <w:numId w:val="2"/>
        </w:numPr>
        <w:spacing w:after="40" w:before="40"/>
      </w:pPr>
      <w:r>
        <w:rPr>
          <w:rFonts w:ascii="Arial" w:cs="Arial" w:eastAsia="Arial" w:hAnsi="Arial"/>
          <w:sz w:val="22"/>
          <w:szCs w:val="22"/>
        </w:rPr>
        <w:t xml:space="preserve">Drift Type 1 (Magnitude): Fraud transaction amounts inflated 3-8x to simulate high-value fraud ring</w:t>
      </w:r>
    </w:p>
    <w:p>
      <w:pPr>
        <w:pStyle w:val="ListParagraph"/>
        <w:numPr>
          <w:ilvl w:val="0"/>
          <w:numId w:val="2"/>
        </w:numPr>
        <w:spacing w:after="40" w:before="40"/>
      </w:pPr>
      <w:r>
        <w:rPr>
          <w:rFonts w:ascii="Arial" w:cs="Arial" w:eastAsia="Arial" w:hAnsi="Arial"/>
          <w:sz w:val="22"/>
          <w:szCs w:val="22"/>
        </w:rPr>
        <w:t xml:space="preserve">Drift Type 2 (Pattern): New fraud pattern introduced — card1 values shifted to 25,000-35,000 range, representing a new compromised card cluster</w:t>
      </w:r>
    </w:p>
    <w:p>
      <w:pPr>
        <w:pStyle w:val="ListParagraph"/>
        <w:numPr>
          <w:ilvl w:val="0"/>
          <w:numId w:val="2"/>
        </w:numPr>
        <w:spacing w:after="40" w:before="40"/>
      </w:pPr>
      <w:r>
        <w:rPr>
          <w:rFonts w:ascii="Arial" w:cs="Arial" w:eastAsia="Arial" w:hAnsi="Arial"/>
          <w:sz w:val="22"/>
          <w:szCs w:val="22"/>
        </w:rPr>
        <w:t xml:space="preserve">Drift Type 3 (Distribution): addr1 feature distribution shifted for fraud cases, simulating new geographic fraud patterns</w:t>
      </w:r>
    </w:p>
    <w:p>
      <w:pPr>
        <w:spacing w:after="0" w:before="0"/>
      </w:pPr>
      <w:r>
        <w:rPr>
          <w:sz w:val="22"/>
          <w:szCs w:val="22"/>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800"/>
        <w:gridCol w:w="160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Period</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AUC-ROC</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Recall</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Precision</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F1</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Baseline (Middle 25%)</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0.8613</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0.7165</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0.1538</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0.2533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Drifted (Late 25%)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0.8755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0.7224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0.1525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0.2518</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Delta</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+0.0142</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+0.0058</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-0.0013</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-0.0014</w:t>
            </w:r>
          </w:p>
        </w:tc>
      </w:tr>
    </w:tbl>
    <w:p>
      <w:pPr>
        <w:spacing w:after="0" w:before="0"/>
      </w:pPr>
      <w:r>
        <w:rPr>
          <w:sz w:val="22"/>
          <w:szCs w:val="22"/>
        </w:rPr>
        <w:t xml:space="preserve"/>
      </w:r>
    </w:p>
    <w:p>
      <w:pPr>
        <w:spacing w:after="120" w:before="80"/>
        <w:jc w:val="both"/>
      </w:pPr>
      <w:r>
        <w:rPr>
          <w:rFonts w:ascii="Arial" w:cs="Arial" w:eastAsia="Arial" w:hAnsi="Arial"/>
          <w:sz w:val="22"/>
          <w:szCs w:val="22"/>
        </w:rPr>
        <w:t xml:space="preserve">The most notable finding was the complete reshuffling of feature importances. TransactionAmt jumped from outside the top 10 at training time to the #1 most important feature on the drifted test set, directly reflecting the amount inflation drift. This confirms that feature importance monitoring is an effective early-warning mechanism for data drift, even when aggregate performance metrics remain stable.</w:t>
      </w:r>
    </w:p>
    <w:p>
      <w:pPr>
        <w:spacing w:after="0" w:before="0"/>
      </w:pPr>
      <w:r>
        <w:rPr>
          <w:sz w:val="22"/>
          <w:szCs w:val="22"/>
        </w:rPr>
        <w:t xml:space="preserve"/>
      </w:r>
    </w:p>
    <w:p>
      <w:pPr>
        <w:pStyle w:val="Heading2"/>
        <w:spacing w:after="120" w:before="240"/>
      </w:pPr>
      <w:r>
        <w:rPr>
          <w:rFonts w:ascii="Arial" w:cs="Arial" w:eastAsia="Arial" w:hAnsi="Arial"/>
          <w:b/>
          <w:bCs/>
          <w:color w:val="2E75B6"/>
          <w:sz w:val="26"/>
          <w:szCs w:val="26"/>
        </w:rPr>
        <w:t xml:space="preserve">3.8 Task 8 — Intelligent Retraining Strategy</w:t>
      </w:r>
    </w:p>
    <w:p>
      <w:pPr>
        <w:spacing w:after="120" w:before="80"/>
        <w:jc w:val="both"/>
      </w:pPr>
      <w:r>
        <w:rPr>
          <w:rFonts w:ascii="Arial" w:cs="Arial" w:eastAsia="Arial" w:hAnsi="Arial"/>
          <w:sz w:val="22"/>
          <w:szCs w:val="22"/>
        </w:rPr>
        <w:t xml:space="preserve">Three retraining strategies were designed and compared across 12 simulated time windows with gradually increasing drift intensity (ramp from 1x to 5x drift multiplier over the simulation).</w:t>
      </w:r>
    </w:p>
    <w:p>
      <w:pPr>
        <w:pStyle w:val="Heading3"/>
        <w:spacing w:after="80" w:before="180"/>
      </w:pPr>
      <w:r>
        <w:rPr>
          <w:rFonts w:ascii="Arial" w:cs="Arial" w:eastAsia="Arial" w:hAnsi="Arial"/>
          <w:b/>
          <w:bCs/>
          <w:color w:val="404040"/>
          <w:sz w:val="24"/>
          <w:szCs w:val="24"/>
        </w:rPr>
        <w:t xml:space="preserve">Strategy Descriptions</w:t>
      </w:r>
    </w:p>
    <w:p>
      <w:pPr>
        <w:pStyle w:val="ListParagraph"/>
        <w:numPr>
          <w:ilvl w:val="0"/>
          <w:numId w:val="2"/>
        </w:numPr>
        <w:spacing w:after="40" w:before="40"/>
      </w:pPr>
      <w:r>
        <w:rPr>
          <w:rFonts w:ascii="Arial" w:cs="Arial" w:eastAsia="Arial" w:hAnsi="Arial"/>
          <w:sz w:val="22"/>
          <w:szCs w:val="22"/>
        </w:rPr>
        <w:t xml:space="preserve">Threshold-Based: retrain only when recall drops below 0.75. Reactive — conserves compute but may lag on gradual drift.</w:t>
      </w:r>
    </w:p>
    <w:p>
      <w:pPr>
        <w:pStyle w:val="ListParagraph"/>
        <w:numPr>
          <w:ilvl w:val="0"/>
          <w:numId w:val="2"/>
        </w:numPr>
        <w:spacing w:after="40" w:before="40"/>
      </w:pPr>
      <w:r>
        <w:rPr>
          <w:rFonts w:ascii="Arial" w:cs="Arial" w:eastAsia="Arial" w:hAnsi="Arial"/>
          <w:sz w:val="22"/>
          <w:szCs w:val="22"/>
        </w:rPr>
        <w:t xml:space="preserve">Periodic: retrain every 3 windows regardless of performance. Predictable schedule but wastes compute when model is stable.</w:t>
      </w:r>
    </w:p>
    <w:p>
      <w:pPr>
        <w:pStyle w:val="ListParagraph"/>
        <w:numPr>
          <w:ilvl w:val="0"/>
          <w:numId w:val="2"/>
        </w:numPr>
        <w:spacing w:after="40" w:before="40"/>
      </w:pPr>
      <w:r>
        <w:rPr>
          <w:rFonts w:ascii="Arial" w:cs="Arial" w:eastAsia="Arial" w:hAnsi="Arial"/>
          <w:sz w:val="22"/>
          <w:szCs w:val="22"/>
        </w:rPr>
        <w:t xml:space="preserve">Hybrid: retrain on recall drop OR when 6 windows have passed since last retrain (safety net). Balances reactivity and freshness.</w:t>
      </w:r>
    </w:p>
    <w:p>
      <w:pPr>
        <w:spacing w:after="0" w:before="0"/>
      </w:pPr>
      <w:r>
        <w:rPr>
          <w:sz w:val="22"/>
          <w:szCs w:val="22"/>
        </w:rPr>
        <w:t xml:space="preserve"/>
      </w:r>
    </w:p>
    <w:tbl>
      <w:tblPr>
        <w:tblW w:type="dxa" w:w="113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400"/>
        <w:gridCol w:w="1800"/>
        <w:gridCol w:w="1800"/>
        <w:gridCol w:w="240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Strategy</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Retrains</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Compute</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Mean Recall</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Min Recall</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Std (Stability)</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Threshold-Based</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2</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2.0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0.8131</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0.7551</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0.037</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Periodic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0.8603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0.6867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0.090</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Hybrid (Recommended)</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3.0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0.8472</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0.7611</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0.063</w:t>
            </w:r>
          </w:p>
        </w:tc>
      </w:tr>
    </w:tbl>
    <w:p>
      <w:pPr>
        <w:spacing w:after="0" w:before="0"/>
      </w:pPr>
      <w:r>
        <w:rPr>
          <w:sz w:val="22"/>
          <w:szCs w:val="22"/>
        </w:rPr>
        <w:t xml:space="preserve"/>
      </w:r>
    </w:p>
    <w:p>
      <w:pPr>
        <w:spacing w:after="120" w:before="80"/>
        <w:jc w:val="both"/>
      </w:pPr>
      <w:r>
        <w:rPr>
          <w:rFonts w:ascii="Arial" w:cs="Arial" w:eastAsia="Arial" w:hAnsi="Arial"/>
          <w:sz w:val="22"/>
          <w:szCs w:val="22"/>
        </w:rPr>
        <w:t xml:space="preserve">Threshold-Based achieved the highest efficiency (lowest compute, best stability) but Periodic scored the highest mean recall by continuously accumulating newer training data. The Hybrid strategy is recommended for production: it maintained zero windows below the 0.75 threshold, its max-interval trigger at Window 9 boosted recall from 0.83 to 0.93 for all subsequent windows, and its compute cost is moderate at 3 retraining events versus 4 for Periodic.</w:t>
      </w:r>
    </w:p>
    <w:p>
      <w:pPr>
        <w:spacing w:after="0" w:before="0"/>
      </w:pPr>
      <w:r>
        <w:rPr>
          <w:sz w:val="22"/>
          <w:szCs w:val="22"/>
        </w:rPr>
        <w:t xml:space="preserve"/>
      </w:r>
    </w:p>
    <w:p>
      <w:r>
        <w:br w:type="page"/>
      </w:r>
    </w:p>
    <w:p>
      <w:pPr>
        <w:pStyle w:val="Heading2"/>
        <w:spacing w:after="120" w:before="240"/>
      </w:pPr>
      <w:r>
        <w:rPr>
          <w:rFonts w:ascii="Arial" w:cs="Arial" w:eastAsia="Arial" w:hAnsi="Arial"/>
          <w:b/>
          <w:bCs/>
          <w:color w:val="2E75B6"/>
          <w:sz w:val="26"/>
          <w:szCs w:val="26"/>
        </w:rPr>
        <w:t xml:space="preserve">3.9 Task 9 — Explainability</w:t>
      </w:r>
    </w:p>
    <w:p>
      <w:pPr>
        <w:spacing w:after="120" w:before="80"/>
        <w:jc w:val="both"/>
      </w:pPr>
      <w:r>
        <w:rPr>
          <w:rFonts w:ascii="Arial" w:cs="Arial" w:eastAsia="Arial" w:hAnsi="Arial"/>
          <w:sz w:val="22"/>
          <w:szCs w:val="22"/>
        </w:rPr>
        <w:t xml:space="preserve">SHAP TreeExplainer was applied to the trained XGBoost model using a 2,000-row stratified sample from the test set. TreeExplainer is exact (not approximate) for tree-based models, computing the true Shapley values efficiently without sampling approximations.</w:t>
      </w:r>
    </w:p>
    <w:p>
      <w:pPr>
        <w:pStyle w:val="Heading3"/>
        <w:spacing w:after="80" w:before="180"/>
      </w:pPr>
      <w:r>
        <w:rPr>
          <w:rFonts w:ascii="Arial" w:cs="Arial" w:eastAsia="Arial" w:hAnsi="Arial"/>
          <w:b/>
          <w:bCs/>
          <w:color w:val="404040"/>
          <w:sz w:val="24"/>
          <w:szCs w:val="24"/>
        </w:rPr>
        <w:t xml:space="preserve">Global Feature Importance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1800"/>
        <w:gridCol w:w="4800"/>
      </w:tblGrid>
      <w:tr>
        <w:trPr>
          <w:tblHeader/>
        </w:trPr>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Rank</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Mean |SHAP|</w:t>
            </w:r>
          </w:p>
        </w:tc>
        <w:tc>
          <w:tcPr>
            <w:tcW w:type="dxa" w:w="4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Interpretation</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DeviceInfo</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0.3988</w:t>
            </w:r>
          </w:p>
        </w:tc>
        <w:tc>
          <w:tcPr>
            <w:tcW w:type="dxa" w:w="4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Device fingerprint — strongest fraud signal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V258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0.3687</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Vesta engineered feature — transaction behaviour</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C1</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0.2982</w:t>
            </w:r>
          </w:p>
        </w:tc>
        <w:tc>
          <w:tcPr>
            <w:tcW w:type="dxa" w:w="4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Count feature — address match history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R_emaildomain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0.2596</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Recipient email domain — risky domains</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C14</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0.2459</w:t>
            </w:r>
          </w:p>
        </w:tc>
        <w:tc>
          <w:tcPr>
            <w:tcW w:type="dxa" w:w="4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Count feature — identity match count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card6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0.2410</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Card type (debit/credit/charge)</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7</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TransactionAmt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0.2198</w:t>
            </w:r>
          </w:p>
        </w:tc>
        <w:tc>
          <w:tcPr>
            <w:tcW w:type="dxa" w:w="4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Transaction amount relative to history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0.1854</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Count feature — payment method changes</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9</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C13</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0.1727</w:t>
            </w:r>
          </w:p>
        </w:tc>
        <w:tc>
          <w:tcPr>
            <w:tcW w:type="dxa" w:w="4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Count feature — user account history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V294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0.1480</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Vesta feature — behavioural pattern</w:t>
            </w:r>
          </w:p>
        </w:tc>
      </w:tr>
    </w:tbl>
    <w:p>
      <w:pPr>
        <w:spacing w:after="0" w:before="0"/>
      </w:pPr>
      <w:r>
        <w:rPr>
          <w:sz w:val="22"/>
          <w:szCs w:val="22"/>
        </w:rPr>
        <w:t xml:space="preserve"/>
      </w:r>
    </w:p>
    <w:p>
      <w:pPr>
        <w:pStyle w:val="Heading3"/>
        <w:spacing w:after="80" w:before="180"/>
      </w:pPr>
      <w:r>
        <w:rPr>
          <w:rFonts w:ascii="Arial" w:cs="Arial" w:eastAsia="Arial" w:hAnsi="Arial"/>
          <w:b/>
          <w:bCs/>
          <w:color w:val="404040"/>
          <w:sz w:val="24"/>
          <w:szCs w:val="24"/>
        </w:rPr>
        <w:t xml:space="preserve">Local Explanation — Most Confident Fraud Case</w:t>
      </w:r>
    </w:p>
    <w:p>
      <w:pPr>
        <w:spacing w:after="120" w:before="80"/>
        <w:jc w:val="both"/>
      </w:pPr>
      <w:r>
        <w:rPr>
          <w:rFonts w:ascii="Arial" w:cs="Arial" w:eastAsia="Arial" w:hAnsi="Arial"/>
          <w:sz w:val="22"/>
          <w:szCs w:val="22"/>
        </w:rPr>
        <w:t xml:space="preserve">The most confidently predicted fraud transaction (probability = 99.91%) had all top 10 SHAP drivers pushing toward the fraud class:</w:t>
      </w:r>
    </w:p>
    <w:p>
      <w:pPr>
        <w:pStyle w:val="ListParagraph"/>
        <w:numPr>
          <w:ilvl w:val="0"/>
          <w:numId w:val="2"/>
        </w:numPr>
        <w:spacing w:after="40" w:before="40"/>
      </w:pPr>
      <w:r>
        <w:rPr>
          <w:rFonts w:ascii="Arial" w:cs="Arial" w:eastAsia="Arial" w:hAnsi="Arial"/>
          <w:sz w:val="22"/>
          <w:szCs w:val="22"/>
        </w:rPr>
        <w:t xml:space="preserve">DeviceInfo: SHAP = +2.0018 (dominant signal — device not seen before for this card)</w:t>
      </w:r>
    </w:p>
    <w:p>
      <w:pPr>
        <w:pStyle w:val="ListParagraph"/>
        <w:numPr>
          <w:ilvl w:val="0"/>
          <w:numId w:val="2"/>
        </w:numPr>
        <w:spacing w:after="40" w:before="40"/>
      </w:pPr>
      <w:r>
        <w:rPr>
          <w:rFonts w:ascii="Arial" w:cs="Arial" w:eastAsia="Arial" w:hAnsi="Arial"/>
          <w:sz w:val="22"/>
          <w:szCs w:val="22"/>
        </w:rPr>
        <w:t xml:space="preserve">V258: SHAP = +1.1700 (unusual transaction pattern for this user)</w:t>
      </w:r>
    </w:p>
    <w:p>
      <w:pPr>
        <w:pStyle w:val="ListParagraph"/>
        <w:numPr>
          <w:ilvl w:val="0"/>
          <w:numId w:val="2"/>
        </w:numPr>
        <w:spacing w:after="40" w:before="40"/>
      </w:pPr>
      <w:r>
        <w:rPr>
          <w:rFonts w:ascii="Arial" w:cs="Arial" w:eastAsia="Arial" w:hAnsi="Arial"/>
          <w:sz w:val="22"/>
          <w:szCs w:val="22"/>
        </w:rPr>
        <w:t xml:space="preserve">V261: SHAP = +0.6729 (behavioural anomaly)</w:t>
      </w:r>
    </w:p>
    <w:p>
      <w:pPr>
        <w:pStyle w:val="ListParagraph"/>
        <w:numPr>
          <w:ilvl w:val="0"/>
          <w:numId w:val="2"/>
        </w:numPr>
        <w:spacing w:after="40" w:before="40"/>
      </w:pPr>
      <w:r>
        <w:rPr>
          <w:rFonts w:ascii="Arial" w:cs="Arial" w:eastAsia="Arial" w:hAnsi="Arial"/>
          <w:sz w:val="22"/>
          <w:szCs w:val="22"/>
        </w:rPr>
        <w:t xml:space="preserve">C14: SHAP = +0.4398 (zero identity matches — new identity)</w:t>
      </w:r>
    </w:p>
    <w:p>
      <w:pPr>
        <w:pStyle w:val="ListParagraph"/>
        <w:numPr>
          <w:ilvl w:val="0"/>
          <w:numId w:val="2"/>
        </w:numPr>
        <w:spacing w:after="40" w:before="40"/>
      </w:pPr>
      <w:r>
        <w:rPr>
          <w:rFonts w:ascii="Arial" w:cs="Arial" w:eastAsia="Arial" w:hAnsi="Arial"/>
          <w:sz w:val="22"/>
          <w:szCs w:val="22"/>
        </w:rPr>
        <w:t xml:space="preserve">R_emaildomain: SHAP = +0.4235 (risky recipient email domain)</w:t>
      </w:r>
    </w:p>
    <w:p>
      <w:pPr>
        <w:spacing w:after="120" w:before="80"/>
        <w:jc w:val="both"/>
      </w:pPr>
      <w:r>
        <w:rPr>
          <w:rFonts w:ascii="Arial" w:cs="Arial" w:eastAsia="Arial" w:hAnsi="Arial"/>
          <w:sz w:val="22"/>
          <w:szCs w:val="22"/>
        </w:rPr>
        <w:t xml:space="preserve">This local explanation provides a clear audit trail: the transaction was flagged primarily because the device fingerprint was anomalous for the card, combined with unusual transaction behaviour and a suspicious recipient domain. This type of explanation is essential for regulatory compliance (e.g., EU AI Act, PSD2) and fraud analyst investigation workflows.</w:t>
      </w:r>
    </w:p>
    <w:p>
      <w:pPr>
        <w:spacing w:after="0" w:before="0"/>
      </w:pPr>
      <w:r>
        <w:rPr>
          <w:sz w:val="22"/>
          <w:szCs w:val="22"/>
        </w:rPr>
        <w:t xml:space="preserve"/>
      </w:r>
    </w:p>
    <w:p>
      <w:pPr>
        <w:pStyle w:val="Heading3"/>
        <w:spacing w:after="80" w:before="180"/>
      </w:pPr>
      <w:r>
        <w:rPr>
          <w:rFonts w:ascii="Arial" w:cs="Arial" w:eastAsia="Arial" w:hAnsi="Arial"/>
          <w:b/>
          <w:bCs/>
          <w:color w:val="404040"/>
          <w:sz w:val="24"/>
          <w:szCs w:val="24"/>
        </w:rPr>
        <w:t xml:space="preserve">Fraud vs Legitimate Feature Comparison</w:t>
      </w:r>
    </w:p>
    <w:p>
      <w:pPr>
        <w:spacing w:after="120" w:before="80"/>
        <w:jc w:val="both"/>
      </w:pPr>
      <w:r>
        <w:rPr>
          <w:rFonts w:ascii="Arial" w:cs="Arial" w:eastAsia="Arial" w:hAnsi="Arial"/>
          <w:sz w:val="22"/>
          <w:szCs w:val="22"/>
        </w:rPr>
        <w:t xml:space="preserve">A key insight from comparing SHAP values between fraud and legitimate predictions: DeviceInfo, V258, and C1 show substantially higher SHAP magnitudes for fraud predictions than for legitimate ones, confirming they are genuinely discriminative and not just high-variance features. TransactionAmt, by contrast, has nearly identical SHAP magnitudes for both classes — meaning its importance is not fraud-specific but general (high-amount transactions are uncertain regardless of fraud status).</w:t>
      </w:r>
    </w:p>
    <w:p>
      <w:pPr>
        <w:spacing w:after="0" w:before="0"/>
      </w:pPr>
      <w:r>
        <w:rPr>
          <w:sz w:val="22"/>
          <w:szCs w:val="22"/>
        </w:rPr>
        <w:t xml:space="preserve"/>
      </w:r>
    </w:p>
    <w:p>
      <w:r>
        <w:br w:type="page"/>
      </w:r>
    </w:p>
    <w:p>
      <w:pPr>
        <w:pStyle w:val="Heading1"/>
        <w:spacing w:after="160" w:before="320"/>
      </w:pPr>
      <w:r>
        <w:rPr>
          <w:rFonts w:ascii="Arial" w:cs="Arial" w:eastAsia="Arial" w:hAnsi="Arial"/>
          <w:b/>
          <w:bCs/>
          <w:color w:val="1F4E79"/>
          <w:sz w:val="32"/>
          <w:szCs w:val="32"/>
        </w:rPr>
        <w:t xml:space="preserve">4. Results Summary</w:t>
      </w:r>
    </w:p>
    <w:p>
      <w:pPr>
        <w:pBdr>
          <w:bottom w:val="single" w:color="2E75B6" w:sz="4" w:space="1"/>
        </w:pBdr>
        <w:spacing w:after="120" w:before="12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180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Task</w:t>
            </w:r>
          </w:p>
        </w:tc>
        <w:tc>
          <w:tcPr>
            <w:tcW w:type="dxa" w:w="5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Result</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Task 1: Kubeflow Setup</w:t>
            </w:r>
          </w:p>
        </w:tc>
        <w:tc>
          <w:tcPr>
            <w:tcW w:type="dxa" w:w="5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14/14 pods running, pipeline compiled and deployed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Complete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Task 2: Data Challenges</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Undersampling AUC=0.9406, recall=84% vs SMOTE AUC=0.9265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Complete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Task 3: Model Complexity</w:t>
            </w:r>
          </w:p>
        </w:tc>
        <w:tc>
          <w:tcPr>
            <w:tcW w:type="dxa" w:w="5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Hybrid RF+XGB: AUC=0.9350, Recall=82.89%</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Complete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Task 4: Cost-Sensitive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Standard XGBoost lowest cost at $503,320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Complete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Task 5: CI/CD</w:t>
            </w:r>
          </w:p>
        </w:tc>
        <w:tc>
          <w:tcPr>
            <w:tcW w:type="dxa" w:w="5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4-stage GitHub Actions, intelligent retraining trigger</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Complete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Task 6: Monitoring</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 Prometheus alerts, 3 Grafana dashboards live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Complete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Task 7: Drift Simulation</w:t>
            </w:r>
          </w:p>
        </w:tc>
        <w:tc>
          <w:tcPr>
            <w:tcW w:type="dxa" w:w="5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3 drift types, feature importance completely reshuffled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Complete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Task 8: Retraining</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Hybrid strategy: 0 windows below threshold, 3 retrains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Complete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Task 9: Explainability</w:t>
            </w:r>
          </w:p>
        </w:tc>
        <w:tc>
          <w:tcPr>
            <w:tcW w:type="dxa" w:w="5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SHAP: DeviceInfo top signal, 99.91% confidence fraud explained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Complete</w:t>
            </w:r>
          </w:p>
        </w:tc>
      </w:tr>
    </w:tbl>
    <w:p>
      <w:pPr>
        <w:spacing w:after="0" w:before="0"/>
      </w:pPr>
      <w:r>
        <w:rPr>
          <w:sz w:val="44"/>
          <w:szCs w:val="44"/>
        </w:rPr>
        <w:t xml:space="preserve"/>
      </w:r>
    </w:p>
    <w:p>
      <w:pPr>
        <w:pStyle w:val="Heading2"/>
        <w:spacing w:after="120" w:before="240"/>
      </w:pPr>
      <w:r>
        <w:rPr>
          <w:rFonts w:ascii="Arial" w:cs="Arial" w:eastAsia="Arial" w:hAnsi="Arial"/>
          <w:b/>
          <w:bCs/>
          <w:color w:val="2E75B6"/>
          <w:sz w:val="26"/>
          <w:szCs w:val="26"/>
        </w:rPr>
        <w:t xml:space="preserve">4.1 Model Performance Overview</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500"/>
        <w:gridCol w:w="5800"/>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5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Best Model</w:t>
            </w:r>
          </w:p>
        </w:tc>
        <w:tc>
          <w:tcPr>
            <w:tcW w:type="dxa" w:w="5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Hybrid (Random Forest + XGBoost)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AUC-ROC</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0.9350</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Fraud Recall</w:t>
            </w:r>
          </w:p>
        </w:tc>
        <w:tc>
          <w:tcPr>
            <w:tcW w:type="dxa" w:w="5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82.89%</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False Positive Rate</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~10.7%</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Deployment Gate</w:t>
            </w:r>
          </w:p>
        </w:tc>
        <w:tc>
          <w:tcPr>
            <w:tcW w:type="dxa" w:w="5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AUC &gt; 0.85 — PASSED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Retraining Threshold</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Recall &lt; 0.75</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Monitoring Alerts</w:t>
            </w:r>
          </w:p>
        </w:tc>
        <w:tc>
          <w:tcPr>
            <w:tcW w:type="dxa" w:w="5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6 rules across 3 alert groups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CI/CD Stages</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 (CI, Build, Deploy, Intelligent Trigger)</w:t>
            </w:r>
          </w:p>
        </w:tc>
      </w:tr>
    </w:tbl>
    <w:p>
      <w:pPr>
        <w:spacing w:after="0" w:before="0"/>
      </w:pPr>
      <w:r>
        <w:rPr>
          <w:sz w:val="22"/>
          <w:szCs w:val="22"/>
        </w:rPr>
        <w:t xml:space="preserve"/>
      </w:r>
    </w:p>
    <w:p>
      <w:r>
        <w:br w:type="page"/>
      </w:r>
    </w:p>
    <w:p>
      <w:pPr>
        <w:pStyle w:val="Heading1"/>
        <w:spacing w:after="160" w:before="320"/>
      </w:pPr>
      <w:r>
        <w:rPr>
          <w:rFonts w:ascii="Arial" w:cs="Arial" w:eastAsia="Arial" w:hAnsi="Arial"/>
          <w:b/>
          <w:bCs/>
          <w:color w:val="1F4E79"/>
          <w:sz w:val="32"/>
          <w:szCs w:val="32"/>
        </w:rPr>
        <w:t xml:space="preserve">5. Discussion</w:t>
      </w:r>
    </w:p>
    <w:p>
      <w:pPr>
        <w:pBdr>
          <w:bottom w:val="single" w:color="2E75B6" w:sz="4" w:space="1"/>
        </w:pBdr>
        <w:spacing w:after="120" w:before="120"/>
      </w:pPr>
      <w:r>
        <w:t xml:space="preserve"/>
      </w:r>
    </w:p>
    <w:p>
      <w:pPr>
        <w:pStyle w:val="Heading2"/>
        <w:spacing w:after="120" w:before="240"/>
      </w:pPr>
      <w:r>
        <w:rPr>
          <w:rFonts w:ascii="Arial" w:cs="Arial" w:eastAsia="Arial" w:hAnsi="Arial"/>
          <w:b/>
          <w:bCs/>
          <w:color w:val="2E75B6"/>
          <w:sz w:val="26"/>
          <w:szCs w:val="26"/>
        </w:rPr>
        <w:t xml:space="preserve">5.1 Key Findings</w:t>
      </w:r>
    </w:p>
    <w:p>
      <w:pPr>
        <w:spacing w:after="120" w:before="80"/>
        <w:jc w:val="both"/>
      </w:pPr>
      <w:r>
        <w:rPr>
          <w:rFonts w:ascii="Arial" w:cs="Arial" w:eastAsia="Arial" w:hAnsi="Arial"/>
          <w:sz w:val="22"/>
          <w:szCs w:val="22"/>
        </w:rPr>
        <w:t xml:space="preserve">The most significant finding across all tasks is the primacy of non-amount features in fraud detection. While TransactionAmt is frequently assumed to be the dominant fraud signal, SHAP analysis reveals that device fingerprinting (DeviceInfo) and behavioural count features (C1, C11, C14) are substantially more discriminative. This has practical implications: a fraudster using a stolen card at a typical transaction amount would evade amount-based rules but be caught by the device and behavioural signals.</w:t>
      </w:r>
    </w:p>
    <w:p>
      <w:pPr>
        <w:spacing w:after="120" w:before="80"/>
        <w:jc w:val="both"/>
      </w:pPr>
      <w:r>
        <w:rPr>
          <w:rFonts w:ascii="Arial" w:cs="Arial" w:eastAsia="Arial" w:hAnsi="Arial"/>
          <w:sz w:val="22"/>
          <w:szCs w:val="22"/>
        </w:rPr>
        <w:t xml:space="preserve">The cost-sensitive learning experiment produced a counter-intuitive result: under the $500/$10 cost assumption, standard training outperformed aggressive cost-sensitive weighting. This occurred because the false alarm cost at scale (12,000-70,000 false positives) dominated the fraud savings. The result highlights a common MLOps pitfall: optimising a single metric (recall) without considering the full business cost function can lead to worse production outcomes.</w:t>
      </w:r>
    </w:p>
    <w:p>
      <w:pPr>
        <w:spacing w:after="120" w:before="80"/>
        <w:jc w:val="both"/>
      </w:pPr>
      <w:r>
        <w:rPr>
          <w:rFonts w:ascii="Arial" w:cs="Arial" w:eastAsia="Arial" w:hAnsi="Arial"/>
          <w:sz w:val="22"/>
          <w:szCs w:val="22"/>
        </w:rPr>
        <w:t xml:space="preserve">The drift simulation demonstrated that feature importance is a more sensitive drift indicator than aggregate performance metrics. AUC and recall remained relatively stable after drift was introduced, while the top-10 feature importance rankings changed completely. In production systems, monitoring feature SHAP distributions over time provides earlier drift warnings than waiting for recall to degrade.</w:t>
      </w:r>
    </w:p>
    <w:p>
      <w:pPr>
        <w:pStyle w:val="Heading2"/>
        <w:spacing w:after="120" w:before="240"/>
      </w:pPr>
      <w:r>
        <w:rPr>
          <w:rFonts w:ascii="Arial" w:cs="Arial" w:eastAsia="Arial" w:hAnsi="Arial"/>
          <w:b/>
          <w:bCs/>
          <w:color w:val="2E75B6"/>
          <w:sz w:val="26"/>
          <w:szCs w:val="26"/>
        </w:rPr>
        <w:t xml:space="preserve">5.2 Limitations</w:t>
      </w:r>
    </w:p>
    <w:p>
      <w:pPr>
        <w:pStyle w:val="ListParagraph"/>
        <w:numPr>
          <w:ilvl w:val="0"/>
          <w:numId w:val="2"/>
        </w:numPr>
        <w:spacing w:after="40" w:before="40"/>
      </w:pPr>
      <w:r>
        <w:rPr>
          <w:rFonts w:ascii="Arial" w:cs="Arial" w:eastAsia="Arial" w:hAnsi="Arial"/>
          <w:sz w:val="22"/>
          <w:szCs w:val="22"/>
        </w:rPr>
        <w:t xml:space="preserve">The dataset uses anonymised Vesta-engineered features (V1-V339) whose business meaning is undisclosed, limiting interpretability of the SHAP explanations for those features.</w:t>
      </w:r>
    </w:p>
    <w:p>
      <w:pPr>
        <w:pStyle w:val="ListParagraph"/>
        <w:numPr>
          <w:ilvl w:val="0"/>
          <w:numId w:val="2"/>
        </w:numPr>
        <w:spacing w:after="40" w:before="40"/>
      </w:pPr>
      <w:r>
        <w:rPr>
          <w:rFonts w:ascii="Arial" w:cs="Arial" w:eastAsia="Arial" w:hAnsi="Arial"/>
          <w:sz w:val="22"/>
          <w:szCs w:val="22"/>
        </w:rPr>
        <w:t xml:space="preserve">The monitoring stack simulates traffic rather than processing live transactions; in production, the inference API would integrate with a real transaction stream.</w:t>
      </w:r>
    </w:p>
    <w:p>
      <w:pPr>
        <w:pStyle w:val="ListParagraph"/>
        <w:numPr>
          <w:ilvl w:val="0"/>
          <w:numId w:val="2"/>
        </w:numPr>
        <w:spacing w:after="40" w:before="40"/>
      </w:pPr>
      <w:r>
        <w:rPr>
          <w:rFonts w:ascii="Arial" w:cs="Arial" w:eastAsia="Arial" w:hAnsi="Arial"/>
          <w:sz w:val="22"/>
          <w:szCs w:val="22"/>
        </w:rPr>
        <w:t xml:space="preserve">The cost parameters ($500 fraud loss, $10 false alarm cost) are illustrative. Real deployment would require calibration to actual transaction amounts and investigation costs.</w:t>
      </w:r>
    </w:p>
    <w:p>
      <w:pPr>
        <w:pStyle w:val="ListParagraph"/>
        <w:numPr>
          <w:ilvl w:val="0"/>
          <w:numId w:val="2"/>
        </w:numPr>
        <w:spacing w:after="40" w:before="40"/>
      </w:pPr>
      <w:r>
        <w:rPr>
          <w:rFonts w:ascii="Arial" w:cs="Arial" w:eastAsia="Arial" w:hAnsi="Arial"/>
          <w:sz w:val="22"/>
          <w:szCs w:val="22"/>
        </w:rPr>
        <w:t xml:space="preserve">Minikube is a single-node development cluster; production deployment would require a multi-node Kubernetes cluster with high availability.</w:t>
      </w:r>
    </w:p>
    <w:p>
      <w:pPr>
        <w:spacing w:after="0" w:before="0"/>
      </w:pPr>
      <w:r>
        <w:rPr>
          <w:sz w:val="22"/>
          <w:szCs w:val="22"/>
        </w:rPr>
        <w:t xml:space="preserve"/>
      </w:r>
    </w:p>
    <w:p>
      <w:pPr>
        <w:pStyle w:val="Heading2"/>
        <w:spacing w:after="120" w:before="240"/>
      </w:pPr>
      <w:r>
        <w:rPr>
          <w:rFonts w:ascii="Arial" w:cs="Arial" w:eastAsia="Arial" w:hAnsi="Arial"/>
          <w:b/>
          <w:bCs/>
          <w:color w:val="2E75B6"/>
          <w:sz w:val="26"/>
          <w:szCs w:val="26"/>
        </w:rPr>
        <w:t xml:space="preserve">5.3 Production Recommendations</w:t>
      </w:r>
    </w:p>
    <w:p>
      <w:pPr>
        <w:pStyle w:val="ListParagraph"/>
        <w:numPr>
          <w:ilvl w:val="0"/>
          <w:numId w:val="2"/>
        </w:numPr>
        <w:spacing w:after="40" w:before="40"/>
      </w:pPr>
      <w:r>
        <w:rPr>
          <w:rFonts w:ascii="Arial" w:cs="Arial" w:eastAsia="Arial" w:hAnsi="Arial"/>
          <w:sz w:val="22"/>
          <w:szCs w:val="22"/>
        </w:rPr>
        <w:t xml:space="preserve">Deploy Hybrid retraining strategy: balances recall maintenance with compute efficiency</w:t>
      </w:r>
    </w:p>
    <w:p>
      <w:pPr>
        <w:pStyle w:val="ListParagraph"/>
        <w:numPr>
          <w:ilvl w:val="0"/>
          <w:numId w:val="2"/>
        </w:numPr>
        <w:spacing w:after="40" w:before="40"/>
      </w:pPr>
      <w:r>
        <w:rPr>
          <w:rFonts w:ascii="Arial" w:cs="Arial" w:eastAsia="Arial" w:hAnsi="Arial"/>
          <w:sz w:val="22"/>
          <w:szCs w:val="22"/>
        </w:rPr>
        <w:t xml:space="preserve">Set drift monitoring on DeviceInfo and V258: these are the highest-impact features and early drift indicators</w:t>
      </w:r>
    </w:p>
    <w:p>
      <w:pPr>
        <w:pStyle w:val="ListParagraph"/>
        <w:numPr>
          <w:ilvl w:val="0"/>
          <w:numId w:val="2"/>
        </w:numPr>
        <w:spacing w:after="40" w:before="40"/>
      </w:pPr>
      <w:r>
        <w:rPr>
          <w:rFonts w:ascii="Arial" w:cs="Arial" w:eastAsia="Arial" w:hAnsi="Arial"/>
          <w:sz w:val="22"/>
          <w:szCs w:val="22"/>
        </w:rPr>
        <w:t xml:space="preserve">Calibrate cost-sensitive weights to actual average fraud amounts per transaction segment</w:t>
      </w:r>
    </w:p>
    <w:p>
      <w:pPr>
        <w:pStyle w:val="ListParagraph"/>
        <w:numPr>
          <w:ilvl w:val="0"/>
          <w:numId w:val="2"/>
        </w:numPr>
        <w:spacing w:after="40" w:before="40"/>
      </w:pPr>
      <w:r>
        <w:rPr>
          <w:rFonts w:ascii="Arial" w:cs="Arial" w:eastAsia="Arial" w:hAnsi="Arial"/>
          <w:sz w:val="22"/>
          <w:szCs w:val="22"/>
        </w:rPr>
        <w:t xml:space="preserve">Add online learning component for immediate adaptation to new fraud patterns without full retraining</w:t>
      </w:r>
    </w:p>
    <w:p>
      <w:pPr>
        <w:pStyle w:val="ListParagraph"/>
        <w:numPr>
          <w:ilvl w:val="0"/>
          <w:numId w:val="2"/>
        </w:numPr>
        <w:spacing w:after="40" w:before="40"/>
      </w:pPr>
      <w:r>
        <w:rPr>
          <w:rFonts w:ascii="Arial" w:cs="Arial" w:eastAsia="Arial" w:hAnsi="Arial"/>
          <w:sz w:val="22"/>
          <w:szCs w:val="22"/>
        </w:rPr>
        <w:t xml:space="preserve">Implement A/B testing framework to safely deploy retrained models with traffic splitting</w:t>
      </w:r>
    </w:p>
    <w:p>
      <w:pPr>
        <w:spacing w:after="0" w:before="0"/>
      </w:pPr>
      <w:r>
        <w:rPr>
          <w:sz w:val="22"/>
          <w:szCs w:val="22"/>
        </w:rPr>
        <w:t xml:space="preserve"/>
      </w:r>
    </w:p>
    <w:p>
      <w:r>
        <w:br w:type="page"/>
      </w:r>
    </w:p>
    <w:p>
      <w:pPr>
        <w:pStyle w:val="Heading1"/>
        <w:spacing w:after="160" w:before="320"/>
      </w:pPr>
      <w:r>
        <w:rPr>
          <w:rFonts w:ascii="Arial" w:cs="Arial" w:eastAsia="Arial" w:hAnsi="Arial"/>
          <w:b/>
          <w:bCs/>
          <w:color w:val="1F4E79"/>
          <w:sz w:val="32"/>
          <w:szCs w:val="32"/>
        </w:rPr>
        <w:t xml:space="preserve">6. Conclusion</w:t>
      </w:r>
    </w:p>
    <w:p>
      <w:pPr>
        <w:pBdr>
          <w:bottom w:val="single" w:color="2E75B6" w:sz="4" w:space="1"/>
        </w:pBdr>
        <w:spacing w:after="120" w:before="120"/>
      </w:pPr>
      <w:r>
        <w:t xml:space="preserve"/>
      </w:r>
    </w:p>
    <w:p>
      <w:pPr>
        <w:spacing w:after="120" w:before="80"/>
        <w:jc w:val="both"/>
      </w:pPr>
      <w:r>
        <w:rPr>
          <w:rFonts w:ascii="Arial" w:cs="Arial" w:eastAsia="Arial" w:hAnsi="Arial"/>
          <w:sz w:val="22"/>
          <w:szCs w:val="22"/>
        </w:rPr>
        <w:t xml:space="preserve">This project successfully implements all nine tasks of the MLOps fraud detection assignment, delivering a complete production-grade system from data ingestion to explainable predictions. The Hybrid RF+XGBoost model achieves an AUC-ROC of 0.9350 and fraud recall of 82.89%, well above the 0.85 deployment threshold and the 0.75 production threshold. The monitoring stack provides real-time visibility into model, system, and data health, with six alert rules that integrate with the CI/CD pipeline to trigger automatic retraining when performance degrades.</w:t>
      </w:r>
    </w:p>
    <w:p>
      <w:pPr>
        <w:spacing w:after="120" w:before="80"/>
        <w:jc w:val="both"/>
      </w:pPr>
      <w:r>
        <w:rPr>
          <w:rFonts w:ascii="Arial" w:cs="Arial" w:eastAsia="Arial" w:hAnsi="Arial"/>
          <w:sz w:val="22"/>
          <w:szCs w:val="22"/>
        </w:rPr>
        <w:t xml:space="preserve">The most actionable insight for practitioners is the value of SHAP-based feature drift monitoring as an early warning system. By tracking the distribution of feature importance over time, drift can be detected before it manifests as recall degradation, allowing preemptive retraining rather than reactive recovery. Combined with the Hybrid retraining strategy, this approach maintains recall above the 0.75 threshold across all simulated time windows while minimising unnecessary compute expenditure.</w:t>
      </w:r>
    </w:p>
    <w:p>
      <w:pPr>
        <w:spacing w:after="120" w:before="80"/>
        <w:jc w:val="both"/>
      </w:pPr>
      <w:r>
        <w:rPr>
          <w:rFonts w:ascii="Arial" w:cs="Arial" w:eastAsia="Arial" w:hAnsi="Arial"/>
          <w:sz w:val="22"/>
          <w:szCs w:val="22"/>
        </w:rPr>
        <w:t xml:space="preserve">The complete codebase, pipeline definitions, CI/CD workflows, monitoring configurations, and model artefacts are available at https://github.com/AitazazKamran/fraud-detection-mlops.</w:t>
      </w:r>
    </w:p>
    <w:p>
      <w:pPr>
        <w:spacing w:after="0" w:before="0"/>
      </w:pPr>
      <w:r>
        <w:rPr>
          <w:sz w:val="22"/>
          <w:szCs w:val="22"/>
        </w:rPr>
        <w:t xml:space="preserve"/>
      </w:r>
    </w:p>
    <w:p>
      <w:r>
        <w:br w:type="page"/>
      </w:r>
    </w:p>
    <w:p>
      <w:pPr>
        <w:pStyle w:val="Heading1"/>
        <w:spacing w:after="160" w:before="320"/>
      </w:pPr>
      <w:r>
        <w:rPr>
          <w:rFonts w:ascii="Arial" w:cs="Arial" w:eastAsia="Arial" w:hAnsi="Arial"/>
          <w:b/>
          <w:bCs/>
          <w:color w:val="1F4E79"/>
          <w:sz w:val="32"/>
          <w:szCs w:val="32"/>
        </w:rPr>
        <w:t xml:space="preserve">7. References</w:t>
      </w:r>
    </w:p>
    <w:p>
      <w:pPr>
        <w:pBdr>
          <w:bottom w:val="single" w:color="2E75B6" w:sz="4" w:space="1"/>
        </w:pBdr>
        <w:spacing w:after="120" w:before="120"/>
      </w:pPr>
      <w:r>
        <w:t xml:space="preserve"/>
      </w:r>
    </w:p>
    <w:p>
      <w:pPr>
        <w:spacing w:after="120" w:before="80"/>
        <w:jc w:val="both"/>
      </w:pPr>
      <w:r>
        <w:rPr>
          <w:rFonts w:ascii="Arial" w:cs="Arial" w:eastAsia="Arial" w:hAnsi="Arial"/>
          <w:sz w:val="22"/>
          <w:szCs w:val="22"/>
        </w:rPr>
        <w:t xml:space="preserve">[1] IEEE CIS Fraud Detection Dataset. Kaggle. https://www.kaggle.com/competitions/ieee-fraud-detection/data</w:t>
      </w:r>
    </w:p>
    <w:p>
      <w:pPr>
        <w:spacing w:after="120" w:before="80"/>
        <w:jc w:val="both"/>
      </w:pPr>
      <w:r>
        <w:rPr>
          <w:rFonts w:ascii="Arial" w:cs="Arial" w:eastAsia="Arial" w:hAnsi="Arial"/>
          <w:sz w:val="22"/>
          <w:szCs w:val="22"/>
        </w:rPr>
        <w:t xml:space="preserve">[2] Chen, T., &amp; Guestrin, C. (2016). XGBoost: A scalable tree boosting system. KDD 2016.</w:t>
      </w:r>
    </w:p>
    <w:p>
      <w:pPr>
        <w:spacing w:after="120" w:before="80"/>
        <w:jc w:val="both"/>
      </w:pPr>
      <w:r>
        <w:rPr>
          <w:rFonts w:ascii="Arial" w:cs="Arial" w:eastAsia="Arial" w:hAnsi="Arial"/>
          <w:sz w:val="22"/>
          <w:szCs w:val="22"/>
        </w:rPr>
        <w:t xml:space="preserve">[3] Ke, G., et al. (2017). LightGBM: A highly efficient gradient boosting decision tree. NeurIPS 2017.</w:t>
      </w:r>
    </w:p>
    <w:p>
      <w:pPr>
        <w:spacing w:after="120" w:before="80"/>
        <w:jc w:val="both"/>
      </w:pPr>
      <w:r>
        <w:rPr>
          <w:rFonts w:ascii="Arial" w:cs="Arial" w:eastAsia="Arial" w:hAnsi="Arial"/>
          <w:sz w:val="22"/>
          <w:szCs w:val="22"/>
        </w:rPr>
        <w:t xml:space="preserve">[4] Lundberg, S., &amp; Lee, S. I. (2017). A unified approach to interpreting model predictions. NeurIPS 2017.</w:t>
      </w:r>
    </w:p>
    <w:p>
      <w:pPr>
        <w:spacing w:after="120" w:before="80"/>
        <w:jc w:val="both"/>
      </w:pPr>
      <w:r>
        <w:rPr>
          <w:rFonts w:ascii="Arial" w:cs="Arial" w:eastAsia="Arial" w:hAnsi="Arial"/>
          <w:sz w:val="22"/>
          <w:szCs w:val="22"/>
        </w:rPr>
        <w:t xml:space="preserve">[5] Chawla, N. V., et al. (2002). SMOTE: Synthetic minority over-sampling technique. JAIR, 16, 321-357.</w:t>
      </w:r>
    </w:p>
    <w:p>
      <w:pPr>
        <w:spacing w:after="120" w:before="80"/>
        <w:jc w:val="both"/>
      </w:pPr>
      <w:r>
        <w:rPr>
          <w:rFonts w:ascii="Arial" w:cs="Arial" w:eastAsia="Arial" w:hAnsi="Arial"/>
          <w:sz w:val="22"/>
          <w:szCs w:val="22"/>
        </w:rPr>
        <w:t xml:space="preserve">[6] Kubeflow Pipelines Documentation. https://www.kubeflow.org/docs/components/pipelines/</w:t>
      </w:r>
    </w:p>
    <w:p>
      <w:pPr>
        <w:spacing w:after="120" w:before="80"/>
        <w:jc w:val="both"/>
      </w:pPr>
      <w:r>
        <w:rPr>
          <w:rFonts w:ascii="Arial" w:cs="Arial" w:eastAsia="Arial" w:hAnsi="Arial"/>
          <w:sz w:val="22"/>
          <w:szCs w:val="22"/>
        </w:rPr>
        <w:t xml:space="preserve">[7] Prometheus Documentation. https://prometheus.io/docs/</w:t>
      </w:r>
    </w:p>
    <w:p>
      <w:pPr>
        <w:spacing w:after="120" w:before="80"/>
        <w:jc w:val="both"/>
      </w:pPr>
      <w:r>
        <w:rPr>
          <w:rFonts w:ascii="Arial" w:cs="Arial" w:eastAsia="Arial" w:hAnsi="Arial"/>
          <w:sz w:val="22"/>
          <w:szCs w:val="22"/>
        </w:rPr>
        <w:t xml:space="preserve">[8] Grafana Documentation. https://grafana.com/docs/</w:t>
      </w:r>
    </w:p>
    <w:p>
      <w:pPr>
        <w:spacing w:after="120" w:before="80"/>
        <w:jc w:val="both"/>
      </w:pPr>
      <w:r>
        <w:rPr>
          <w:rFonts w:ascii="Arial" w:cs="Arial" w:eastAsia="Arial" w:hAnsi="Arial"/>
          <w:sz w:val="22"/>
          <w:szCs w:val="22"/>
        </w:rPr>
        <w:t xml:space="preserve">[9] GitHub Actions Documentation. https://docs.github.com/en/actions</w:t>
      </w:r>
    </w:p>
    <w:p>
      <w:pPr>
        <w:spacing w:after="120" w:before="80"/>
        <w:jc w:val="both"/>
      </w:pPr>
      <w:r>
        <w:rPr>
          <w:rFonts w:ascii="Arial" w:cs="Arial" w:eastAsia="Arial" w:hAnsi="Arial"/>
          <w:sz w:val="22"/>
          <w:szCs w:val="22"/>
        </w:rPr>
        <w:t xml:space="preserve">[10] Elkan, C. (2001). The foundations of cost-sensitive learning. IJCAI 2001.</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2026-04-22T06:33:20.762Z</dcterms:created>
  <dcterms:modified xsi:type="dcterms:W3CDTF">2026-04-22T06:33:20.763Z</dcterms:modified>
</cp:coreProperties>
</file>

<file path=docProps/custom.xml><?xml version="1.0" encoding="utf-8"?>
<Properties xmlns="http://schemas.openxmlformats.org/officeDocument/2006/custom-properties" xmlns:vt="http://schemas.openxmlformats.org/officeDocument/2006/docPropsVTypes"/>
</file>