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6790"/>
      </w:tblGrid>
      <w:tr w:rsidR="00B91230" w:rsidRPr="00B91230" w14:paraId="38D1852F" w14:textId="77777777" w:rsidTr="00B91230">
        <w:tc>
          <w:tcPr>
            <w:tcW w:w="1500" w:type="dxa"/>
            <w:noWrap/>
            <w:hideMark/>
          </w:tcPr>
          <w:p w14:paraId="0FB15CCE" w14:textId="77777777" w:rsidR="00B91230" w:rsidRPr="00B91230" w:rsidRDefault="00B91230" w:rsidP="00B9123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B9123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退修</w:t>
            </w:r>
            <w:proofErr w:type="gramEnd"/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6007"/>
            </w:tblGrid>
            <w:tr w:rsidR="00B91230" w:rsidRPr="00B91230" w14:paraId="5B4FB781" w14:textId="77777777">
              <w:tc>
                <w:tcPr>
                  <w:tcW w:w="0" w:type="auto"/>
                  <w:gridSpan w:val="2"/>
                  <w:vAlign w:val="center"/>
                  <w:hideMark/>
                </w:tcPr>
                <w:p w14:paraId="22420F3F" w14:textId="77777777" w:rsidR="00B91230" w:rsidRPr="00B91230" w:rsidRDefault="00B91230" w:rsidP="00B9123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  <w:tr w:rsidR="00B91230" w:rsidRPr="00B91230" w14:paraId="71853F67" w14:textId="77777777">
              <w:trPr>
                <w:trHeight w:val="450"/>
              </w:trPr>
              <w:tc>
                <w:tcPr>
                  <w:tcW w:w="6" w:type="dxa"/>
                  <w:noWrap/>
                  <w:hideMark/>
                </w:tcPr>
                <w:p w14:paraId="1C3FC4FB" w14:textId="77777777" w:rsidR="00B91230" w:rsidRPr="00B91230" w:rsidRDefault="00B91230" w:rsidP="00B91230">
                  <w:pPr>
                    <w:widowControl/>
                    <w:jc w:val="righ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B91230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提交时间</w:t>
                  </w:r>
                  <w:r w:rsidRPr="00B91230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0" w:type="auto"/>
                  <w:hideMark/>
                </w:tcPr>
                <w:p w14:paraId="557480FD" w14:textId="77777777" w:rsidR="00B91230" w:rsidRPr="00B91230" w:rsidRDefault="00B91230" w:rsidP="00B9123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2020-01-15      </w:t>
                  </w:r>
                  <w:r w:rsidRPr="00B91230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修改稿截止日期</w:t>
                  </w:r>
                  <w:r w:rsidRPr="00B91230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: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 2020-02-14     </w:t>
                  </w:r>
                </w:p>
              </w:tc>
            </w:tr>
            <w:tr w:rsidR="00B91230" w:rsidRPr="00B91230" w14:paraId="42AB6297" w14:textId="77777777">
              <w:trPr>
                <w:trHeight w:val="450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1FDE35ED" w14:textId="77777777" w:rsidR="00B91230" w:rsidRPr="00B91230" w:rsidRDefault="00B91230" w:rsidP="00B91230">
                  <w:pPr>
                    <w:widowControl/>
                    <w:jc w:val="righ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B91230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修改意见</w:t>
                  </w:r>
                  <w:r w:rsidRPr="00B91230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18525" w:type="dxa"/>
                  <w:hideMark/>
                </w:tcPr>
                <w:p w14:paraId="727D5FD6" w14:textId="77777777" w:rsidR="00DC1737" w:rsidRDefault="00B91230" w:rsidP="00B91230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C436E5">
                    <w:rPr>
                      <w:rFonts w:ascii="Arial" w:eastAsia="宋体" w:hAnsi="Arial" w:cs="Arial"/>
                      <w:i/>
                      <w:iCs/>
                      <w:color w:val="000000"/>
                      <w:kern w:val="0"/>
                      <w:sz w:val="18"/>
                      <w:szCs w:val="18"/>
                    </w:rPr>
                    <w:t>若该论文受任何基金项目资助，请注明基金类别、名称和基金号。如果是国家级基金如国家自然科学基金、国家重点研发计划等，</w:t>
                  </w:r>
                  <w:r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请将基金项目批准书邮件至编辑部</w:t>
                  </w:r>
                  <w:r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(</w:t>
                  </w:r>
                  <w:r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注明稿件编号</w:t>
                  </w:r>
                  <w:r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)</w:t>
                  </w:r>
                  <w:r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。</w:t>
                  </w:r>
                </w:p>
                <w:p w14:paraId="56D9A5F9" w14:textId="69F03DEE" w:rsidR="00D708BF" w:rsidRDefault="00DC1737" w:rsidP="00B91230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DC1737">
                    <w:rPr>
                      <w:rFonts w:ascii="Arial" w:eastAsia="宋体" w:hAnsi="Arial" w:cs="Arial" w:hint="eastAsia"/>
                      <w:b/>
                      <w:bCs/>
                      <w:kern w:val="0"/>
                      <w:sz w:val="18"/>
                      <w:szCs w:val="18"/>
                    </w:rPr>
                    <w:t>基金号为</w:t>
                  </w:r>
                  <w:r w:rsidR="008F0B9E" w:rsidRPr="00DC1737">
                    <w:rPr>
                      <w:rFonts w:ascii="Arial" w:eastAsia="宋体" w:hAnsi="Arial" w:cs="Arial" w:hint="eastAsia"/>
                      <w:b/>
                      <w:bCs/>
                      <w:kern w:val="0"/>
                      <w:sz w:val="18"/>
                      <w:szCs w:val="18"/>
                    </w:rPr>
                    <w:t>61672298</w:t>
                  </w:r>
                  <w:r w:rsidRPr="00DC1737">
                    <w:rPr>
                      <w:rFonts w:ascii="Arial" w:eastAsia="宋体" w:hAnsi="Arial" w:cs="Arial" w:hint="eastAsia"/>
                      <w:b/>
                      <w:bCs/>
                      <w:kern w:val="0"/>
                      <w:sz w:val="18"/>
                      <w:szCs w:val="18"/>
                    </w:rPr>
                    <w:t>的</w:t>
                  </w:r>
                  <w:r w:rsidRPr="00DC1737">
                    <w:rPr>
                      <w:rFonts w:ascii="Arial" w:eastAsia="宋体" w:hAnsi="Arial" w:cs="Arial" w:hint="eastAsia"/>
                      <w:b/>
                      <w:bCs/>
                      <w:kern w:val="0"/>
                      <w:sz w:val="18"/>
                      <w:szCs w:val="18"/>
                    </w:rPr>
                    <w:t>多重自适应网络传播模型与重要节点防御研究</w:t>
                  </w:r>
                  <w:r w:rsidRPr="00DC1737">
                    <w:rPr>
                      <w:rFonts w:ascii="Arial" w:eastAsia="宋体" w:hAnsi="Arial" w:cs="Arial" w:hint="eastAsia"/>
                      <w:b/>
                      <w:bCs/>
                      <w:kern w:val="0"/>
                      <w:sz w:val="18"/>
                      <w:szCs w:val="18"/>
                    </w:rPr>
                    <w:t>的</w:t>
                  </w:r>
                  <w:r w:rsidRPr="00DC1737">
                    <w:rPr>
                      <w:rFonts w:ascii="Arial" w:eastAsia="宋体" w:hAnsi="Arial" w:cs="Arial" w:hint="eastAsia"/>
                      <w:b/>
                      <w:bCs/>
                      <w:kern w:val="0"/>
                      <w:sz w:val="18"/>
                      <w:szCs w:val="18"/>
                    </w:rPr>
                    <w:t xml:space="preserve"> </w:t>
                  </w:r>
                  <w:r w:rsidRPr="00DC1737">
                    <w:rPr>
                      <w:rFonts w:ascii="Arial" w:eastAsia="宋体" w:hAnsi="Arial" w:cs="Arial"/>
                      <w:b/>
                      <w:bCs/>
                      <w:kern w:val="0"/>
                      <w:sz w:val="18"/>
                      <w:szCs w:val="18"/>
                    </w:rPr>
                    <w:t>基金项目批准书</w:t>
                  </w:r>
                  <w:r w:rsidR="00B91230"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br/>
                  </w:r>
                  <w:r w:rsidR="00B91230"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请将修改说明</w:t>
                  </w:r>
                  <w:r w:rsidR="00B91230"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(</w:t>
                  </w:r>
                  <w:r w:rsidR="00B91230"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在何处针对专家的具体哪条意见大致做了怎样的修改</w:t>
                  </w:r>
                  <w:r w:rsidR="00B91230"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)</w:t>
                  </w:r>
                  <w:r w:rsidR="00B91230"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写在参考文献之后，文中按专家意见修改</w:t>
                  </w:r>
                  <w:proofErr w:type="gramStart"/>
                  <w:r w:rsidR="00B91230"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之处请标红</w:t>
                  </w:r>
                  <w:proofErr w:type="gramEnd"/>
                  <w:r w:rsidR="00B91230"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。如有异议也请写明不做修改的理由。都</w:t>
                  </w:r>
                  <w:proofErr w:type="gramStart"/>
                  <w:r w:rsidR="00B91230"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写在修回稿中</w:t>
                  </w:r>
                  <w:proofErr w:type="gramEnd"/>
                  <w:r w:rsidR="00B91230" w:rsidRPr="002600FD">
                    <w:rPr>
                      <w:rFonts w:ascii="Arial" w:eastAsia="宋体" w:hAnsi="Arial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。</w:t>
                  </w:r>
                </w:p>
                <w:p w14:paraId="04C52066" w14:textId="650C4D8B" w:rsidR="00AD15EE" w:rsidRDefault="00B91230" w:rsidP="00B9123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一、</w:t>
                  </w:r>
                  <w:bookmarkStart w:id="0" w:name="_Hlk32519120"/>
                  <w:r w:rsidRPr="00AD15E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专家意见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 1. 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该文在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2.3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节中关于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多层网络中的节点存在四种主要状态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应</w:t>
                  </w:r>
                  <w:r w:rsidRPr="00CD1518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具体描述四种状态的含义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，有助于文章对这四种状态的表达，为接下来状态的数学表示作铺垫。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2. 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在关于传播阈值的实验中，该文应当</w:t>
                  </w:r>
                  <w:r w:rsidRPr="0086493C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补充</w:t>
                  </w:r>
                  <w:r w:rsidRPr="0086493C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BA-BA</w:t>
                  </w:r>
                  <w:r w:rsidRPr="0086493C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和</w:t>
                  </w:r>
                  <w:r w:rsidRPr="0086493C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BA-WS</w:t>
                  </w:r>
                  <w:r w:rsidRPr="0086493C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中不同警觉行为对于传播阈值的影响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 3. 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在实验设置阶段，该文应当说明</w:t>
                  </w:r>
                  <w:r w:rsidRPr="00787A56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“</w:t>
                  </w:r>
                  <w:r w:rsidRPr="00787A56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小世界特性以及无标度特性</w:t>
                  </w:r>
                  <w:r w:rsidRPr="00787A56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”</w:t>
                  </w:r>
                  <w:r w:rsidRPr="00787A56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对于网络结构的具体影响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，以及</w:t>
                  </w:r>
                  <w:r w:rsidRPr="006B4F11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未加入信息传播层为</w:t>
                  </w:r>
                  <w:r w:rsidRPr="006B4F11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BA-</w:t>
                  </w:r>
                  <w:r w:rsidRPr="006B4F11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物理接触层为</w:t>
                  </w:r>
                  <w:r w:rsidRPr="006B4F11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WS</w:t>
                  </w:r>
                  <w:r w:rsidRPr="006B4F11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网络结构（</w:t>
                  </w:r>
                  <w:r w:rsidRPr="006B4F11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WS-BA</w:t>
                  </w:r>
                  <w:r w:rsidRPr="006B4F11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）的原因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；在实验初始阶段进行</w:t>
                  </w:r>
                  <w:r w:rsidRPr="00B26E65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“</w:t>
                  </w:r>
                  <w:r w:rsidRPr="00B26E65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蒙特卡洛循环</w:t>
                  </w:r>
                  <w:r w:rsidRPr="00B26E65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”</w:t>
                  </w:r>
                  <w:r w:rsidRPr="00B26E65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时应补充参考文献或补充说明其原因</w:t>
                  </w:r>
                  <w:r w:rsidR="00FE2AAC" w:rsidRPr="00CA532C">
                    <w:rPr>
                      <w:rFonts w:ascii="Arial" w:eastAsia="宋体" w:hAnsi="Arial" w:cs="Arial" w:hint="eastAsia"/>
                      <w:strike/>
                      <w:color w:val="FF0000"/>
                      <w:kern w:val="0"/>
                      <w:sz w:val="18"/>
                      <w:szCs w:val="18"/>
                    </w:rPr>
                    <w:t>（</w:t>
                  </w:r>
                  <w:r w:rsidR="00733B0F" w:rsidRPr="00CA532C">
                    <w:rPr>
                      <w:rFonts w:ascii="Arial" w:eastAsia="宋体" w:hAnsi="Arial" w:cs="Arial" w:hint="eastAsia"/>
                      <w:strike/>
                      <w:color w:val="FF0000"/>
                      <w:kern w:val="0"/>
                      <w:sz w:val="18"/>
                      <w:szCs w:val="18"/>
                    </w:rPr>
                    <w:t>7-15</w:t>
                  </w:r>
                  <w:r w:rsidR="00FE2AAC" w:rsidRPr="00CA532C">
                    <w:rPr>
                      <w:rFonts w:ascii="Arial" w:eastAsia="宋体" w:hAnsi="Arial" w:cs="Arial" w:hint="eastAsia"/>
                      <w:strike/>
                      <w:color w:val="FF0000"/>
                      <w:kern w:val="0"/>
                      <w:sz w:val="18"/>
                      <w:szCs w:val="18"/>
                    </w:rPr>
                    <w:t>）</w:t>
                  </w:r>
                  <w:r w:rsidRPr="00CA532C">
                    <w:rPr>
                      <w:rFonts w:ascii="Arial" w:eastAsia="宋体" w:hAnsi="Arial" w:cs="Arial"/>
                      <w:strike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  <w:r w:rsidRPr="00CA532C">
                    <w:rPr>
                      <w:rFonts w:ascii="Arial" w:eastAsia="宋体" w:hAnsi="Arial" w:cs="Arial"/>
                      <w:strike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="00CA532C" w:rsidRPr="00CA532C">
                    <w:rPr>
                      <w:rFonts w:ascii="Arial" w:eastAsia="宋体" w:hAnsi="Arial" w:cs="Arial" w:hint="eastAsia"/>
                      <w:strike/>
                      <w:color w:val="000000"/>
                      <w:kern w:val="0"/>
                      <w:sz w:val="18"/>
                      <w:szCs w:val="18"/>
                    </w:rPr>
                    <w:t>7-9</w:t>
                  </w:r>
                  <w:r w:rsidR="00CA532C" w:rsidRPr="00CA532C">
                    <w:rPr>
                      <w:rFonts w:ascii="Arial" w:eastAsia="宋体" w:hAnsi="Arial" w:cs="Arial" w:hint="eastAsia"/>
                      <w:strike/>
                      <w:color w:val="000000"/>
                      <w:kern w:val="0"/>
                      <w:sz w:val="18"/>
                      <w:szCs w:val="18"/>
                    </w:rPr>
                    <w:t>，</w:t>
                  </w:r>
                  <w:r w:rsidR="00CA532C" w:rsidRPr="00CA532C">
                    <w:rPr>
                      <w:rFonts w:ascii="Arial" w:eastAsia="宋体" w:hAnsi="Arial" w:cs="Arial" w:hint="eastAsia"/>
                      <w:strike/>
                      <w:color w:val="000000"/>
                      <w:kern w:val="0"/>
                      <w:sz w:val="18"/>
                      <w:szCs w:val="18"/>
                    </w:rPr>
                    <w:t>11</w:t>
                  </w:r>
                  <w:r w:rsidR="00CA532C" w:rsidRPr="00CA532C">
                    <w:rPr>
                      <w:rFonts w:ascii="Arial" w:eastAsia="宋体" w:hAnsi="Arial" w:cs="Arial" w:hint="eastAsia"/>
                      <w:strike/>
                      <w:color w:val="000000"/>
                      <w:kern w:val="0"/>
                      <w:sz w:val="18"/>
                      <w:szCs w:val="18"/>
                    </w:rPr>
                    <w:t>，</w:t>
                  </w:r>
                  <w:r w:rsidR="00CA532C" w:rsidRPr="00CA532C">
                    <w:rPr>
                      <w:rFonts w:ascii="Arial" w:eastAsia="宋体" w:hAnsi="Arial" w:cs="Arial" w:hint="eastAsia"/>
                      <w:strike/>
                      <w:color w:val="000000"/>
                      <w:kern w:val="0"/>
                      <w:sz w:val="18"/>
                      <w:szCs w:val="18"/>
                    </w:rPr>
                    <w:t>13-14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4. 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在实验结果说明中，应当说明</w:t>
                  </w:r>
                  <w:r w:rsidRPr="00882B6A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在不同双层网路结构中不同</w:t>
                  </w:r>
                  <w:r w:rsidRPr="00882B6A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a</w:t>
                  </w:r>
                  <w:r w:rsidRPr="00882B6A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值在时域传播中不同趋势的原因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，例如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BA-BA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网络与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WS-WS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网络在感染规模随时间变化趋势存在明显的差异。</w:t>
                  </w:r>
                  <w:bookmarkEnd w:id="0"/>
                </w:p>
                <w:p w14:paraId="2AC780F8" w14:textId="6DB646C0" w:rsidR="00B91230" w:rsidRPr="00B91230" w:rsidRDefault="00B91230" w:rsidP="00B9123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</w:pP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二、</w:t>
                  </w:r>
                  <w:bookmarkStart w:id="1" w:name="_Hlk32553820"/>
                  <w:r w:rsidRPr="00AD15EE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编辑修改意见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1.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由于您现在的</w:t>
                  </w:r>
                  <w:proofErr w:type="gramStart"/>
                  <w:r w:rsidRPr="00AD15EE"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  <w:t>二维码中</w:t>
                  </w:r>
                  <w:proofErr w:type="gramEnd"/>
                  <w:r w:rsidRPr="00AD15EE"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  <w:t>文章的题目是乱码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，请根据发给您的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OSID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码邮件，补充相关论文信息，并在提交的修改稿中，</w:t>
                  </w:r>
                  <w:r w:rsidRPr="00AD15EE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中文关键词下方，增加</w:t>
                  </w:r>
                  <w:r w:rsidRPr="00AD15EE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“</w:t>
                  </w:r>
                  <w:r w:rsidRPr="00AD15EE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开放科学（资源服务）标志码（</w:t>
                  </w:r>
                  <w:r w:rsidRPr="00AD15EE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OSID</w:t>
                  </w:r>
                  <w:r w:rsidRPr="00AD15EE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）</w:t>
                  </w:r>
                  <w:r w:rsidRPr="00AD15EE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”</w:t>
                  </w:r>
                  <w:r w:rsidRPr="00AD15EE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，并附上</w:t>
                  </w:r>
                  <w:r w:rsidRPr="00AD15EE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OSID</w:t>
                  </w:r>
                  <w:r w:rsidRPr="00AD15EE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二维码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。作者至少需要上传一个</w:t>
                  </w:r>
                  <w:r w:rsidRPr="00AD15EE"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  <w:t>1</w:t>
                  </w:r>
                  <w:r w:rsidRPr="00AD15EE"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  <w:t>分钟左右的语音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，介绍论文的研究背景、创新点及亮点等内容，注意不要和摘要、概述内容重复。如果您有与论文相关的实验过程或者实验数据等内容，受论文篇幅限制，也可以视频、图片或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pdf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文件格式上传到</w:t>
                  </w:r>
                  <w:proofErr w:type="gramStart"/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二维码中</w:t>
                  </w:r>
                  <w:proofErr w:type="gramEnd"/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2.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补充作者</w:t>
                  </w:r>
                  <w:r w:rsidRPr="00AD15EE">
                    <w:rPr>
                      <w:rFonts w:ascii="宋体" w:eastAsia="宋体" w:hAnsi="宋体" w:cs="Arial" w:hint="eastAsia"/>
                      <w:strike/>
                      <w:color w:val="FF0000"/>
                      <w:kern w:val="0"/>
                      <w:szCs w:val="21"/>
                    </w:rPr>
                    <w:t>宋玉蓉的职称和学位</w:t>
                  </w:r>
                  <w:r w:rsidRPr="00B91230">
                    <w:rPr>
                      <w:rFonts w:ascii="宋体" w:eastAsia="宋体" w:hAnsi="宋体" w:cs="Arial" w:hint="eastAsia"/>
                      <w:color w:val="000000"/>
                      <w:kern w:val="0"/>
                      <w:szCs w:val="21"/>
                    </w:rPr>
                    <w:t>。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3.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在</w:t>
                  </w:r>
                  <w:r w:rsidRPr="00AD15EE"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  <w:t>摘要中，缺少本文方案实现的方法和主要技术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4</w:t>
                  </w:r>
                  <w:r w:rsidRPr="00AD15EE"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  <w:t>图</w:t>
                  </w:r>
                  <w:r w:rsidRPr="00AD15EE"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  <w:t>/</w:t>
                  </w:r>
                  <w:proofErr w:type="gramStart"/>
                  <w:r w:rsidRPr="00AD15EE"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  <w:t>表题需</w:t>
                  </w:r>
                  <w:proofErr w:type="gramEnd"/>
                  <w:r w:rsidRPr="00AD15EE">
                    <w:rPr>
                      <w:rFonts w:ascii="Arial" w:eastAsia="宋体" w:hAnsi="Arial" w:cs="Arial"/>
                      <w:color w:val="FF0000"/>
                      <w:kern w:val="0"/>
                      <w:sz w:val="18"/>
                      <w:szCs w:val="18"/>
                    </w:rPr>
                    <w:t>附上相应的英文翻译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  <w:t>5.</w:t>
                  </w:r>
                  <w:r w:rsidRPr="000875F9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图</w:t>
                  </w:r>
                  <w:r w:rsidRPr="000875F9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2~</w:t>
                  </w:r>
                  <w:r w:rsidRPr="000875F9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图</w:t>
                  </w:r>
                  <w:r w:rsidRPr="000875F9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4</w:t>
                  </w:r>
                  <w:r w:rsidRPr="000875F9">
                    <w:rPr>
                      <w:rFonts w:ascii="Arial" w:eastAsia="宋体" w:hAnsi="Arial" w:cs="Arial"/>
                      <w:strike/>
                      <w:color w:val="FF0000"/>
                      <w:kern w:val="0"/>
                      <w:sz w:val="18"/>
                      <w:szCs w:val="18"/>
                    </w:rPr>
                    <w:t>中的线条不易区分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  <w:bookmarkEnd w:id="1"/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三、注意事项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br/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对稿件有任何修改问题可以电话联系编辑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021-67092212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。稿件进入待交版面费阶段，有任何问题请致电编务老师：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021-67092217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。稿件处于</w:t>
                  </w:r>
                  <w:proofErr w:type="gramStart"/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退修状态</w:t>
                  </w:r>
                  <w:proofErr w:type="gramEnd"/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可以修改文章内容，但要注意：绝对不可以更改第一作者及其对应的第一单位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以投稿时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word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稿件为准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。一旦进入待交版面费阶段，就不可以修改作者及单位！如有特殊情况需要更动第二、第三等作者，务必来电询问（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021-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lastRenderedPageBreak/>
                    <w:t>67092217</w:t>
                  </w:r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），编辑部同意后按网站上所写的</w:t>
                  </w:r>
                  <w:proofErr w:type="gramStart"/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寄相关</w:t>
                  </w:r>
                  <w:proofErr w:type="gramEnd"/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证明，编辑部收到证明后</w:t>
                  </w:r>
                  <w:proofErr w:type="gramStart"/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再上传修改稿</w:t>
                  </w:r>
                  <w:proofErr w:type="gramEnd"/>
                  <w:r w:rsidRPr="00B91230">
                    <w:rPr>
                      <w:rFonts w:ascii="Arial" w:eastAsia="宋体" w:hAnsi="Arial" w:cs="Arial"/>
                      <w:color w:val="000000"/>
                      <w:kern w:val="0"/>
                      <w:sz w:val="18"/>
                      <w:szCs w:val="18"/>
                    </w:rPr>
                    <w:t>至邮箱。</w:t>
                  </w:r>
                </w:p>
              </w:tc>
            </w:tr>
          </w:tbl>
          <w:p w14:paraId="43F2130C" w14:textId="77777777" w:rsidR="00B91230" w:rsidRPr="00B91230" w:rsidRDefault="00B91230" w:rsidP="00B9123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597E5CE" w14:textId="032A3A3D" w:rsidR="00B55D89" w:rsidRPr="00B91230" w:rsidRDefault="00720FD3">
      <w:r>
        <w:rPr>
          <w:rFonts w:hint="eastAsia"/>
        </w:rPr>
        <w:lastRenderedPageBreak/>
        <w:t>我们在研究这个课题时阅读了大量</w:t>
      </w:r>
      <w:r w:rsidR="00EB7CCC">
        <w:rPr>
          <w:rFonts w:hint="eastAsia"/>
        </w:rPr>
        <w:t>国内外文献，发现对于双层网络中的信息以及流行病</w:t>
      </w:r>
      <w:r w:rsidR="00F62FDD">
        <w:rPr>
          <w:rFonts w:hint="eastAsia"/>
        </w:rPr>
        <w:t>交互</w:t>
      </w:r>
      <w:r w:rsidR="0092738F">
        <w:rPr>
          <w:rFonts w:hint="eastAsia"/>
        </w:rPr>
        <w:t>传播</w:t>
      </w:r>
      <w:r w:rsidR="00F62FDD">
        <w:rPr>
          <w:rFonts w:hint="eastAsia"/>
        </w:rPr>
        <w:t>的研究</w:t>
      </w:r>
      <w:r w:rsidR="0092738F">
        <w:rPr>
          <w:rFonts w:hint="eastAsia"/>
        </w:rPr>
        <w:t>中，</w:t>
      </w:r>
      <w:r w:rsidR="00492727">
        <w:rPr>
          <w:rFonts w:hint="eastAsia"/>
        </w:rPr>
        <w:t>有不少</w:t>
      </w:r>
      <w:r w:rsidR="004500A7">
        <w:rPr>
          <w:rFonts w:hint="eastAsia"/>
        </w:rPr>
        <w:t>是基于</w:t>
      </w:r>
      <w:r w:rsidR="008B1B7D">
        <w:rPr>
          <w:rFonts w:hint="eastAsia"/>
        </w:rPr>
        <w:t>信息扩散模型以及病毒传播模型在</w:t>
      </w:r>
      <w:r w:rsidR="006F2D26">
        <w:rPr>
          <w:rFonts w:hint="eastAsia"/>
        </w:rPr>
        <w:t>上下</w:t>
      </w:r>
      <w:r w:rsidR="00D71C9C">
        <w:rPr>
          <w:rFonts w:hint="eastAsia"/>
        </w:rPr>
        <w:t>两</w:t>
      </w:r>
      <w:r w:rsidR="006F2D26">
        <w:rPr>
          <w:rFonts w:hint="eastAsia"/>
        </w:rPr>
        <w:t>层网络的</w:t>
      </w:r>
      <w:r w:rsidR="00492727">
        <w:rPr>
          <w:rFonts w:hint="eastAsia"/>
        </w:rPr>
        <w:t>简单交互，两层网络通过</w:t>
      </w:r>
      <w:r w:rsidR="003A0EC9">
        <w:rPr>
          <w:rFonts w:hint="eastAsia"/>
        </w:rPr>
        <w:t>感染率、信息</w:t>
      </w:r>
      <w:proofErr w:type="gramStart"/>
      <w:r w:rsidR="003A0EC9">
        <w:rPr>
          <w:rFonts w:hint="eastAsia"/>
        </w:rPr>
        <w:t>上传率等</w:t>
      </w:r>
      <w:proofErr w:type="gramEnd"/>
      <w:r w:rsidR="003A0EC9">
        <w:rPr>
          <w:rFonts w:hint="eastAsia"/>
        </w:rPr>
        <w:t>参数来实现</w:t>
      </w:r>
      <w:proofErr w:type="gramStart"/>
      <w:r w:rsidR="003A0EC9">
        <w:rPr>
          <w:rFonts w:hint="eastAsia"/>
        </w:rPr>
        <w:t>交互</w:t>
      </w:r>
      <w:r w:rsidR="00623089">
        <w:rPr>
          <w:rFonts w:hint="eastAsia"/>
        </w:rPr>
        <w:t>与</w:t>
      </w:r>
      <w:proofErr w:type="gramEnd"/>
      <w:r w:rsidR="00623089">
        <w:rPr>
          <w:rFonts w:hint="eastAsia"/>
        </w:rPr>
        <w:t>影响</w:t>
      </w:r>
      <w:r w:rsidR="00492727">
        <w:rPr>
          <w:rFonts w:hint="eastAsia"/>
        </w:rPr>
        <w:t>。</w:t>
      </w:r>
      <w:r w:rsidR="003C37A1">
        <w:rPr>
          <w:rFonts w:hint="eastAsia"/>
        </w:rPr>
        <w:t>而</w:t>
      </w:r>
      <w:r w:rsidR="00F716B7">
        <w:rPr>
          <w:rFonts w:hint="eastAsia"/>
        </w:rPr>
        <w:t>诸多文献证明</w:t>
      </w:r>
      <w:r w:rsidR="009C0C9A">
        <w:rPr>
          <w:rFonts w:hint="eastAsia"/>
        </w:rPr>
        <w:t>这种双层网络传播模型</w:t>
      </w:r>
      <w:r w:rsidR="009F0C96">
        <w:rPr>
          <w:rFonts w:hint="eastAsia"/>
        </w:rPr>
        <w:t>中下层物理接触网络的流行病传播阈值其实与上层</w:t>
      </w:r>
      <w:r w:rsidR="00362DD3">
        <w:rPr>
          <w:rFonts w:hint="eastAsia"/>
        </w:rPr>
        <w:t>信息扩散网络</w:t>
      </w:r>
      <w:r w:rsidR="006E376A">
        <w:rPr>
          <w:rFonts w:hint="eastAsia"/>
        </w:rPr>
        <w:t>无关，</w:t>
      </w:r>
      <w:r w:rsidR="00055296">
        <w:rPr>
          <w:rFonts w:hint="eastAsia"/>
        </w:rPr>
        <w:t>这</w:t>
      </w:r>
      <w:r w:rsidR="006E376A">
        <w:rPr>
          <w:rFonts w:hint="eastAsia"/>
        </w:rPr>
        <w:t>类似于单层网络</w:t>
      </w:r>
      <w:r w:rsidR="009800A3">
        <w:rPr>
          <w:rFonts w:hint="eastAsia"/>
        </w:rPr>
        <w:t>的流行病传播阈值，其</w:t>
      </w:r>
      <w:r w:rsidR="00BD201B">
        <w:rPr>
          <w:rFonts w:hint="eastAsia"/>
        </w:rPr>
        <w:t>只</w:t>
      </w:r>
      <w:r w:rsidR="009800A3">
        <w:rPr>
          <w:rFonts w:hint="eastAsia"/>
        </w:rPr>
        <w:t>和</w:t>
      </w:r>
      <w:r w:rsidR="00244BDF">
        <w:rPr>
          <w:rFonts w:hint="eastAsia"/>
        </w:rPr>
        <w:t>物理</w:t>
      </w:r>
      <w:proofErr w:type="gramStart"/>
      <w:r w:rsidR="00244BDF">
        <w:rPr>
          <w:rFonts w:hint="eastAsia"/>
        </w:rPr>
        <w:t>接层网络</w:t>
      </w:r>
      <w:proofErr w:type="gramEnd"/>
      <w:r w:rsidR="00244BDF">
        <w:rPr>
          <w:rFonts w:hint="eastAsia"/>
        </w:rPr>
        <w:t>的结构</w:t>
      </w:r>
      <w:r w:rsidR="00A4470A">
        <w:rPr>
          <w:rFonts w:hint="eastAsia"/>
        </w:rPr>
        <w:t>相关，因此我们引入了个体警觉性</w:t>
      </w:r>
      <w:r w:rsidR="00E55508">
        <w:rPr>
          <w:rFonts w:hint="eastAsia"/>
        </w:rPr>
        <w:t>接触策略，通过使得个体</w:t>
      </w:r>
      <w:r w:rsidR="00926B8E">
        <w:rPr>
          <w:rFonts w:hint="eastAsia"/>
        </w:rPr>
        <w:t>获得</w:t>
      </w:r>
      <w:r w:rsidR="00E55508">
        <w:rPr>
          <w:rFonts w:hint="eastAsia"/>
        </w:rPr>
        <w:t>警觉性</w:t>
      </w:r>
      <w:r w:rsidR="00B20A75">
        <w:rPr>
          <w:rFonts w:hint="eastAsia"/>
        </w:rPr>
        <w:t>状态</w:t>
      </w:r>
      <w:r w:rsidR="00BD201B">
        <w:rPr>
          <w:rFonts w:hint="eastAsia"/>
        </w:rPr>
        <w:t>从而做出接触行为的</w:t>
      </w:r>
      <w:r w:rsidR="00B767C9">
        <w:rPr>
          <w:rFonts w:hint="eastAsia"/>
        </w:rPr>
        <w:t>改变</w:t>
      </w:r>
      <w:r w:rsidR="00B20A75">
        <w:rPr>
          <w:rFonts w:hint="eastAsia"/>
        </w:rPr>
        <w:t>，</w:t>
      </w:r>
      <w:r w:rsidR="006F6D3F">
        <w:rPr>
          <w:rFonts w:hint="eastAsia"/>
        </w:rPr>
        <w:t>达到改变物理接触层网络结构的目的，因此</w:t>
      </w:r>
      <w:r w:rsidR="002E26E4">
        <w:rPr>
          <w:rFonts w:hint="eastAsia"/>
        </w:rPr>
        <w:t>流行病的传播阈值</w:t>
      </w:r>
      <w:r w:rsidR="00485DE4">
        <w:rPr>
          <w:rFonts w:hint="eastAsia"/>
        </w:rPr>
        <w:t>也就可以改变。</w:t>
      </w:r>
    </w:p>
    <w:sectPr w:rsidR="00B55D89" w:rsidRPr="00B91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37AD6" w14:textId="77777777" w:rsidR="008E4A71" w:rsidRDefault="008E4A71" w:rsidP="00B91230">
      <w:r>
        <w:separator/>
      </w:r>
    </w:p>
  </w:endnote>
  <w:endnote w:type="continuationSeparator" w:id="0">
    <w:p w14:paraId="709EEFB0" w14:textId="77777777" w:rsidR="008E4A71" w:rsidRDefault="008E4A71" w:rsidP="00B91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BD427" w14:textId="77777777" w:rsidR="008E4A71" w:rsidRDefault="008E4A71" w:rsidP="00B91230">
      <w:r>
        <w:separator/>
      </w:r>
    </w:p>
  </w:footnote>
  <w:footnote w:type="continuationSeparator" w:id="0">
    <w:p w14:paraId="51DF65D7" w14:textId="77777777" w:rsidR="008E4A71" w:rsidRDefault="008E4A71" w:rsidP="00B91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0NDC0sLAwMjSxtDRU0lEKTi0uzszPAykwrAUAWSNfeiwAAAA="/>
  </w:docVars>
  <w:rsids>
    <w:rsidRoot w:val="00573B94"/>
    <w:rsid w:val="00055296"/>
    <w:rsid w:val="000875F9"/>
    <w:rsid w:val="00244BDF"/>
    <w:rsid w:val="002600FD"/>
    <w:rsid w:val="002E26E4"/>
    <w:rsid w:val="00362DD3"/>
    <w:rsid w:val="003A0EC9"/>
    <w:rsid w:val="003C37A1"/>
    <w:rsid w:val="004500A7"/>
    <w:rsid w:val="00485DE4"/>
    <w:rsid w:val="00492727"/>
    <w:rsid w:val="00573B94"/>
    <w:rsid w:val="00623089"/>
    <w:rsid w:val="006B4F11"/>
    <w:rsid w:val="006E376A"/>
    <w:rsid w:val="006F2D26"/>
    <w:rsid w:val="006F6D3F"/>
    <w:rsid w:val="00720FD3"/>
    <w:rsid w:val="00733B0F"/>
    <w:rsid w:val="00753DF1"/>
    <w:rsid w:val="00787A56"/>
    <w:rsid w:val="0086493C"/>
    <w:rsid w:val="00882B6A"/>
    <w:rsid w:val="008B1B7D"/>
    <w:rsid w:val="008E4A71"/>
    <w:rsid w:val="008F0B9E"/>
    <w:rsid w:val="00926B8E"/>
    <w:rsid w:val="0092738F"/>
    <w:rsid w:val="00942B77"/>
    <w:rsid w:val="009800A3"/>
    <w:rsid w:val="009C0C9A"/>
    <w:rsid w:val="009F0C96"/>
    <w:rsid w:val="00A4470A"/>
    <w:rsid w:val="00AD15EE"/>
    <w:rsid w:val="00B13193"/>
    <w:rsid w:val="00B20A75"/>
    <w:rsid w:val="00B26E65"/>
    <w:rsid w:val="00B55D89"/>
    <w:rsid w:val="00B767C9"/>
    <w:rsid w:val="00B91230"/>
    <w:rsid w:val="00BD201B"/>
    <w:rsid w:val="00C436E5"/>
    <w:rsid w:val="00CA532C"/>
    <w:rsid w:val="00CD1518"/>
    <w:rsid w:val="00D708BF"/>
    <w:rsid w:val="00D71C9C"/>
    <w:rsid w:val="00DC1737"/>
    <w:rsid w:val="00E55508"/>
    <w:rsid w:val="00EB7CCC"/>
    <w:rsid w:val="00F62FDD"/>
    <w:rsid w:val="00F716B7"/>
    <w:rsid w:val="00FE2AAC"/>
    <w:rsid w:val="00FE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2D4D3"/>
  <w15:chartTrackingRefBased/>
  <w15:docId w15:val="{13F8E8C6-3DC2-4172-98F0-EB4AE5A3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2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Riddle Percy</dc:creator>
  <cp:keywords/>
  <dc:description/>
  <cp:lastModifiedBy>Riddle Percy</cp:lastModifiedBy>
  <cp:revision>41</cp:revision>
  <dcterms:created xsi:type="dcterms:W3CDTF">2020-02-11T14:26:00Z</dcterms:created>
  <dcterms:modified xsi:type="dcterms:W3CDTF">2020-02-14T00:34:00Z</dcterms:modified>
</cp:coreProperties>
</file>