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80dc500f7ff8e4a2f75ba3fbb49372b129c8c3c"/>
    <w:p>
      <w:pPr>
        <w:pStyle w:val="Heading1"/>
      </w:pPr>
      <w:r>
        <w:t xml:space="preserve">Descarga de datos vía API desde SWIFT Alliance Warehouse (v2)</w:t>
      </w:r>
    </w:p>
    <w:bookmarkStart w:id="20" w:name="propósito-y-alcance"/>
    <w:p>
      <w:pPr>
        <w:pStyle w:val="Heading2"/>
      </w:pPr>
      <w:r>
        <w:t xml:space="preserve">1. Propósito y alcance</w:t>
      </w:r>
    </w:p>
    <w:p>
      <w:pPr>
        <w:pStyle w:val="FirstParagraph"/>
      </w:pPr>
      <w:r>
        <w:t xml:space="preserve">Este documento define</w:t>
      </w:r>
      <w:r>
        <w:t xml:space="preserve"> </w:t>
      </w:r>
      <w:r>
        <w:rPr>
          <w:b/>
          <w:bCs/>
        </w:rPr>
        <w:t xml:space="preserve">cómo automatizar la extracción diaria</w:t>
      </w:r>
      <w:r>
        <w:t xml:space="preserve"> </w:t>
      </w:r>
      <w:r>
        <w:t xml:space="preserve">desde</w:t>
      </w:r>
      <w:r>
        <w:t xml:space="preserve"> </w:t>
      </w:r>
      <w:r>
        <w:rPr>
          <w:b/>
          <w:bCs/>
        </w:rPr>
        <w:t xml:space="preserve">SWIFT Alliance Warehouse (AWH)</w:t>
      </w:r>
      <w:r>
        <w:t xml:space="preserve"> </w:t>
      </w:r>
      <w:r>
        <w:t xml:space="preserve">vía</w:t>
      </w:r>
      <w:r>
        <w:t xml:space="preserve"> </w:t>
      </w:r>
      <w:r>
        <w:rPr>
          <w:b/>
          <w:bCs/>
        </w:rPr>
        <w:t xml:space="preserve">API REST</w:t>
      </w:r>
      <w:r>
        <w:t xml:space="preserve">, sustituyendo el proceso manual. Incluye: enlaces a máquinas, reglas de acceso, requisitos de certificados, cabeceras y endpoints, filtros a aplicar, paginación, formato de salida (</w:t>
      </w:r>
      <w:r>
        <w:rPr>
          <w:b/>
          <w:bCs/>
        </w:rPr>
        <w:t xml:space="preserve">ZIP + CSV</w:t>
      </w:r>
      <w:r>
        <w:t xml:space="preserve">),</w:t>
      </w:r>
      <w:r>
        <w:t xml:space="preserve"> </w:t>
      </w:r>
      <w:r>
        <w:rPr>
          <w:b/>
          <w:bCs/>
        </w:rPr>
        <w:t xml:space="preserve">nomenclatura</w:t>
      </w:r>
      <w:r>
        <w:t xml:space="preserve">,</w:t>
      </w:r>
      <w:r>
        <w:t xml:space="preserve"> </w:t>
      </w:r>
      <w:r>
        <w:rPr>
          <w:b/>
          <w:bCs/>
        </w:rPr>
        <w:t xml:space="preserve">codificación/estructura exacta del CSV</w:t>
      </w:r>
      <w:r>
        <w:t xml:space="preserve">, y ejemplos de prueba (curl/SOAPUI).</w:t>
      </w:r>
    </w:p>
    <w:p>
      <w:pPr>
        <w:pStyle w:val="BlockText"/>
      </w:pPr>
      <w:r>
        <w:rPr>
          <w:b/>
          <w:bCs/>
        </w:rPr>
        <w:t xml:space="preserve">Objetivo operativo</w:t>
      </w:r>
      <w:r>
        <w:t xml:space="preserve">: generar por ejecución</w:t>
      </w:r>
      <w:r>
        <w:t xml:space="preserve"> </w:t>
      </w:r>
      <w:r>
        <w:rPr>
          <w:b/>
          <w:bCs/>
        </w:rPr>
        <w:t xml:space="preserve">2 ficheros</w:t>
      </w:r>
      <w:r>
        <w:t xml:space="preserve"> </w:t>
      </w:r>
      <w:r>
        <w:t xml:space="preserve">(1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de mensajes brutos + 1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de metadatos) y alojarlos en la ruta designada de</w:t>
      </w:r>
      <w:r>
        <w:t xml:space="preserve"> </w:t>
      </w:r>
      <w:r>
        <w:rPr>
          <w:b/>
          <w:bCs/>
        </w:rPr>
        <w:t xml:space="preserve">SUPRA Cloud</w:t>
      </w:r>
      <w:r>
        <w:t xml:space="preserve">, manteniendo la compatibilidad con el proceso existente</w:t>
      </w:r>
      <w:r>
        <w:t xml:space="preserve"> </w:t>
      </w:r>
      <w:r>
        <w:rPr>
          <w:rStyle w:val="VerbatimChar"/>
        </w:rPr>
        <w:t xml:space="preserve">SWIFT_parsing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4" w:name="arquitectura-de-conexión-y-acceso"/>
    <w:p>
      <w:pPr>
        <w:pStyle w:val="Heading2"/>
      </w:pPr>
      <w:r>
        <w:t xml:space="preserve">2. Arquitectura de conexión y acceso</w:t>
      </w:r>
    </w:p>
    <w:bookmarkStart w:id="21" w:name="enlaces-a-máquinas-y-puertos"/>
    <w:p>
      <w:pPr>
        <w:pStyle w:val="Heading3"/>
      </w:pPr>
      <w:r>
        <w:t xml:space="preserve">2.1. Enlaces a máquinas y puertos</w:t>
      </w:r>
    </w:p>
    <w:p>
      <w:pPr>
        <w:pStyle w:val="FirstParagraph"/>
      </w:pPr>
      <w:r>
        <w:rPr>
          <w:b/>
          <w:bCs/>
        </w:rPr>
        <w:t xml:space="preserve">Entorno de TEST/DEV</w:t>
      </w:r>
      <w:r>
        <w:t xml:space="preserve"> </w:t>
      </w:r>
      <w:r>
        <w:t xml:space="preserve">- Balanceador principal:</w:t>
      </w:r>
      <w:r>
        <w:t xml:space="preserve"> </w:t>
      </w:r>
      <w:r>
        <w:rPr>
          <w:rStyle w:val="VerbatimChar"/>
        </w:rPr>
        <w:t xml:space="preserve">warehouse_api_test.swift.corp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IP</w:t>
      </w:r>
      <w:r>
        <w:t xml:space="preserve"> </w:t>
      </w:r>
      <w:r>
        <w:rPr>
          <w:rStyle w:val="VerbatimChar"/>
        </w:rPr>
        <w:t xml:space="preserve">180.18.249.15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Port</w:t>
      </w:r>
      <w:r>
        <w:t xml:space="preserve"> </w:t>
      </w:r>
      <w:r>
        <w:rPr>
          <w:rStyle w:val="VerbatimChar"/>
        </w:rPr>
        <w:t xml:space="preserve">48400</w:t>
      </w:r>
      <w:r>
        <w:t xml:space="preserve"> </w:t>
      </w:r>
      <w:r>
        <w:t xml:space="preserve">- Balanceador alternativo:</w:t>
      </w:r>
      <w:r>
        <w:t xml:space="preserve"> </w:t>
      </w:r>
      <w:r>
        <w:rPr>
          <w:rStyle w:val="VerbatimChar"/>
        </w:rPr>
        <w:t xml:space="preserve">warehouseapitest.swift.corp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IP</w:t>
      </w:r>
      <w:r>
        <w:t xml:space="preserve"> </w:t>
      </w:r>
      <w:r>
        <w:rPr>
          <w:rStyle w:val="VerbatimChar"/>
        </w:rPr>
        <w:t xml:space="preserve">180.18.249.23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Port</w:t>
      </w:r>
      <w:r>
        <w:t xml:space="preserve"> </w:t>
      </w:r>
      <w:r>
        <w:rPr>
          <w:rStyle w:val="VerbatimChar"/>
        </w:rPr>
        <w:t xml:space="preserve">443</w:t>
      </w:r>
    </w:p>
    <w:p>
      <w:pPr>
        <w:pStyle w:val="BodyText"/>
      </w:pPr>
      <w:r>
        <w:rPr>
          <w:b/>
          <w:bCs/>
        </w:rPr>
        <w:t xml:space="preserve">Entorno de PRODUCCIÓN</w:t>
      </w:r>
      <w:r>
        <w:t xml:space="preserve"> </w:t>
      </w:r>
      <w:r>
        <w:t xml:space="preserve">- Balanceador principal:</w:t>
      </w:r>
      <w:r>
        <w:t xml:space="preserve"> </w:t>
      </w:r>
      <w:r>
        <w:rPr>
          <w:rStyle w:val="VerbatimChar"/>
        </w:rPr>
        <w:t xml:space="preserve">warehouse_api.swift.corp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IP</w:t>
      </w:r>
      <w:r>
        <w:t xml:space="preserve"> </w:t>
      </w:r>
      <w:r>
        <w:rPr>
          <w:rStyle w:val="VerbatimChar"/>
        </w:rPr>
        <w:t xml:space="preserve">180.18.248.27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Port</w:t>
      </w:r>
      <w:r>
        <w:t xml:space="preserve"> </w:t>
      </w:r>
      <w:r>
        <w:rPr>
          <w:rStyle w:val="VerbatimChar"/>
        </w:rPr>
        <w:t xml:space="preserve">48400</w:t>
      </w:r>
      <w:r>
        <w:t xml:space="preserve"> </w:t>
      </w:r>
      <w:r>
        <w:t xml:space="preserve">- Balanceador alternativo:</w:t>
      </w:r>
      <w:r>
        <w:t xml:space="preserve"> </w:t>
      </w:r>
      <w:r>
        <w:rPr>
          <w:rStyle w:val="VerbatimChar"/>
        </w:rPr>
        <w:t xml:space="preserve">warehouseapi.swift.corp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IP</w:t>
      </w:r>
      <w:r>
        <w:t xml:space="preserve"> </w:t>
      </w:r>
      <w:r>
        <w:rPr>
          <w:rStyle w:val="VerbatimChar"/>
        </w:rPr>
        <w:t xml:space="preserve">180.18.248.34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Port</w:t>
      </w:r>
      <w:r>
        <w:t xml:space="preserve"> </w:t>
      </w:r>
      <w:r>
        <w:rPr>
          <w:rStyle w:val="VerbatimChar"/>
        </w:rPr>
        <w:t xml:space="preserve">443</w:t>
      </w:r>
    </w:p>
    <w:p>
      <w:pPr>
        <w:pStyle w:val="BlockText"/>
      </w:pPr>
      <w:r>
        <w:rPr>
          <w:b/>
          <w:bCs/>
        </w:rPr>
        <w:t xml:space="preserve">Acceso de red</w:t>
      </w:r>
      <w:r>
        <w:t xml:space="preserve">: solicitar reglas de</w:t>
      </w:r>
      <w:r>
        <w:t xml:space="preserve"> </w:t>
      </w:r>
      <w:r>
        <w:rPr>
          <w:b/>
          <w:bCs/>
        </w:rPr>
        <w:t xml:space="preserve">firewall</w:t>
      </w:r>
      <w:r>
        <w:t xml:space="preserve"> </w:t>
      </w:r>
      <w:r>
        <w:t xml:space="preserve">de salida desde la IP origen de la aplicación consumidora hacia los balanceadores/puertos anteriores.</w:t>
      </w:r>
    </w:p>
    <w:bookmarkEnd w:id="21"/>
    <w:bookmarkStart w:id="22" w:name="autenticación-y-cifrado-mtls"/>
    <w:p>
      <w:pPr>
        <w:pStyle w:val="Heading3"/>
      </w:pPr>
      <w:r>
        <w:t xml:space="preserve">2.2. Autenticación y cifrado (mTLS)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Autenticación mutua TLS (mTLS)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  <w:bCs/>
        </w:rPr>
        <w:t xml:space="preserve">certificado de aplicación cliente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Requisitos del certificado cliente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Formato:</w:t>
      </w:r>
      <w:r>
        <w:t xml:space="preserve"> </w:t>
      </w:r>
      <w:r>
        <w:rPr>
          <w:b/>
          <w:bCs/>
        </w:rPr>
        <w:t xml:space="preserve">DER</w:t>
      </w:r>
    </w:p>
    <w:p>
      <w:pPr>
        <w:pStyle w:val="Compact"/>
        <w:numPr>
          <w:ilvl w:val="1"/>
          <w:numId w:val="1002"/>
        </w:numPr>
      </w:pPr>
      <w:r>
        <w:t xml:space="preserve">Algoritmo de firma (mín.):</w:t>
      </w:r>
      <w:r>
        <w:t xml:space="preserve"> </w:t>
      </w:r>
      <w:r>
        <w:rPr>
          <w:b/>
          <w:bCs/>
        </w:rPr>
        <w:t xml:space="preserve">SHA256withRSA</w:t>
      </w:r>
    </w:p>
    <w:p>
      <w:pPr>
        <w:pStyle w:val="Compact"/>
        <w:numPr>
          <w:ilvl w:val="1"/>
          <w:numId w:val="1002"/>
        </w:numPr>
      </w:pPr>
      <w:r>
        <w:t xml:space="preserve">Suites TLS compatibles:</w:t>
      </w:r>
      <w:r>
        <w:t xml:space="preserve"> </w:t>
      </w:r>
      <w:r>
        <w:rPr>
          <w:rStyle w:val="VerbatimChar"/>
        </w:rPr>
        <w:t xml:space="preserve">TLS_ECDHE_RSA_WITH_AES_256_GCM_SHA384</w:t>
      </w:r>
      <w:r>
        <w:t xml:space="preserve">,</w:t>
      </w:r>
      <w:r>
        <w:t xml:space="preserve"> </w:t>
      </w:r>
      <w:r>
        <w:rPr>
          <w:rStyle w:val="VerbatimChar"/>
        </w:rPr>
        <w:t xml:space="preserve">TLS_ECDHE_RSA_WITH_AES_128_GCM_SHA256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Flujo recomendado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Generar keystore (ej.</w:t>
      </w:r>
      <w:r>
        <w:t xml:space="preserve"> </w:t>
      </w:r>
      <w:r>
        <w:rPr>
          <w:rStyle w:val="VerbatimChar"/>
        </w:rPr>
        <w:t xml:space="preserve">cliente_api.jks</w:t>
      </w:r>
      <w:r>
        <w:t xml:space="preserve">) y CSR con</w:t>
      </w:r>
      <w:r>
        <w:t xml:space="preserve"> </w:t>
      </w:r>
      <w:r>
        <w:rPr>
          <w:rStyle w:val="VerbatimChar"/>
        </w:rPr>
        <w:t xml:space="preserve">keytool</w:t>
      </w:r>
      <w:r>
        <w:t xml:space="preserve">/</w:t>
      </w:r>
      <w:r>
        <w:rPr>
          <w:rStyle w:val="VerbatimChar"/>
        </w:rPr>
        <w:t xml:space="preserve">openssl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Firmar el CSR en la</w:t>
      </w:r>
      <w:r>
        <w:t xml:space="preserve"> </w:t>
      </w:r>
      <w:r>
        <w:rPr>
          <w:b/>
          <w:bCs/>
        </w:rPr>
        <w:t xml:space="preserve">CA corporativa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Importar el certificado</w:t>
      </w:r>
      <w:r>
        <w:t xml:space="preserve"> </w:t>
      </w:r>
      <w:r>
        <w:rPr>
          <w:b/>
          <w:bCs/>
        </w:rPr>
        <w:t xml:space="preserve">firmado</w:t>
      </w:r>
      <w:r>
        <w:t xml:space="preserve"> </w:t>
      </w:r>
      <w:r>
        <w:t xml:space="preserve">en el keystore del cliente.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Intercambio de certificados públicos</w:t>
      </w:r>
      <w:r>
        <w:t xml:space="preserve">:</w:t>
      </w:r>
    </w:p>
    <w:p>
      <w:pPr>
        <w:pStyle w:val="Compact"/>
        <w:numPr>
          <w:ilvl w:val="2"/>
          <w:numId w:val="1004"/>
        </w:numPr>
      </w:pPr>
      <w:r>
        <w:t xml:space="preserve">Enviar</w:t>
      </w:r>
      <w:r>
        <w:t xml:space="preserve"> </w:t>
      </w:r>
      <w:r>
        <w:rPr>
          <w:b/>
          <w:bCs/>
        </w:rPr>
        <w:t xml:space="preserve">certificado público del cliente</w:t>
      </w:r>
      <w:r>
        <w:t xml:space="preserve"> </w:t>
      </w:r>
      <w:r>
        <w:t xml:space="preserve">al equipo AWH para su alta.</w:t>
      </w:r>
    </w:p>
    <w:p>
      <w:pPr>
        <w:pStyle w:val="Compact"/>
        <w:numPr>
          <w:ilvl w:val="2"/>
          <w:numId w:val="1004"/>
        </w:numPr>
      </w:pPr>
      <w:r>
        <w:t xml:space="preserve">Importar el</w:t>
      </w:r>
      <w:r>
        <w:t xml:space="preserve"> </w:t>
      </w:r>
      <w:r>
        <w:rPr>
          <w:b/>
          <w:bCs/>
        </w:rPr>
        <w:t xml:space="preserve">certificado público de AWH</w:t>
      </w:r>
      <w:r>
        <w:t xml:space="preserve"> </w:t>
      </w:r>
      <w:r>
        <w:t xml:space="preserve">en el truststore del cliente.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Comandos de referencia</w:t>
      </w:r>
      <w:r>
        <w:t xml:space="preserve"> </w:t>
      </w:r>
      <w:r>
        <w:t xml:space="preserve">(adaptar rutas/nombres/contraseñas):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Generar par de claves y keystore (JKS)</w:t>
      </w:r>
      <w:r>
        <w:br/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-genkeypair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-keystore</w:t>
      </w:r>
      <w:r>
        <w:rPr>
          <w:rStyle w:val="NormalTok"/>
        </w:rPr>
        <w:t xml:space="preserve"> cliente_api.jks </w:t>
      </w:r>
      <w:r>
        <w:rPr>
          <w:rStyle w:val="AttributeTok"/>
        </w:rPr>
        <w:t xml:space="preserve">-sigalg</w:t>
      </w:r>
      <w:r>
        <w:rPr>
          <w:rStyle w:val="NormalTok"/>
        </w:rPr>
        <w:t xml:space="preserve"> SHA256withRSA </w:t>
      </w:r>
      <w:r>
        <w:rPr>
          <w:rStyle w:val="AttributeTok"/>
        </w:rPr>
        <w:t xml:space="preserve">-keyalg</w:t>
      </w:r>
      <w:r>
        <w:rPr>
          <w:rStyle w:val="NormalTok"/>
        </w:rPr>
        <w:t xml:space="preserve"> RSA</w:t>
      </w:r>
      <w:r>
        <w:br/>
      </w:r>
      <w:r>
        <w:br/>
      </w:r>
      <w:r>
        <w:rPr>
          <w:rStyle w:val="CommentTok"/>
        </w:rPr>
        <w:t xml:space="preserve"># Generar CSR</w:t>
      </w:r>
      <w:r>
        <w:br/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-certreq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-keystore</w:t>
      </w:r>
      <w:r>
        <w:rPr>
          <w:rStyle w:val="NormalTok"/>
        </w:rPr>
        <w:t xml:space="preserve"> cliente_api.jks </w:t>
      </w:r>
      <w:r>
        <w:rPr>
          <w:rStyle w:val="AttributeTok"/>
        </w:rPr>
        <w:t xml:space="preserve">-file</w:t>
      </w:r>
      <w:r>
        <w:rPr>
          <w:rStyle w:val="NormalTok"/>
        </w:rPr>
        <w:t xml:space="preserve"> cliente_api.csr</w:t>
      </w:r>
      <w:r>
        <w:br/>
      </w:r>
      <w:r>
        <w:br/>
      </w:r>
      <w:r>
        <w:rPr>
          <w:rStyle w:val="CommentTok"/>
        </w:rPr>
        <w:t xml:space="preserve"># Importar certificado firmado</w:t>
      </w:r>
      <w:r>
        <w:br/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-importcert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-keystore</w:t>
      </w:r>
      <w:r>
        <w:rPr>
          <w:rStyle w:val="NormalTok"/>
        </w:rPr>
        <w:t xml:space="preserve"> cliente_api.jks </w:t>
      </w:r>
      <w:r>
        <w:rPr>
          <w:rStyle w:val="AttributeTok"/>
        </w:rPr>
        <w:t xml:space="preserve">-file</w:t>
      </w:r>
      <w:r>
        <w:rPr>
          <w:rStyle w:val="NormalTok"/>
        </w:rPr>
        <w:t xml:space="preserve"> cliente_api.crt </w:t>
      </w:r>
      <w:r>
        <w:rPr>
          <w:rStyle w:val="AttributeTok"/>
        </w:rPr>
        <w:t xml:space="preserve">-alias</w:t>
      </w:r>
      <w:r>
        <w:rPr>
          <w:rStyle w:val="NormalTok"/>
        </w:rPr>
        <w:t xml:space="preserve"> cliente_api</w:t>
      </w:r>
      <w:r>
        <w:br/>
      </w:r>
      <w:r>
        <w:br/>
      </w:r>
      <w:r>
        <w:rPr>
          <w:rStyle w:val="CommentTok"/>
        </w:rPr>
        <w:t xml:space="preserve"># Exportar certificado público para AWH</w:t>
      </w:r>
      <w:r>
        <w:br/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-exportcert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-keystore</w:t>
      </w:r>
      <w:r>
        <w:rPr>
          <w:rStyle w:val="NormalTok"/>
        </w:rPr>
        <w:t xml:space="preserve"> cliente_api.jks </w:t>
      </w:r>
      <w:r>
        <w:rPr>
          <w:rStyle w:val="AttributeTok"/>
        </w:rPr>
        <w:t xml:space="preserve">-file</w:t>
      </w:r>
      <w:r>
        <w:rPr>
          <w:rStyle w:val="NormalTok"/>
        </w:rPr>
        <w:t xml:space="preserve"> cliente_api.cer </w:t>
      </w:r>
      <w:r>
        <w:rPr>
          <w:rStyle w:val="AttributeTok"/>
        </w:rPr>
        <w:t xml:space="preserve">-alias</w:t>
      </w:r>
      <w:r>
        <w:rPr>
          <w:rStyle w:val="NormalTok"/>
        </w:rPr>
        <w:t xml:space="preserve"> cliente_api</w:t>
      </w:r>
      <w:r>
        <w:br/>
      </w:r>
      <w:r>
        <w:br/>
      </w:r>
      <w:r>
        <w:rPr>
          <w:rStyle w:val="CommentTok"/>
        </w:rPr>
        <w:t xml:space="preserve"># Importar certificado público de AWH en el truststore del cliente</w:t>
      </w:r>
      <w:r>
        <w:br/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-importcert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-keystore</w:t>
      </w:r>
      <w:r>
        <w:rPr>
          <w:rStyle w:val="NormalTok"/>
        </w:rPr>
        <w:t xml:space="preserve"> cliente_api.jks </w:t>
      </w:r>
      <w:r>
        <w:rPr>
          <w:rStyle w:val="AttributeTok"/>
        </w:rPr>
        <w:t xml:space="preserve">-file</w:t>
      </w:r>
      <w:r>
        <w:rPr>
          <w:rStyle w:val="NormalTok"/>
        </w:rPr>
        <w:t xml:space="preserve"> awh_api.cer </w:t>
      </w:r>
      <w:r>
        <w:rPr>
          <w:rStyle w:val="AttributeTok"/>
        </w:rPr>
        <w:t xml:space="preserve">-alias</w:t>
      </w:r>
      <w:r>
        <w:rPr>
          <w:rStyle w:val="NormalTok"/>
        </w:rPr>
        <w:t xml:space="preserve"> awh</w:t>
      </w:r>
      <w:r>
        <w:br/>
      </w:r>
      <w:r>
        <w:br/>
      </w:r>
      <w:r>
        <w:rPr>
          <w:rStyle w:val="CommentTok"/>
        </w:rPr>
        <w:t xml:space="preserve"># Listar contenido del keystore</w:t>
      </w:r>
      <w:r>
        <w:br/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-list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-keystore</w:t>
      </w:r>
      <w:r>
        <w:rPr>
          <w:rStyle w:val="NormalTok"/>
        </w:rPr>
        <w:t xml:space="preserve"> cliente_api.jks</w:t>
      </w:r>
    </w:p>
    <w:p>
      <w:pPr>
        <w:pStyle w:val="BlockText"/>
      </w:pPr>
      <w:r>
        <w:rPr>
          <w:b/>
          <w:bCs/>
        </w:rPr>
        <w:t xml:space="preserve">SoapUI</w:t>
      </w:r>
      <w:r>
        <w:t xml:space="preserve">: en</w:t>
      </w:r>
      <w:r>
        <w:t xml:space="preserve"> </w:t>
      </w:r>
      <w:r>
        <w:rPr>
          <w:b/>
          <w:bCs/>
        </w:rPr>
        <w:t xml:space="preserve">Preferences → SSL Settings</w:t>
      </w:r>
      <w:r>
        <w:t xml:space="preserve"> </w:t>
      </w:r>
      <w:r>
        <w:t xml:space="preserve">seleccionar el keystore del cliente y su password. En cada request, verificar el certificado en</w:t>
      </w:r>
      <w:r>
        <w:t xml:space="preserve"> </w:t>
      </w:r>
      <w:r>
        <w:rPr>
          <w:b/>
          <w:bCs/>
        </w:rPr>
        <w:t xml:space="preserve">SSL Info</w:t>
      </w:r>
      <w:r>
        <w:t xml:space="preserve">.</w:t>
      </w:r>
    </w:p>
    <w:bookmarkEnd w:id="22"/>
    <w:bookmarkStart w:id="23" w:name="Xc2a2d63c5098dcb348bebd73ab7549d825d53fa"/>
    <w:p>
      <w:pPr>
        <w:pStyle w:val="Heading3"/>
      </w:pPr>
      <w:r>
        <w:t xml:space="preserve">2.3. Cabeceras obligatorias y control de aplicación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Headers requeridos</w:t>
      </w:r>
      <w:r>
        <w:t xml:space="preserve"> </w:t>
      </w:r>
      <w:r>
        <w:t xml:space="preserve">en todas las llamadas: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Version: '&lt;version_de_la_aplicacion&gt;'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Application: '&lt;nombre_aplicacion_registrada_en_AWH&gt;'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endpoints-filtros-y-paginación"/>
    <w:p>
      <w:pPr>
        <w:pStyle w:val="Heading2"/>
      </w:pPr>
      <w:r>
        <w:t xml:space="preserve">3. Endpoints, filtros y paginación</w:t>
      </w:r>
    </w:p>
    <w:bookmarkStart w:id="25" w:name="endpoint-base"/>
    <w:p>
      <w:pPr>
        <w:pStyle w:val="Heading3"/>
      </w:pPr>
      <w:r>
        <w:t xml:space="preserve">3.1. Endpoint base</w:t>
      </w:r>
    </w:p>
    <w:p>
      <w:pPr>
        <w:pStyle w:val="Compact"/>
        <w:numPr>
          <w:ilvl w:val="0"/>
          <w:numId w:val="1007"/>
        </w:numPr>
      </w:pPr>
      <w:r>
        <w:t xml:space="preserve">Esquema:</w:t>
      </w:r>
      <w:r>
        <w:t xml:space="preserve"> </w:t>
      </w:r>
      <w:r>
        <w:rPr>
          <w:rStyle w:val="VerbatimChar"/>
        </w:rPr>
        <w:t xml:space="preserve">https</w:t>
      </w:r>
    </w:p>
    <w:p>
      <w:pPr>
        <w:pStyle w:val="Compact"/>
        <w:numPr>
          <w:ilvl w:val="0"/>
          <w:numId w:val="1007"/>
        </w:numPr>
      </w:pPr>
      <w:r>
        <w:t xml:space="preserve">Host/puerto: según entorno (ver §2.1)</w:t>
      </w:r>
    </w:p>
    <w:p>
      <w:pPr>
        <w:pStyle w:val="Compact"/>
        <w:numPr>
          <w:ilvl w:val="0"/>
          <w:numId w:val="1007"/>
        </w:numPr>
      </w:pPr>
      <w:r>
        <w:t xml:space="preserve">Base path: típicamente</w:t>
      </w:r>
      <w:r>
        <w:t xml:space="preserve"> </w:t>
      </w:r>
      <w:r>
        <w:rPr>
          <w:rStyle w:val="VerbatimChar"/>
        </w:rPr>
        <w:t xml:space="preserve">/v1/messages</w:t>
      </w:r>
      <w:r>
        <w:t xml:space="preserve"> </w:t>
      </w:r>
      <w:r>
        <w:t xml:space="preserve">(confirmar en el descriptor OpenAPI/YAML entregado por AWH).</w:t>
      </w:r>
    </w:p>
    <w:bookmarkEnd w:id="25"/>
    <w:bookmarkStart w:id="26" w:name="Xb9b4a2acee8600dc1afaa9c65640f24af955d25"/>
    <w:p>
      <w:pPr>
        <w:pStyle w:val="Heading3"/>
      </w:pPr>
      <w:r>
        <w:t xml:space="preserve">3.2. Criterios de búsqueda a reproducir (equivalentes a la UI)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b/>
          <w:bCs/>
        </w:rPr>
        <w:t xml:space="preserve">cada ejecución diaria</w:t>
      </w:r>
      <w:r>
        <w:t xml:space="preserve"> </w:t>
      </w:r>
      <w:r>
        <w:t xml:space="preserve">se deben aplicar los filtros que actualmente se marcan manualmente en la interfaz: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Creation date</w:t>
      </w:r>
      <w:r>
        <w:t xml:space="preserve">: desde</w:t>
      </w:r>
      <w:r>
        <w:t xml:space="preserve"> </w:t>
      </w:r>
      <w:r>
        <w:rPr>
          <w:rStyle w:val="VerbatimChar"/>
        </w:rPr>
        <w:t xml:space="preserve">00:00:00</w:t>
      </w:r>
      <w:r>
        <w:t xml:space="preserve"> </w:t>
      </w:r>
      <w:r>
        <w:t xml:space="preserve">hasta</w:t>
      </w:r>
      <w:r>
        <w:t xml:space="preserve"> </w:t>
      </w:r>
      <w:r>
        <w:rPr>
          <w:rStyle w:val="VerbatimChar"/>
        </w:rPr>
        <w:t xml:space="preserve">23:59:59</w:t>
      </w:r>
      <w:r>
        <w:t xml:space="preserve"> </w:t>
      </w:r>
      <w:r>
        <w:t xml:space="preserve">del</w:t>
      </w:r>
      <w:r>
        <w:t xml:space="preserve"> </w:t>
      </w:r>
      <w:r>
        <w:rPr>
          <w:b/>
          <w:bCs/>
        </w:rPr>
        <w:t xml:space="preserve">día a descargar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Message type</w:t>
      </w:r>
      <w:r>
        <w:t xml:space="preserve">: incluir</w:t>
      </w:r>
      <w:r>
        <w:t xml:space="preserve"> </w:t>
      </w:r>
      <w:r>
        <w:rPr>
          <w:b/>
          <w:bCs/>
        </w:rPr>
        <w:t xml:space="preserve">todos los tipos</w:t>
      </w:r>
      <w:r>
        <w:t xml:space="preserve"> </w:t>
      </w:r>
      <w:r>
        <w:t xml:space="preserve">usados en la UI (mantener lista actualizada en configuración).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</w:t>
      </w:r>
      <w:r>
        <w:t xml:space="preserve">: únicamente</w:t>
      </w:r>
      <w:r>
        <w:t xml:space="preserve"> </w:t>
      </w:r>
      <w:r>
        <w:rPr>
          <w:rStyle w:val="VerbatimChar"/>
        </w:rPr>
        <w:t xml:space="preserve">Sent to network</w:t>
      </w:r>
      <w:r>
        <w:t xml:space="preserve"> </w:t>
      </w:r>
      <w:r>
        <w:rPr>
          <w:b/>
          <w:bCs/>
        </w:rPr>
        <w:t xml:space="preserve">o</w:t>
      </w:r>
      <w:r>
        <w:t xml:space="preserve"> </w:t>
      </w:r>
      <w:r>
        <w:rPr>
          <w:rStyle w:val="VerbatimChar"/>
        </w:rPr>
        <w:t xml:space="preserve">Received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Direction</w:t>
      </w:r>
      <w:r>
        <w:t xml:space="preserve">: resultado puede incluir</w:t>
      </w:r>
      <w:r>
        <w:t xml:space="preserve"> </w:t>
      </w:r>
      <w:r>
        <w:rPr>
          <w:b/>
          <w:bCs/>
        </w:rPr>
        <w:t xml:space="preserve">Incoming (from SWIFT)</w:t>
      </w:r>
      <w:r>
        <w:t xml:space="preserve"> </w:t>
      </w:r>
      <w:r>
        <w:t xml:space="preserve">y/o</w:t>
      </w:r>
      <w:r>
        <w:t xml:space="preserve"> </w:t>
      </w:r>
      <w:r>
        <w:rPr>
          <w:b/>
          <w:bCs/>
        </w:rPr>
        <w:t xml:space="preserve">Outgoing (to SWIFT)</w:t>
      </w:r>
      <w:r>
        <w:t xml:space="preserve">.</w:t>
      </w:r>
    </w:p>
    <w:p>
      <w:pPr>
        <w:pStyle w:val="BlockText"/>
      </w:pPr>
      <w:r>
        <w:rPr>
          <w:b/>
          <w:bCs/>
        </w:rPr>
        <w:t xml:space="preserve">Nota</w:t>
      </w:r>
      <w:r>
        <w:t xml:space="preserve">: la API devuelve</w:t>
      </w:r>
      <w:r>
        <w:t xml:space="preserve"> </w:t>
      </w:r>
      <w:r>
        <w:rPr>
          <w:b/>
          <w:bCs/>
        </w:rPr>
        <w:t xml:space="preserve">JSON</w:t>
      </w:r>
      <w:r>
        <w:t xml:space="preserve"> </w:t>
      </w:r>
      <w:r>
        <w:t xml:space="preserve">con un campo</w:t>
      </w:r>
      <w:r>
        <w:t xml:space="preserve"> </w:t>
      </w:r>
      <w:r>
        <w:rPr>
          <w:rStyle w:val="VerbatimChar"/>
        </w:rPr>
        <w:t xml:space="preserve">total_count</w:t>
      </w:r>
      <w:r>
        <w:t xml:space="preserve"> </w:t>
      </w:r>
      <w:r>
        <w:t xml:space="preserve">para el conteo de coincidencias.</w:t>
      </w:r>
    </w:p>
    <w:bookmarkEnd w:id="26"/>
    <w:bookmarkStart w:id="27" w:name="paginación-scroll"/>
    <w:p>
      <w:pPr>
        <w:pStyle w:val="Heading3"/>
      </w:pPr>
      <w:r>
        <w:t xml:space="preserve">3.3. Paginación / Scroll</w:t>
      </w:r>
    </w:p>
    <w:p>
      <w:pPr>
        <w:pStyle w:val="Compact"/>
        <w:numPr>
          <w:ilvl w:val="0"/>
          <w:numId w:val="1008"/>
        </w:numPr>
      </w:pPr>
      <w:r>
        <w:t xml:space="preserve">La API soporta</w:t>
      </w:r>
      <w:r>
        <w:t xml:space="preserve"> </w:t>
      </w:r>
      <w:r>
        <w:rPr>
          <w:b/>
          <w:bCs/>
        </w:rPr>
        <w:t xml:space="preserve">paginación y/o scroll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Configurar</w:t>
      </w:r>
      <w:r>
        <w:t xml:space="preserve"> </w:t>
      </w:r>
      <w:r>
        <w:rPr>
          <w:rStyle w:val="VerbatimChar"/>
          <w:b/>
          <w:bCs/>
        </w:rPr>
        <w:t xml:space="preserve">limit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  <w:b/>
          <w:bCs/>
        </w:rPr>
        <w:t xml:space="preserve">offset</w:t>
      </w:r>
      <w:r>
        <w:t xml:space="preserve"> </w:t>
      </w:r>
      <w:r>
        <w:t xml:space="preserve">(o token de scroll) para iterar hasta consumir todos los resultados del día.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Buenas prácticas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Usar</w:t>
      </w:r>
      <w:r>
        <w:t xml:space="preserve"> </w:t>
      </w:r>
      <w:r>
        <w:rPr>
          <w:b/>
          <w:bCs/>
        </w:rPr>
        <w:t xml:space="preserve">ventanas deterministas</w:t>
      </w:r>
      <w:r>
        <w:t xml:space="preserve"> </w:t>
      </w:r>
      <w:r>
        <w:t xml:space="preserve">(orden por</w:t>
      </w:r>
      <w:r>
        <w:t xml:space="preserve"> </w:t>
      </w:r>
      <w:r>
        <w:rPr>
          <w:rStyle w:val="VerbatimChar"/>
        </w:rPr>
        <w:t xml:space="preserve">creation_date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warehouse_id</w:t>
      </w:r>
      <w:r>
        <w:t xml:space="preserve"> </w:t>
      </w:r>
      <w:r>
        <w:t xml:space="preserve">como desempate) para evitar duplicidades.</w:t>
      </w:r>
    </w:p>
    <w:p>
      <w:pPr>
        <w:pStyle w:val="Compact"/>
        <w:numPr>
          <w:ilvl w:val="1"/>
          <w:numId w:val="1009"/>
        </w:numPr>
      </w:pPr>
      <w:r>
        <w:t xml:space="preserve">Implementar</w:t>
      </w:r>
      <w:r>
        <w:t xml:space="preserve"> </w:t>
      </w:r>
      <w:r>
        <w:rPr>
          <w:b/>
          <w:bCs/>
        </w:rPr>
        <w:t xml:space="preserve">reintentos idempotentes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resumen de control</w:t>
      </w:r>
      <w:r>
        <w:t xml:space="preserve"> </w:t>
      </w:r>
      <w:r>
        <w:t xml:space="preserve">(totales esperados vs. descargados).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formato-de-entrega-y-nomenclatura"/>
    <w:p>
      <w:pPr>
        <w:pStyle w:val="Heading2"/>
      </w:pPr>
      <w:r>
        <w:t xml:space="preserve">4. Formato de entrega y nomenclatura</w:t>
      </w:r>
    </w:p>
    <w:p>
      <w:pPr>
        <w:pStyle w:val="FirstParagraph"/>
      </w:pPr>
      <w:r>
        <w:t xml:space="preserve">Cada ejecución debe producir</w:t>
      </w:r>
      <w:r>
        <w:t xml:space="preserve"> </w:t>
      </w:r>
      <w:r>
        <w:rPr>
          <w:b/>
          <w:bCs/>
        </w:rPr>
        <w:t xml:space="preserve">dos ficheros</w:t>
      </w:r>
      <w:r>
        <w:t xml:space="preserve"> </w:t>
      </w:r>
      <w:r>
        <w:t xml:space="preserve">con la</w:t>
      </w:r>
      <w:r>
        <w:t xml:space="preserve"> </w:t>
      </w:r>
      <w:r>
        <w:rPr>
          <w:b/>
          <w:bCs/>
        </w:rPr>
        <w:t xml:space="preserve">misma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execution_date</w:t>
      </w:r>
      <w:r>
        <w:t xml:space="preserve"> </w:t>
      </w:r>
      <w:r>
        <w:t xml:space="preserve">(YYYYMMDD):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ZIP de mensajes brutos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Nombre</w:t>
      </w:r>
      <w:r>
        <w:t xml:space="preserve">:</w:t>
      </w:r>
      <w:r>
        <w:t xml:space="preserve"> </w:t>
      </w:r>
      <w:r>
        <w:rPr>
          <w:rStyle w:val="VerbatimChar"/>
        </w:rPr>
        <w:t xml:space="preserve">report_{execution_date}.zip</w:t>
      </w:r>
      <w:r>
        <w:br/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Contenido</w:t>
      </w:r>
      <w:r>
        <w:t xml:space="preserve">: mensajes completos (raw views) correspondientes a los filtros del día.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CSV de metadatos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Nombre</w:t>
      </w:r>
      <w:r>
        <w:t xml:space="preserve">:</w:t>
      </w:r>
      <w:r>
        <w:t xml:space="preserve"> </w:t>
      </w:r>
      <w:r>
        <w:rPr>
          <w:rStyle w:val="VerbatimChar"/>
        </w:rPr>
        <w:t xml:space="preserve">dates_{execution_date}.csv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Columnas</w:t>
      </w:r>
      <w:r>
        <w:t xml:space="preserve">: exactamente</w:t>
      </w:r>
      <w:r>
        <w:t xml:space="preserve"> </w:t>
      </w:r>
      <w:r>
        <w:rPr>
          <w:rStyle w:val="VerbatimChar"/>
        </w:rPr>
        <w:t xml:space="preserve">Warehouse ID,Direction,Creation date</w:t>
      </w:r>
      <w:r>
        <w:t xml:space="preserve"> </w:t>
      </w:r>
      <w:r>
        <w:t xml:space="preserve">(en ese orden)</w:t>
      </w:r>
    </w:p>
    <w:p>
      <w:pPr>
        <w:pStyle w:val="FirstParagraph"/>
      </w:pPr>
      <w:r>
        <w:rPr>
          <w:b/>
          <w:bCs/>
        </w:rPr>
        <w:t xml:space="preserve">Destino</w:t>
      </w:r>
      <w:r>
        <w:t xml:space="preserve">: ambos ficheros deben alojarse en la ruta acordada de</w:t>
      </w:r>
      <w:r>
        <w:t xml:space="preserve"> </w:t>
      </w:r>
      <w:r>
        <w:rPr>
          <w:b/>
          <w:bCs/>
        </w:rPr>
        <w:t xml:space="preserve">SUPRA Cloud</w:t>
      </w:r>
      <w:r>
        <w:t xml:space="preserve"> </w:t>
      </w:r>
      <w:r>
        <w:t xml:space="preserve">para su posterior procesamiento por</w:t>
      </w:r>
      <w:r>
        <w:t xml:space="preserve"> </w:t>
      </w:r>
      <w:r>
        <w:rPr>
          <w:rStyle w:val="VerbatimChar"/>
        </w:rPr>
        <w:t xml:space="preserve">SWIFT_parsing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Start w:id="30" w:name="X11eac0b97efc599bc98afbb183672df1b46261a"/>
    <w:p>
      <w:pPr>
        <w:pStyle w:val="Heading2"/>
      </w:pPr>
      <w:r>
        <w:t xml:space="preserve">5. Especificación</w:t>
      </w:r>
      <w:r>
        <w:t xml:space="preserve"> </w:t>
      </w:r>
      <w:r>
        <w:rPr>
          <w:b/>
          <w:bCs/>
        </w:rPr>
        <w:t xml:space="preserve">exhaustiva</w:t>
      </w:r>
      <w:r>
        <w:t xml:space="preserve"> </w:t>
      </w:r>
      <w:r>
        <w:t xml:space="preserve">del CSV (debe cumplir exactamente)</w:t>
      </w:r>
    </w:p>
    <w:p>
      <w:pPr>
        <w:pStyle w:val="FirstParagraph"/>
      </w:pPr>
      <w:r>
        <w:t xml:space="preserve">A partir del CSV de ejemplo validado (enero 2025):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Tipo de archivo</w:t>
      </w:r>
      <w:r>
        <w:t xml:space="preserve">:</w:t>
      </w:r>
      <w:r>
        <w:t xml:space="preserve"> </w:t>
      </w:r>
      <w:r>
        <w:rPr>
          <w:b/>
          <w:bCs/>
        </w:rPr>
        <w:t xml:space="preserve">texto plano</w:t>
      </w:r>
      <w:r>
        <w:t xml:space="preserve"> </w:t>
      </w:r>
      <w:r>
        <w:t xml:space="preserve">(</w:t>
      </w:r>
      <w:r>
        <w:rPr>
          <w:rStyle w:val="VerbatimChar"/>
        </w:rPr>
        <w:t xml:space="preserve">text/plain</w:t>
      </w:r>
      <w:r>
        <w:t xml:space="preserve">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Delimitador</w:t>
      </w:r>
      <w:r>
        <w:t xml:space="preserve">:</w:t>
      </w:r>
      <w:r>
        <w:t xml:space="preserve"> </w:t>
      </w:r>
      <w:r>
        <w:rPr>
          <w:b/>
          <w:bCs/>
        </w:rPr>
        <w:t xml:space="preserve">coma</w:t>
      </w:r>
      <w:r>
        <w:t xml:space="preserve"> </w:t>
      </w:r>
      <w:r>
        <w:t xml:space="preserve">(</w:t>
      </w:r>
      <w:r>
        <w:rPr>
          <w:rStyle w:val="VerbatimChar"/>
        </w:rPr>
        <w:t xml:space="preserve">,</w:t>
      </w:r>
      <w:r>
        <w:t xml:space="preserve">)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Citas/quoting</w:t>
      </w:r>
      <w:r>
        <w:t xml:space="preserve">:</w:t>
      </w:r>
      <w:r>
        <w:t xml:space="preserve"> </w:t>
      </w:r>
      <w:r>
        <w:rPr>
          <w:rStyle w:val="VerbatimChar"/>
        </w:rPr>
        <w:t xml:space="preserve">"</w:t>
      </w:r>
      <w:r>
        <w:t xml:space="preserve"> </w:t>
      </w:r>
      <w:r>
        <w:t xml:space="preserve">como</w:t>
      </w:r>
      <w:r>
        <w:t xml:space="preserve"> </w:t>
      </w:r>
      <w:r>
        <w:rPr>
          <w:b/>
          <w:bCs/>
        </w:rPr>
        <w:t xml:space="preserve">quotechar</w:t>
      </w:r>
      <w:r>
        <w:t xml:space="preserve"> </w:t>
      </w:r>
      <w:r>
        <w:t xml:space="preserve">estándar, sin</w:t>
      </w:r>
      <w:r>
        <w:t xml:space="preserve"> </w:t>
      </w:r>
      <w:r>
        <w:rPr>
          <w:rStyle w:val="VerbatimChar"/>
        </w:rPr>
        <w:t xml:space="preserve">escapechar</w:t>
      </w:r>
      <w:r>
        <w:t xml:space="preserve"> </w:t>
      </w:r>
      <w:r>
        <w:t xml:space="preserve">explícito (no se esperan comillas en campos actuales)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Separador decimal</w:t>
      </w:r>
      <w:r>
        <w:t xml:space="preserve">: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(si procede)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Cabecera</w:t>
      </w:r>
      <w:r>
        <w:t xml:space="preserve">:</w:t>
      </w:r>
      <w:r>
        <w:t xml:space="preserve"> </w:t>
      </w:r>
      <w:r>
        <w:rPr>
          <w:b/>
          <w:bCs/>
        </w:rPr>
        <w:t xml:space="preserve">sí</w:t>
      </w:r>
      <w:r>
        <w:t xml:space="preserve"> </w:t>
      </w:r>
      <w:r>
        <w:t xml:space="preserve">(primera línea con nombres exactos de columnas)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Warehouse ID,Direction,Creation date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Codificación</w:t>
      </w:r>
      <w:r>
        <w:t xml:space="preserve">:</w:t>
      </w:r>
      <w:r>
        <w:t xml:space="preserve"> </w:t>
      </w:r>
      <w:r>
        <w:rPr>
          <w:b/>
          <w:bCs/>
        </w:rPr>
        <w:t xml:space="preserve">UTF‑8</w:t>
      </w:r>
      <w:r>
        <w:t xml:space="preserve"> </w:t>
      </w:r>
      <w:r>
        <w:t xml:space="preserve">(ASCII-safe)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Saltos de línea</w:t>
      </w:r>
      <w:r>
        <w:t xml:space="preserve">:</w:t>
      </w:r>
      <w:r>
        <w:t xml:space="preserve"> </w:t>
      </w:r>
      <w:r>
        <w:rPr>
          <w:b/>
          <w:bCs/>
        </w:rPr>
        <w:t xml:space="preserve">CRLF</w:t>
      </w:r>
      <w:r>
        <w:t xml:space="preserve"> </w:t>
      </w:r>
      <w:r>
        <w:t xml:space="preserve">(</w:t>
      </w:r>
      <w:r>
        <w:rPr>
          <w:rStyle w:val="VerbatimChar"/>
        </w:rPr>
        <w:t xml:space="preserve">\r\n</w:t>
      </w:r>
      <w:r>
        <w:t xml:space="preserve">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Envoltorio</w:t>
      </w:r>
      <w:r>
        <w:t xml:space="preserve">:</w:t>
      </w:r>
      <w:r>
        <w:t xml:space="preserve"> </w:t>
      </w:r>
      <w:r>
        <w:rPr>
          <w:b/>
          <w:bCs/>
        </w:rPr>
        <w:t xml:space="preserve">sin BOM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Tamaño orientativo</w:t>
      </w:r>
      <w:r>
        <w:t xml:space="preserve">: ~5 MB por día (puede variar con el volumen de mensajes)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Cardinalidad</w:t>
      </w:r>
      <w:r>
        <w:t xml:space="preserve">: una fila por mensaje recuperado por la búsqueda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Dominio de valores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Warehouse ID</w:t>
      </w:r>
      <w:r>
        <w:t xml:space="preserve">: cadena alfanumérica (ej.:</w:t>
      </w:r>
      <w:r>
        <w:t xml:space="preserve"> </w:t>
      </w:r>
      <w:r>
        <w:rPr>
          <w:rStyle w:val="VerbatimChar"/>
        </w:rPr>
        <w:t xml:space="preserve">1862AA7FFF3FA8C9OUTPUT</w:t>
      </w:r>
      <w:r>
        <w:t xml:space="preserve">)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Direction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Incoming (from SWIFT)</w:t>
      </w:r>
      <w:r>
        <w:t xml:space="preserve"> </w:t>
      </w:r>
      <w:r>
        <w:rPr>
          <w:b/>
          <w:bCs/>
        </w:rPr>
        <w:t xml:space="preserve">o</w:t>
      </w:r>
      <w:r>
        <w:t xml:space="preserve"> </w:t>
      </w:r>
      <w:r>
        <w:rPr>
          <w:rStyle w:val="VerbatimChar"/>
        </w:rPr>
        <w:t xml:space="preserve">Outgoing (to SWIFT)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Creation date</w:t>
      </w:r>
      <w:r>
        <w:t xml:space="preserve">:</w:t>
      </w:r>
      <w:r>
        <w:t xml:space="preserve"> </w:t>
      </w:r>
      <w:r>
        <w:rPr>
          <w:rStyle w:val="VerbatimChar"/>
          <w:b/>
          <w:bCs/>
        </w:rPr>
        <w:t xml:space="preserve">dd-MMM-YYYY HH:mm:ss</w:t>
      </w:r>
      <w:r>
        <w:t xml:space="preserve"> </w:t>
      </w:r>
      <w:r>
        <w:t xml:space="preserve">(mes en</w:t>
      </w:r>
      <w:r>
        <w:t xml:space="preserve"> </w:t>
      </w:r>
      <w:r>
        <w:rPr>
          <w:b/>
          <w:bCs/>
        </w:rPr>
        <w:t xml:space="preserve">inglés</w:t>
      </w:r>
      <w:r>
        <w:t xml:space="preserve"> </w:t>
      </w:r>
      <w:r>
        <w:t xml:space="preserve">abreviado; zona horaria inherente al sistema AWH, sin offset en campo)</w:t>
      </w:r>
    </w:p>
    <w:p>
      <w:pPr>
        <w:pStyle w:val="Compact"/>
        <w:numPr>
          <w:ilvl w:val="2"/>
          <w:numId w:val="1016"/>
        </w:numPr>
      </w:pPr>
      <w:r>
        <w:t xml:space="preserve">Ej.:</w:t>
      </w:r>
      <w:r>
        <w:t xml:space="preserve"> </w:t>
      </w:r>
      <w:r>
        <w:rPr>
          <w:rStyle w:val="VerbatimChar"/>
        </w:rPr>
        <w:t xml:space="preserve">31-Jan-2025 23:58:24</w:t>
      </w:r>
    </w:p>
    <w:p>
      <w:pPr>
        <w:pStyle w:val="BlockText"/>
      </w:pPr>
      <w:r>
        <w:rPr>
          <w:b/>
          <w:bCs/>
        </w:rPr>
        <w:t xml:space="preserve">Validación de muestra (enero 2025)</w:t>
      </w:r>
      <w:r>
        <w:t xml:space="preserve">: 75.243 filas; rango de</w:t>
      </w:r>
      <w:r>
        <w:t xml:space="preserve"> </w:t>
      </w:r>
      <w:r>
        <w:rPr>
          <w:rStyle w:val="VerbatimChar"/>
        </w:rPr>
        <w:t xml:space="preserve">Creation date</w:t>
      </w:r>
      <w:r>
        <w:t xml:space="preserve"> </w:t>
      </w:r>
      <w:r>
        <w:t xml:space="preserve">entre</w:t>
      </w:r>
      <w:r>
        <w:t xml:space="preserve"> </w:t>
      </w:r>
      <w:r>
        <w:rPr>
          <w:rStyle w:val="VerbatimChar"/>
        </w:rPr>
        <w:t xml:space="preserve">2025-01-01 00:07:06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2025-01-31 23:58:24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Requisitos de exportación equivalentes en UI</w:t>
      </w:r>
      <w:r>
        <w:t xml:space="preserve"> </w:t>
      </w:r>
      <w:r>
        <w:t xml:space="preserve">(para trazabilidad):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Change Columns</w:t>
      </w:r>
      <w:r>
        <w:t xml:space="preserve"> </w:t>
      </w:r>
      <w:r>
        <w:t xml:space="preserve">→ incluir</w:t>
      </w:r>
      <w:r>
        <w:t xml:space="preserve"> </w:t>
      </w:r>
      <w:r>
        <w:rPr>
          <w:b/>
          <w:bCs/>
        </w:rPr>
        <w:t xml:space="preserve">sólo</w:t>
      </w:r>
      <w:r>
        <w:t xml:space="preserve">:</w:t>
      </w:r>
      <w:r>
        <w:t xml:space="preserve"> </w:t>
      </w:r>
      <w:r>
        <w:rPr>
          <w:rStyle w:val="VerbatimChar"/>
        </w:rPr>
        <w:t xml:space="preserve">Warehouse ID</w:t>
      </w:r>
      <w:r>
        <w:t xml:space="preserve">,</w:t>
      </w:r>
      <w:r>
        <w:t xml:space="preserve"> </w:t>
      </w:r>
      <w:r>
        <w:rPr>
          <w:rStyle w:val="VerbatimChar"/>
        </w:rPr>
        <w:t xml:space="preserve">Direction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Creation Date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:</w:t>
      </w:r>
      <w:r>
        <w:t xml:space="preserve"> </w:t>
      </w:r>
      <w:r>
        <w:rPr>
          <w:b/>
          <w:bCs/>
        </w:rPr>
        <w:t xml:space="preserve">CSV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 Columns</w:t>
      </w:r>
      <w:r>
        <w:t xml:space="preserve">:</w:t>
      </w:r>
      <w:r>
        <w:t xml:space="preserve"> </w:t>
      </w:r>
      <w:r>
        <w:rPr>
          <w:b/>
          <w:bCs/>
        </w:rPr>
        <w:t xml:space="preserve">Previewed columns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Excluir</w:t>
      </w:r>
      <w:r>
        <w:t xml:space="preserve">:</w:t>
      </w:r>
      <w:r>
        <w:t xml:space="preserve"> </w:t>
      </w:r>
      <w:r>
        <w:rPr>
          <w:rStyle w:val="VerbatimChar"/>
        </w:rPr>
        <w:t xml:space="preserve">Application Header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 Body</w:t>
      </w:r>
      <w:r>
        <w:t xml:space="preserve">,</w:t>
      </w:r>
      <w:r>
        <w:t xml:space="preserve"> </w:t>
      </w:r>
      <w:r>
        <w:rPr>
          <w:rStyle w:val="VerbatimChar"/>
        </w:rPr>
        <w:t xml:space="preserve">Detailed history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0"/>
    <w:bookmarkStart w:id="31" w:name="Xdafefc9946039b62fd2ef0e26612c9a095eb1d5"/>
    <w:p>
      <w:pPr>
        <w:pStyle w:val="Heading2"/>
      </w:pPr>
      <w:r>
        <w:t xml:space="preserve">6. Procedimiento de descarga (lógica de extracción)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Construir query</w:t>
      </w:r>
      <w:r>
        <w:t xml:space="preserve"> </w:t>
      </w:r>
      <w:r>
        <w:t xml:space="preserve">aplicando filtros de §3.2 para</w:t>
      </w:r>
      <w:r>
        <w:t xml:space="preserve"> </w:t>
      </w:r>
      <w:r>
        <w:rPr>
          <w:rStyle w:val="VerbatimChar"/>
        </w:rPr>
        <w:t xml:space="preserve">execution_date</w:t>
      </w:r>
      <w:r>
        <w:t xml:space="preserve"> </w:t>
      </w:r>
      <w:r>
        <w:t xml:space="preserve">(ventana 00:00–23:59:59).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Paginar</w:t>
      </w:r>
      <w:r>
        <w:t xml:space="preserve">/scrollear hasta recuperar todos los mensajes del día, controlando</w:t>
      </w:r>
      <w:r>
        <w:t xml:space="preserve"> </w:t>
      </w:r>
      <w:r>
        <w:rPr>
          <w:rStyle w:val="VerbatimChar"/>
        </w:rPr>
        <w:t xml:space="preserve">total_count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Generar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ZIP</w:t>
      </w:r>
      <w:r>
        <w:t xml:space="preserve"> </w:t>
      </w:r>
      <w:r>
        <w:t xml:space="preserve">con</w:t>
      </w:r>
      <w:r>
        <w:t xml:space="preserve"> </w:t>
      </w:r>
      <w:r>
        <w:rPr>
          <w:i/>
          <w:iCs/>
        </w:rPr>
        <w:t xml:space="preserve">raw views</w:t>
      </w:r>
      <w:r>
        <w:t xml:space="preserve"> </w:t>
      </w:r>
      <w:r>
        <w:t xml:space="preserve">de todos los mensajes del día.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CSV</w:t>
      </w:r>
      <w:r>
        <w:t xml:space="preserve"> </w:t>
      </w:r>
      <w:r>
        <w:t xml:space="preserve">con las</w:t>
      </w:r>
      <w:r>
        <w:t xml:space="preserve"> </w:t>
      </w:r>
      <w:r>
        <w:rPr>
          <w:b/>
          <w:bCs/>
        </w:rPr>
        <w:t xml:space="preserve">tres columnas</w:t>
      </w:r>
      <w:r>
        <w:t xml:space="preserve"> </w:t>
      </w:r>
      <w:r>
        <w:t xml:space="preserve">especificadas, en</w:t>
      </w:r>
      <w:r>
        <w:t xml:space="preserve"> </w:t>
      </w:r>
      <w:r>
        <w:rPr>
          <w:b/>
          <w:bCs/>
        </w:rPr>
        <w:t xml:space="preserve">UTF‑8</w:t>
      </w:r>
      <w:r>
        <w:t xml:space="preserve">, delimitado por</w:t>
      </w:r>
      <w:r>
        <w:t xml:space="preserve"> </w:t>
      </w:r>
      <w:r>
        <w:rPr>
          <w:b/>
          <w:bCs/>
        </w:rPr>
        <w:t xml:space="preserve">coma</w:t>
      </w:r>
      <w:r>
        <w:t xml:space="preserve">,</w:t>
      </w:r>
      <w:r>
        <w:t xml:space="preserve"> </w:t>
      </w:r>
      <w:r>
        <w:rPr>
          <w:b/>
          <w:bCs/>
        </w:rPr>
        <w:t xml:space="preserve">CRLF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Renombrar</w:t>
      </w:r>
      <w:r>
        <w:t xml:space="preserve"> </w:t>
      </w:r>
      <w:r>
        <w:t xml:space="preserve">ambos con la nomenclatura de §4 y</w:t>
      </w:r>
      <w:r>
        <w:t xml:space="preserve"> </w:t>
      </w:r>
      <w:r>
        <w:rPr>
          <w:b/>
          <w:bCs/>
        </w:rPr>
        <w:t xml:space="preserve">subir a SUPRA Cloud</w:t>
      </w:r>
      <w:r>
        <w:t xml:space="preserve"> </w:t>
      </w:r>
      <w:r>
        <w:t xml:space="preserve">en la ruta convenida.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Controles</w:t>
      </w:r>
      <w:r>
        <w:t xml:space="preserve">: hash (MD5/SHA256), recuento de filas vs. </w:t>
      </w:r>
      <w:r>
        <w:rPr>
          <w:rStyle w:val="VerbatimChar"/>
        </w:rPr>
        <w:t xml:space="preserve">total_count</w:t>
      </w:r>
      <w:r>
        <w:t xml:space="preserve">, y logging de ventana temporal y parámetros.</w:t>
      </w:r>
    </w:p>
    <w:p>
      <w:r>
        <w:pict>
          <v:rect style="width:0;height:1.5pt" o:hralign="center" o:hrstd="t" o:hr="t"/>
        </w:pict>
      </w:r>
    </w:p>
    <w:bookmarkEnd w:id="31"/>
    <w:bookmarkStart w:id="34" w:name="ejemplos-de-integración"/>
    <w:p>
      <w:pPr>
        <w:pStyle w:val="Heading2"/>
      </w:pPr>
      <w:r>
        <w:t xml:space="preserve">7. Ejemplos de integración</w:t>
      </w:r>
    </w:p>
    <w:bookmarkStart w:id="32" w:name="ejemplo-curl-con-mtls"/>
    <w:p>
      <w:pPr>
        <w:pStyle w:val="Heading3"/>
      </w:pPr>
      <w:r>
        <w:t xml:space="preserve">7.1. Ejemplo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con mTLS</w:t>
      </w:r>
    </w:p>
    <w:p>
      <w:pPr>
        <w:pStyle w:val="SourceCode"/>
      </w:pPr>
      <w:r>
        <w:rPr>
          <w:rStyle w:val="CommentTok"/>
        </w:rPr>
        <w:t xml:space="preserve"># Variables de entorno</w:t>
      </w:r>
      <w:r>
        <w:br/>
      </w:r>
      <w:r>
        <w:rPr>
          <w:rStyle w:val="VariableTok"/>
        </w:rPr>
        <w:t xml:space="preserve">AWH_HOST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"warehouse_api_test.swift.corp:48400"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 el de PROD</w:t>
      </w:r>
      <w:r>
        <w:br/>
      </w:r>
      <w:r>
        <w:rPr>
          <w:rStyle w:val="VariableTok"/>
        </w:rPr>
        <w:t xml:space="preserve">APP_NAME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"&lt;nombre_app_registrada&gt;"</w:t>
      </w:r>
      <w:r>
        <w:br/>
      </w:r>
      <w:r>
        <w:rPr>
          <w:rStyle w:val="VariableTok"/>
        </w:rPr>
        <w:t xml:space="preserve">APP_VERSION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"&lt;version_app&gt;"</w:t>
      </w:r>
      <w:r>
        <w:br/>
      </w:r>
      <w:r>
        <w:rPr>
          <w:rStyle w:val="VariableTok"/>
        </w:rPr>
        <w:t xml:space="preserve">CLIENT_CERT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"/ruta/cliente_api.crt"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certificado público cliente</w:t>
      </w:r>
      <w:r>
        <w:br/>
      </w:r>
      <w:r>
        <w:rPr>
          <w:rStyle w:val="VariableTok"/>
        </w:rPr>
        <w:t xml:space="preserve">CLIENT_KEY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"/ruta/cliente_api.key"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clave privada cliente</w:t>
      </w:r>
      <w:r>
        <w:br/>
      </w:r>
      <w:r>
        <w:rPr>
          <w:rStyle w:val="VariableTok"/>
        </w:rPr>
        <w:t xml:space="preserve">CA_CHAIN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"/ruta/awh_api.cer"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certificado público de AWH (o cadena CA)</w:t>
      </w:r>
      <w:r>
        <w:br/>
      </w:r>
      <w:r>
        <w:br/>
      </w:r>
      <w:r>
        <w:rPr>
          <w:rStyle w:val="CommentTok"/>
        </w:rPr>
        <w:t xml:space="preserve"># Filtros (ejemplo)</w:t>
      </w:r>
      <w:r>
        <w:br/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"2025-10-01T00:00:00Z"</w:t>
      </w:r>
      <w:r>
        <w:br/>
      </w:r>
      <w:r>
        <w:rPr>
          <w:rStyle w:val="VariableTok"/>
        </w:rPr>
        <w:t xml:space="preserve">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"2025-10-01T23:59:59Z"</w:t>
      </w:r>
      <w:r>
        <w:br/>
      </w:r>
      <w:r>
        <w:rPr>
          <w:rStyle w:val="VariableTok"/>
        </w:rPr>
        <w:t xml:space="preserve">OWN_BIC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"BSCHESM0"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ejemplo</w:t>
      </w:r>
      <w:r>
        <w:br/>
      </w:r>
      <w:r>
        <w:rPr>
          <w:rStyle w:val="VariableTok"/>
        </w:rPr>
        <w:t xml:space="preserve">STATUS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"Sent to network,Received"</w:t>
      </w:r>
      <w:r>
        <w:br/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--cert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$CLIENT_CERT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--key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$CLIENT_KEY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--cacert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$CA_CHAIN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"Application: '</w:t>
      </w:r>
      <w:r>
        <w:rPr>
          <w:rStyle w:val="VariableTok"/>
        </w:rPr>
        <w:t xml:space="preserve">$APP_NAME</w:t>
      </w:r>
      <w:r>
        <w:rPr>
          <w:rStyle w:val="StringTok"/>
        </w:rPr>
        <w:t xml:space="preserve">'"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"Version: '</w:t>
      </w:r>
      <w:r>
        <w:rPr>
          <w:rStyle w:val="VariableTok"/>
        </w:rPr>
        <w:t xml:space="preserve">$APP_VERSION</w:t>
      </w:r>
      <w:r>
        <w:rPr>
          <w:rStyle w:val="StringTok"/>
        </w:rPr>
        <w:t xml:space="preserve">'"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</w:t>
      </w:r>
      <w:r>
        <w:rPr>
          <w:rStyle w:val="VariableTok"/>
        </w:rPr>
        <w:t xml:space="preserve">$AWH_HOST</w:t>
      </w:r>
      <w:r>
        <w:rPr>
          <w:rStyle w:val="StringTok"/>
        </w:rPr>
        <w:t xml:space="preserve">/v1/messages?own_bic=</w:t>
      </w:r>
      <w:r>
        <w:rPr>
          <w:rStyle w:val="VariableTok"/>
        </w:rPr>
        <w:t xml:space="preserve">$OWN_BIC</w:t>
      </w:r>
      <w:r>
        <w:rPr>
          <w:rStyle w:val="StringTok"/>
        </w:rPr>
        <w:t xml:space="preserve">&amp;creation_date_from=</w:t>
      </w:r>
      <w:r>
        <w:rPr>
          <w:rStyle w:val="VariableTok"/>
        </w:rPr>
        <w:t xml:space="preserve">$START</w:t>
      </w:r>
      <w:r>
        <w:rPr>
          <w:rStyle w:val="StringTok"/>
        </w:rPr>
        <w:t xml:space="preserve">&amp;creation_date_to=</w:t>
      </w:r>
      <w:r>
        <w:rPr>
          <w:rStyle w:val="VariableTok"/>
        </w:rPr>
        <w:t xml:space="preserve">$END</w:t>
      </w:r>
      <w:r>
        <w:rPr>
          <w:rStyle w:val="StringTok"/>
        </w:rPr>
        <w:t xml:space="preserve">&amp;status=</w:t>
      </w:r>
      <w:r>
        <w:rPr>
          <w:rStyle w:val="VariableTok"/>
        </w:rPr>
        <w:t xml:space="preserve">$STATUS</w:t>
      </w:r>
      <w:r>
        <w:rPr>
          <w:rStyle w:val="StringTok"/>
        </w:rPr>
        <w:t xml:space="preserve">&amp;limit=1000"</w:t>
      </w:r>
    </w:p>
    <w:bookmarkEnd w:id="32"/>
    <w:bookmarkStart w:id="33" w:name="configuración-en-soapui-resumen"/>
    <w:p>
      <w:pPr>
        <w:pStyle w:val="Heading3"/>
      </w:pPr>
      <w:r>
        <w:t xml:space="preserve">7.2. Configuración en SOAPUI (resumen)</w:t>
      </w:r>
    </w:p>
    <w:p>
      <w:pPr>
        <w:pStyle w:val="Compact"/>
        <w:numPr>
          <w:ilvl w:val="0"/>
          <w:numId w:val="1019"/>
        </w:numPr>
      </w:pPr>
      <w:r>
        <w:t xml:space="preserve">Importar el</w:t>
      </w:r>
      <w:r>
        <w:t xml:space="preserve"> </w:t>
      </w:r>
      <w:r>
        <w:rPr>
          <w:b/>
          <w:bCs/>
        </w:rPr>
        <w:t xml:space="preserve">YAML/OpenAPI</w:t>
      </w:r>
      <w:r>
        <w:t xml:space="preserve"> </w:t>
      </w:r>
      <w:r>
        <w:t xml:space="preserve">de AWH en SOAPUI 5.7+.</w:t>
      </w:r>
    </w:p>
    <w:p>
      <w:pPr>
        <w:pStyle w:val="Compact"/>
        <w:numPr>
          <w:ilvl w:val="0"/>
          <w:numId w:val="1019"/>
        </w:numPr>
      </w:pPr>
      <w:r>
        <w:t xml:space="preserve">En</w:t>
      </w:r>
      <w:r>
        <w:t xml:space="preserve"> </w:t>
      </w:r>
      <w:r>
        <w:rPr>
          <w:b/>
          <w:bCs/>
        </w:rPr>
        <w:t xml:space="preserve">Request</w:t>
      </w:r>
      <w:r>
        <w:t xml:space="preserve"> </w:t>
      </w:r>
      <w:r>
        <w:t xml:space="preserve">introducir</w:t>
      </w:r>
      <w:r>
        <w:t xml:space="preserve"> </w:t>
      </w:r>
      <w:r>
        <w:rPr>
          <w:rStyle w:val="VerbatimChar"/>
        </w:rPr>
        <w:t xml:space="preserve">https://&lt;host&gt;:&lt;port&gt;</w:t>
      </w:r>
      <w:r>
        <w:t xml:space="preserve"> </w:t>
      </w:r>
      <w:r>
        <w:t xml:space="preserve">y el path del recurso.</w:t>
      </w:r>
    </w:p>
    <w:p>
      <w:pPr>
        <w:pStyle w:val="Compact"/>
        <w:numPr>
          <w:ilvl w:val="0"/>
          <w:numId w:val="1019"/>
        </w:numPr>
      </w:pPr>
      <w:r>
        <w:t xml:space="preserve">Añadir headers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En</w:t>
      </w:r>
      <w:r>
        <w:t xml:space="preserve"> </w:t>
      </w:r>
      <w:r>
        <w:rPr>
          <w:b/>
          <w:bCs/>
        </w:rPr>
        <w:t xml:space="preserve">SSL Settings</w:t>
      </w:r>
      <w:r>
        <w:t xml:space="preserve">, seleccionar el</w:t>
      </w:r>
      <w:r>
        <w:t xml:space="preserve"> </w:t>
      </w:r>
      <w:r>
        <w:rPr>
          <w:b/>
          <w:bCs/>
        </w:rPr>
        <w:t xml:space="preserve">keystore</w:t>
      </w:r>
      <w:r>
        <w:t xml:space="preserve"> </w:t>
      </w:r>
      <w:r>
        <w:t xml:space="preserve">del cliente.</w:t>
      </w:r>
    </w:p>
    <w:p>
      <w:pPr>
        <w:pStyle w:val="Compact"/>
        <w:numPr>
          <w:ilvl w:val="0"/>
          <w:numId w:val="1019"/>
        </w:numPr>
      </w:pPr>
      <w:r>
        <w:t xml:space="preserve">Probar llamada y revisar</w:t>
      </w:r>
      <w:r>
        <w:t xml:space="preserve"> </w:t>
      </w:r>
      <w:r>
        <w:rPr>
          <w:rStyle w:val="VerbatimChar"/>
          <w:b/>
          <w:bCs/>
        </w:rPr>
        <w:t xml:space="preserve">total_count</w:t>
      </w:r>
      <w:r>
        <w:t xml:space="preserve"> </w:t>
      </w:r>
      <w:r>
        <w:t xml:space="preserve">y contenido JSON.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X0581f759515cf4bc9de47b515f4523e2f6b6a37"/>
    <w:p>
      <w:pPr>
        <w:pStyle w:val="Heading2"/>
      </w:pPr>
      <w:r>
        <w:t xml:space="preserve">8. Consideraciones operativas y de seguridad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Rotación de certificados</w:t>
      </w:r>
      <w:r>
        <w:t xml:space="preserve">: calendarizar aviso previo a expiración (30/15/7 días).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Tiempos de respuesta y reintentos</w:t>
      </w:r>
      <w:r>
        <w:t xml:space="preserve">: política de backoff exponencial para 5xx/timeouts.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Idempotencia</w:t>
      </w:r>
      <w:r>
        <w:t xml:space="preserve">: clave natural</w:t>
      </w:r>
      <w:r>
        <w:t xml:space="preserve"> </w:t>
      </w:r>
      <w:r>
        <w:rPr>
          <w:rStyle w:val="VerbatimChar"/>
        </w:rPr>
        <w:t xml:space="preserve">warehouse_id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creation_date</w:t>
      </w:r>
      <w:r>
        <w:t xml:space="preserve"> </w:t>
      </w:r>
      <w:r>
        <w:t xml:space="preserve">para evitar duplicados en reintentos.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Trazabilidad</w:t>
      </w:r>
      <w:r>
        <w:t xml:space="preserve">: registrar parámetros de búsqueda, ventana temporal,</w:t>
      </w:r>
      <w:r>
        <w:t xml:space="preserve"> </w:t>
      </w:r>
      <w:r>
        <w:rPr>
          <w:rStyle w:val="VerbatimChar"/>
        </w:rPr>
        <w:t xml:space="preserve">total_count</w:t>
      </w:r>
      <w:r>
        <w:t xml:space="preserve">, páginas descargadas y hashes de ficheros generados.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Límites</w:t>
      </w:r>
      <w:r>
        <w:t xml:space="preserve">: ajustar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según recomendaciones de AWH y capacidad de red.</w:t>
      </w:r>
    </w:p>
    <w:p>
      <w:r>
        <w:pict>
          <v:rect style="width:0;height:1.5pt" o:hralign="center" o:hrstd="t" o:hr="t"/>
        </w:pict>
      </w:r>
    </w:p>
    <w:bookmarkEnd w:id="35"/>
    <w:bookmarkStart w:id="36" w:name="checklist-para-el-equipo-de-ingestas"/>
    <w:p>
      <w:pPr>
        <w:pStyle w:val="Heading2"/>
      </w:pPr>
      <w:r>
        <w:t xml:space="preserve">9. Checklist para el equipo de Ingestas</w:t>
      </w:r>
    </w:p>
    <w:p>
      <w:pPr>
        <w:pStyle w:val="Compact"/>
        <w:numPr>
          <w:ilvl w:val="0"/>
          <w:numId w:val="1021"/>
        </w:numPr>
      </w:pPr>
      <w:r>
        <w:t xml:space="preserve">Reglas de firewall a</w:t>
      </w:r>
      <w:r>
        <w:t xml:space="preserve"> </w:t>
      </w:r>
      <w:r>
        <w:rPr>
          <w:b/>
          <w:bCs/>
        </w:rPr>
        <w:t xml:space="preserve">TEST</w:t>
      </w:r>
      <w:r>
        <w:t xml:space="preserve">/</w:t>
      </w:r>
      <w:r>
        <w:rPr>
          <w:b/>
          <w:bCs/>
        </w:rPr>
        <w:t xml:space="preserve">PROD</w:t>
      </w:r>
      <w:r>
        <w:t xml:space="preserve"> </w:t>
      </w:r>
      <w:r>
        <w:t xml:space="preserve">(hosts/puertos §2.1)</w:t>
      </w:r>
    </w:p>
    <w:p>
      <w:pPr>
        <w:pStyle w:val="Compact"/>
        <w:numPr>
          <w:ilvl w:val="0"/>
          <w:numId w:val="1022"/>
        </w:numPr>
      </w:pPr>
      <w:r>
        <w:t xml:space="preserve">Keystore y CSR generados; certificado</w:t>
      </w:r>
      <w:r>
        <w:t xml:space="preserve"> </w:t>
      </w:r>
      <w:r>
        <w:rPr>
          <w:b/>
          <w:bCs/>
        </w:rPr>
        <w:t xml:space="preserve">firmado por CA</w:t>
      </w:r>
      <w:r>
        <w:t xml:space="preserve"> </w:t>
      </w:r>
      <w:r>
        <w:t xml:space="preserve">importado (§2.2)</w:t>
      </w:r>
    </w:p>
    <w:p>
      <w:pPr>
        <w:pStyle w:val="Compact"/>
        <w:numPr>
          <w:ilvl w:val="0"/>
          <w:numId w:val="1023"/>
        </w:numPr>
      </w:pPr>
      <w:r>
        <w:t xml:space="preserve">Certificado público</w:t>
      </w:r>
      <w:r>
        <w:t xml:space="preserve"> </w:t>
      </w:r>
      <w:r>
        <w:rPr>
          <w:b/>
          <w:bCs/>
        </w:rPr>
        <w:t xml:space="preserve">AWH</w:t>
      </w:r>
      <w:r>
        <w:t xml:space="preserve"> </w:t>
      </w:r>
      <w:r>
        <w:t xml:space="preserve">importado en truststore (§2.2)</w:t>
      </w:r>
    </w:p>
    <w:p>
      <w:pPr>
        <w:pStyle w:val="Compact"/>
        <w:numPr>
          <w:ilvl w:val="0"/>
          <w:numId w:val="1024"/>
        </w:numPr>
      </w:pPr>
      <w:r>
        <w:t xml:space="preserve">Headers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/</w:t>
      </w:r>
      <w:r>
        <w:rPr>
          <w:rStyle w:val="VerbatimChar"/>
        </w:rPr>
        <w:t xml:space="preserve">Version</w:t>
      </w:r>
      <w:r>
        <w:t xml:space="preserve"> </w:t>
      </w:r>
      <w:r>
        <w:t xml:space="preserve">configurados (§2.3)</w:t>
      </w:r>
    </w:p>
    <w:p>
      <w:pPr>
        <w:pStyle w:val="Compact"/>
        <w:numPr>
          <w:ilvl w:val="0"/>
          <w:numId w:val="1025"/>
        </w:numPr>
      </w:pPr>
      <w:r>
        <w:t xml:space="preserve">Filtros de consulta equivalentes a UI (§3.2)</w:t>
      </w:r>
    </w:p>
    <w:p>
      <w:pPr>
        <w:pStyle w:val="Compact"/>
        <w:numPr>
          <w:ilvl w:val="0"/>
          <w:numId w:val="1026"/>
        </w:numPr>
      </w:pPr>
      <w:r>
        <w:t xml:space="preserve">Paginación/scroll implementados (§3.3)</w:t>
      </w:r>
    </w:p>
    <w:p>
      <w:pPr>
        <w:pStyle w:val="Compact"/>
        <w:numPr>
          <w:ilvl w:val="0"/>
          <w:numId w:val="1027"/>
        </w:numPr>
      </w:pPr>
      <w:r>
        <w:t xml:space="preserve">Generación de</w:t>
      </w:r>
      <w:r>
        <w:t xml:space="preserve"> </w:t>
      </w:r>
      <w:r>
        <w:rPr>
          <w:b/>
          <w:bCs/>
        </w:rPr>
        <w:t xml:space="preserve">ZIP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CSV</w:t>
      </w:r>
      <w:r>
        <w:t xml:space="preserve"> </w:t>
      </w:r>
      <w:r>
        <w:t xml:space="preserve">conforme a §5</w:t>
      </w:r>
    </w:p>
    <w:p>
      <w:pPr>
        <w:pStyle w:val="Compact"/>
        <w:numPr>
          <w:ilvl w:val="0"/>
          <w:numId w:val="1028"/>
        </w:numPr>
      </w:pPr>
      <w:r>
        <w:t xml:space="preserve">Nomenclatura</w:t>
      </w:r>
      <w:r>
        <w:t xml:space="preserve"> </w:t>
      </w:r>
      <w:r>
        <w:rPr>
          <w:rStyle w:val="VerbatimChar"/>
        </w:rPr>
        <w:t xml:space="preserve">report_YYYYMMDD.zip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dates_YYYYMMDD.csv</w:t>
      </w:r>
      <w:r>
        <w:t xml:space="preserve"> </w:t>
      </w:r>
      <w:r>
        <w:t xml:space="preserve">(§4)</w:t>
      </w:r>
    </w:p>
    <w:p>
      <w:pPr>
        <w:pStyle w:val="Compact"/>
        <w:numPr>
          <w:ilvl w:val="0"/>
          <w:numId w:val="1029"/>
        </w:numPr>
      </w:pPr>
      <w:r>
        <w:t xml:space="preserve">Subida a ruta de</w:t>
      </w:r>
      <w:r>
        <w:t xml:space="preserve"> </w:t>
      </w:r>
      <w:r>
        <w:rPr>
          <w:b/>
          <w:bCs/>
        </w:rPr>
        <w:t xml:space="preserve">SUPRA Cloud</w:t>
      </w:r>
    </w:p>
    <w:p>
      <w:pPr>
        <w:pStyle w:val="Compact"/>
        <w:numPr>
          <w:ilvl w:val="0"/>
          <w:numId w:val="1030"/>
        </w:numPr>
      </w:pPr>
      <w:r>
        <w:t xml:space="preserve">Controles de integridad y reconciliación con</w:t>
      </w:r>
      <w:r>
        <w:t xml:space="preserve"> </w:t>
      </w:r>
      <w:r>
        <w:rPr>
          <w:rStyle w:val="VerbatimChar"/>
        </w:rPr>
        <w:t xml:space="preserve">total_count</w:t>
      </w:r>
    </w:p>
    <w:p>
      <w:r>
        <w:pict>
          <v:rect style="width:0;height:1.5pt" o:hralign="center" o:hrstd="t" o:hr="t"/>
        </w:pict>
      </w:r>
    </w:p>
    <w:bookmarkEnd w:id="36"/>
    <w:bookmarkStart w:id="37" w:name="anexo-mapeo-ui-api"/>
    <w:p>
      <w:pPr>
        <w:pStyle w:val="Heading2"/>
      </w:pPr>
      <w:r>
        <w:t xml:space="preserve">10. Anexo – Mapeo UI ↔ API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Creation date (UI)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creation_date_from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creation_date_to</w:t>
      </w:r>
      <w:r>
        <w:t xml:space="preserve"> </w:t>
      </w:r>
      <w:r>
        <w:t xml:space="preserve">(API)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Message type (UI)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message_type</w:t>
      </w:r>
      <w:r>
        <w:t xml:space="preserve"> </w:t>
      </w:r>
      <w:r>
        <w:t xml:space="preserve">(lista configurable)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Status (UI)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(valores:</w:t>
      </w:r>
      <w:r>
        <w:t xml:space="preserve"> </w:t>
      </w:r>
      <w:r>
        <w:rPr>
          <w:rStyle w:val="VerbatimChar"/>
        </w:rPr>
        <w:t xml:space="preserve">Sent to network</w:t>
      </w:r>
      <w:r>
        <w:t xml:space="preserve">,</w:t>
      </w:r>
      <w:r>
        <w:t xml:space="preserve"> </w:t>
      </w:r>
      <w:r>
        <w:rPr>
          <w:rStyle w:val="VerbatimChar"/>
        </w:rPr>
        <w:t xml:space="preserve">Received</w:t>
      </w:r>
      <w:r>
        <w:t xml:space="preserve">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Direction (UI)</w:t>
      </w:r>
      <w:r>
        <w:t xml:space="preserve"> </w:t>
      </w:r>
      <w:r>
        <w:t xml:space="preserve">→ derivado de</w:t>
      </w:r>
      <w:r>
        <w:t xml:space="preserve"> </w:t>
      </w:r>
      <w:r>
        <w:rPr>
          <w:rStyle w:val="VerbatimChar"/>
        </w:rPr>
        <w:t xml:space="preserve">direction</w:t>
      </w:r>
      <w:r>
        <w:t xml:space="preserve">/</w:t>
      </w:r>
      <w:r>
        <w:rPr>
          <w:rStyle w:val="VerbatimChar"/>
        </w:rPr>
        <w:t xml:space="preserve">backend_direction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Export CSV (UI)</w:t>
      </w:r>
      <w:r>
        <w:t xml:space="preserve"> </w:t>
      </w:r>
      <w:r>
        <w:t xml:space="preserve">→ generación del CSV con columnas exactas (véase §5)</w:t>
      </w:r>
    </w:p>
    <w:p>
      <w:r>
        <w:pict>
          <v:rect style="width:0;height:1.5pt" o:hralign="center" o:hrstd="t" o:hr="t"/>
        </w:pict>
      </w:r>
    </w:p>
    <w:bookmarkEnd w:id="37"/>
    <w:bookmarkStart w:id="38" w:name="historial-de-cambios"/>
    <w:p>
      <w:pPr>
        <w:pStyle w:val="Heading2"/>
      </w:pPr>
      <w:r>
        <w:t xml:space="preserve">11. Historial de cambios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v1</w:t>
      </w:r>
      <w:r>
        <w:t xml:space="preserve">: Documento inicial (extracción manual → API).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v2</w:t>
      </w:r>
      <w:r>
        <w:t xml:space="preserve">:</w:t>
      </w:r>
      <w:r>
        <w:t xml:space="preserve"> </w:t>
      </w:r>
      <w:r>
        <w:rPr>
          <w:i/>
          <w:iCs/>
        </w:rPr>
        <w:t xml:space="preserve">Este documento</w:t>
      </w:r>
      <w:r>
        <w:t xml:space="preserve">. Añadidos:</w:t>
      </w:r>
      <w:r>
        <w:t xml:space="preserve"> </w:t>
      </w:r>
      <w:r>
        <w:rPr>
          <w:b/>
          <w:bCs/>
        </w:rPr>
        <w:t xml:space="preserve">enlaces a máquinas/puertos</w:t>
      </w:r>
      <w:r>
        <w:t xml:space="preserve">,</w:t>
      </w:r>
      <w:r>
        <w:t xml:space="preserve"> </w:t>
      </w:r>
      <w:r>
        <w:rPr>
          <w:b/>
          <w:bCs/>
        </w:rPr>
        <w:t xml:space="preserve">certificados mTLS</w:t>
      </w:r>
      <w:r>
        <w:t xml:space="preserve">,</w:t>
      </w:r>
      <w:r>
        <w:t xml:space="preserve"> </w:t>
      </w:r>
      <w:r>
        <w:rPr>
          <w:b/>
          <w:bCs/>
        </w:rPr>
        <w:t xml:space="preserve">headers obligatorios</w:t>
      </w:r>
      <w:r>
        <w:t xml:space="preserve">,</w:t>
      </w:r>
      <w:r>
        <w:t xml:space="preserve"> </w:t>
      </w:r>
      <w:r>
        <w:rPr>
          <w:b/>
          <w:bCs/>
        </w:rPr>
        <w:t xml:space="preserve">paginación</w:t>
      </w:r>
      <w:r>
        <w:t xml:space="preserve">, y</w:t>
      </w:r>
      <w:r>
        <w:t xml:space="preserve"> </w:t>
      </w:r>
      <w:r>
        <w:rPr>
          <w:b/>
          <w:bCs/>
        </w:rPr>
        <w:t xml:space="preserve">especificación exhaustiva del CSV (delimitador, codificación, CRLF, formato de fecha, dominios de valores)</w:t>
      </w:r>
      <w:r>
        <w:t xml:space="preserve">; ejemplos</w:t>
      </w:r>
      <w:r>
        <w:t xml:space="preserve"> </w:t>
      </w:r>
      <w:r>
        <w:rPr>
          <w:rStyle w:val="VerbatimChar"/>
        </w:rPr>
        <w:t xml:space="preserve">curl</w:t>
      </w:r>
      <w:r>
        <w:t xml:space="preserve">/SOAPUI; checklist de ingestas.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2025-10-28T13:22:21Z</dcterms:created>
  <dcterms:modified xsi:type="dcterms:W3CDTF">2025-10-28T13:22:21Z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