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jpeg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Validador de planificaciones</w:t>
      </w:r>
    </w:p>
    <w:p>
      <w:r>
        <w:rPr>
          <w:b/>
          <w:color w:val="2563EB"/>
          <w:sz w:val="28"/>
        </w:rPr>
        <w:t>Manual funcional y metodología de cálculo</w:t>
      </w:r>
    </w:p>
    <w:p>
      <w:r>
        <w:rPr>
          <w:b/>
        </w:rPr>
        <w:t xml:space="preserve">Versión: </w:t>
      </w:r>
      <w:r>
        <w:t>2.0 — selección de origen de horarios</w:t>
      </w:r>
    </w:p>
    <w:p>
      <w:pPr>
        <w:pStyle w:val="Heading1"/>
      </w:pPr>
      <w:r>
        <w:t>1. Cambio incorporado</w:t>
      </w:r>
    </w:p>
    <w:p>
      <w:r>
        <w:t>La aplicación puede analizar tres colecciones distintas de horarios contenidas en dayTimes. El usuario selecciona una única fuente y todo el motor se ejecuta exclusivamente sobre ella. Las fuentes no se suman, concatenan ni comparan de forma implícita.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fill="1F4E78"/>
          </w:tcPr>
          <w:p>
            <w:r>
              <w:rPr>
                <w:b/>
                <w:color w:val="FFFFFF"/>
              </w:rPr>
              <w:t>Clave JSON</w:t>
            </w:r>
          </w:p>
        </w:tc>
        <w:tc>
          <w:tcPr>
            <w:tcW w:type="dxa" w:w="3400"/>
            <w:shd w:fill="1F4E78"/>
          </w:tcPr>
          <w:p>
            <w:r>
              <w:rPr>
                <w:b/>
                <w:color w:val="FFFFFF"/>
              </w:rPr>
              <w:t>Nombre mostrado</w:t>
            </w:r>
          </w:p>
        </w:tc>
        <w:tc>
          <w:tcPr>
            <w:tcW w:type="dxa" w:w="3400"/>
            <w:shd w:fill="1F4E78"/>
          </w:tcPr>
          <w:p>
            <w:r>
              <w:rPr>
                <w:b/>
                <w:color w:val="FFFFFF"/>
              </w:rPr>
              <w:t>Uso</w:t>
            </w:r>
          </w:p>
        </w:tc>
      </w:tr>
      <w:tr>
        <w:tc>
          <w:tcPr>
            <w:tcW w:type="dxa" w:w="3400"/>
          </w:tcPr>
          <w:p>
            <w:r>
              <w:t>planned</w:t>
            </w:r>
          </w:p>
        </w:tc>
        <w:tc>
          <w:tcPr>
            <w:tcW w:type="dxa" w:w="3400"/>
          </w:tcPr>
          <w:p>
            <w:r>
              <w:t>Plan publicado</w:t>
            </w:r>
          </w:p>
        </w:tc>
        <w:tc>
          <w:tcPr>
            <w:tcW w:type="dxa" w:w="3400"/>
          </w:tcPr>
          <w:p>
            <w:r>
              <w:t>Horario definitivo o publicado.</w:t>
            </w:r>
          </w:p>
        </w:tc>
      </w:tr>
      <w:tr>
        <w:tc>
          <w:tcPr>
            <w:tcW w:type="dxa" w:w="3400"/>
          </w:tcPr>
          <w:p>
            <w:r>
              <w:t>plannedDraft</w:t>
            </w:r>
          </w:p>
        </w:tc>
        <w:tc>
          <w:tcPr>
            <w:tcW w:type="dxa" w:w="3400"/>
          </w:tcPr>
          <w:p>
            <w:r>
              <w:t>Borrador del planificador</w:t>
            </w:r>
          </w:p>
        </w:tc>
        <w:tc>
          <w:tcPr>
            <w:tcW w:type="dxa" w:w="3400"/>
          </w:tcPr>
          <w:p>
            <w:r>
              <w:t>Propuesta generada por el planificador.</w:t>
            </w:r>
          </w:p>
        </w:tc>
      </w:tr>
      <w:tr>
        <w:tc>
          <w:tcPr>
            <w:tcW w:type="dxa" w:w="3400"/>
          </w:tcPr>
          <w:p>
            <w:r>
              <w:t>plannedDraftManuallyEdited</w:t>
            </w:r>
          </w:p>
        </w:tc>
        <w:tc>
          <w:tcPr>
            <w:tcW w:type="dxa" w:w="3400"/>
          </w:tcPr>
          <w:p>
            <w:r>
              <w:t>Borrador editado manualmente</w:t>
            </w:r>
          </w:p>
        </w:tc>
        <w:tc>
          <w:tcPr>
            <w:tcW w:type="dxa" w:w="3400"/>
          </w:tcPr>
          <w:p>
            <w:r>
              <w:t>Versión modificada manualmente.</w:t>
            </w:r>
          </w:p>
        </w:tc>
      </w:tr>
    </w:tbl>
    <w:p/>
    <w:p>
      <w:pPr>
        <w:pStyle w:val="Heading1"/>
      </w:pPr>
      <w:r>
        <w:t>2. Flujo de selección</w:t>
      </w:r>
    </w:p>
    <w:p>
      <w:pPr>
        <w:pStyle w:val="ListNumber"/>
      </w:pPr>
      <w:r>
        <w:t>El usuario carga un JSON o TXT.</w:t>
      </w:r>
    </w:p>
    <w:p>
      <w:pPr>
        <w:pStyle w:val="ListNumber"/>
      </w:pPr>
      <w:r>
        <w:t>La aplicación inspecciona planned, plannedDraft y plannedDraftManuallyEdited.</w:t>
      </w:r>
    </w:p>
    <w:p>
      <w:pPr>
        <w:pStyle w:val="ListNumber"/>
      </w:pPr>
      <w:r>
        <w:t>Solo aparecen en el selector las fuentes que contienen al menos un segmento WORK.</w:t>
      </w:r>
    </w:p>
    <w:p>
      <w:pPr>
        <w:pStyle w:val="ListNumber"/>
      </w:pPr>
      <w:r>
        <w:t>Al elegir una fuente, el motor vuelve a ejecutar extracción, validaciones, control semanal y dashboard.</w:t>
      </w:r>
    </w:p>
    <w:p>
      <w:pPr>
        <w:pStyle w:val="ListNumber"/>
      </w:pPr>
      <w:r>
        <w:t>La fuente seleccionada se muestra en la cabecera y en la hoja Información del Excel opcional.</w:t>
      </w:r>
    </w:p>
    <w:p>
      <w:pPr>
        <w:pStyle w:val="Heading1"/>
      </w:pPr>
      <w:r>
        <w:t>3. Formación del turno</w:t>
      </w:r>
    </w:p>
    <w:p>
      <w:r>
        <w:t>Dentro de la fuente seleccionada solo se consideran segmentos con hourType = WORK. Para cada empleado y fecha se forma un único turno diario.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fill="1F4E78"/>
          </w:tcPr>
          <w:p>
            <w:r>
              <w:rPr>
                <w:b/>
                <w:color w:val="FFFFFF"/>
              </w:rPr>
              <w:t>Medida</w:t>
            </w:r>
          </w:p>
        </w:tc>
        <w:tc>
          <w:tcPr>
            <w:tcW w:type="dxa" w:w="5100"/>
            <w:shd w:fill="1F4E78"/>
          </w:tcPr>
          <w:p>
            <w:r>
              <w:rPr>
                <w:b/>
                <w:color w:val="FFFFFF"/>
              </w:rPr>
              <w:t>Cálculo</w:t>
            </w:r>
          </w:p>
        </w:tc>
      </w:tr>
      <w:tr>
        <w:tc>
          <w:tcPr>
            <w:tcW w:type="dxa" w:w="5100"/>
          </w:tcPr>
          <w:p>
            <w:r>
              <w:t>Inicio</w:t>
            </w:r>
          </w:p>
        </w:tc>
        <w:tc>
          <w:tcPr>
            <w:tcW w:type="dxa" w:w="5100"/>
          </w:tcPr>
          <w:p>
            <w:r>
              <w:t>Mínimo startDateTime de los segmentos WORK seleccionados.</w:t>
            </w:r>
          </w:p>
        </w:tc>
      </w:tr>
      <w:tr>
        <w:tc>
          <w:tcPr>
            <w:tcW w:type="dxa" w:w="5100"/>
          </w:tcPr>
          <w:p>
            <w:r>
              <w:t>Fin</w:t>
            </w:r>
          </w:p>
        </w:tc>
        <w:tc>
          <w:tcPr>
            <w:tcW w:type="dxa" w:w="5100"/>
          </w:tcPr>
          <w:p>
            <w:r>
              <w:t>Máximo endDateTime de los segmentos WORK seleccionados.</w:t>
            </w:r>
          </w:p>
        </w:tc>
      </w:tr>
      <w:tr>
        <w:tc>
          <w:tcPr>
            <w:tcW w:type="dxa" w:w="5100"/>
          </w:tcPr>
          <w:p>
            <w:r>
              <w:t>Horas trabajadas</w:t>
            </w:r>
          </w:p>
        </w:tc>
        <w:tc>
          <w:tcPr>
            <w:tcW w:type="dxa" w:w="5100"/>
          </w:tcPr>
          <w:p>
            <w:r>
              <w:t>Suma de endDateTime - startDateTime de todos los segmentos WORK.</w:t>
            </w:r>
          </w:p>
        </w:tc>
      </w:tr>
      <w:tr>
        <w:tc>
          <w:tcPr>
            <w:tcW w:type="dxa" w:w="5100"/>
          </w:tcPr>
          <w:p>
            <w:r>
              <w:t>Descanso interno</w:t>
            </w:r>
          </w:p>
        </w:tc>
        <w:tc>
          <w:tcPr>
            <w:tcW w:type="dxa" w:w="5100"/>
          </w:tcPr>
          <w:p>
            <w:r>
              <w:t>Suma de huecos positivos de hasta una hora entre segmentos consecutivos.</w:t>
            </w:r>
          </w:p>
        </w:tc>
      </w:tr>
    </w:tbl>
    <w:p/>
    <w:p>
      <w:pPr>
        <w:pStyle w:val="Heading1"/>
      </w:pPr>
      <w:r>
        <w:t>4. Restricciones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fill="1F4E78"/>
          </w:tcPr>
          <w:p>
            <w:r>
              <w:rPr>
                <w:b/>
                <w:color w:val="FFFFFF"/>
              </w:rPr>
              <w:t>Regla</w:t>
            </w:r>
          </w:p>
        </w:tc>
        <w:tc>
          <w:tcPr>
            <w:tcW w:type="dxa" w:w="5100"/>
            <w:shd w:fill="1F4E78"/>
          </w:tcPr>
          <w:p>
            <w:r>
              <w:rPr>
                <w:b/>
                <w:color w:val="FFFFFF"/>
              </w:rPr>
              <w:t>Incidencia</w:t>
            </w:r>
          </w:p>
        </w:tc>
      </w:tr>
      <w:tr>
        <w:tc>
          <w:tcPr>
            <w:tcW w:type="dxa" w:w="5100"/>
          </w:tcPr>
          <w:p>
            <w:r>
              <w:t>Duración máxima</w:t>
            </w:r>
          </w:p>
        </w:tc>
        <w:tc>
          <w:tcPr>
            <w:tcW w:type="dxa" w:w="5100"/>
          </w:tcPr>
          <w:p>
            <w:r>
              <w:t>Horas trabajadas &gt; 7,5.</w:t>
            </w:r>
          </w:p>
        </w:tc>
      </w:tr>
      <w:tr>
        <w:tc>
          <w:tcPr>
            <w:tcW w:type="dxa" w:w="5100"/>
          </w:tcPr>
          <w:p>
            <w:r>
              <w:t>Duración mínima</w:t>
            </w:r>
          </w:p>
        </w:tc>
        <w:tc>
          <w:tcPr>
            <w:tcW w:type="dxa" w:w="5100"/>
          </w:tcPr>
          <w:p>
            <w:r>
              <w:t>Horas trabajadas &lt; 4,0.</w:t>
            </w:r>
          </w:p>
        </w:tc>
      </w:tr>
      <w:tr>
        <w:tc>
          <w:tcPr>
            <w:tcW w:type="dxa" w:w="5100"/>
          </w:tcPr>
          <w:p>
            <w:r>
              <w:t>Descanso entre jornadas</w:t>
            </w:r>
          </w:p>
        </w:tc>
        <w:tc>
          <w:tcPr>
            <w:tcW w:type="dxa" w:w="5100"/>
          </w:tcPr>
          <w:p>
            <w:r>
              <w:t>Inicio del turno actual - fin del anterior &lt; 11 horas.</w:t>
            </w:r>
          </w:p>
        </w:tc>
      </w:tr>
      <w:tr>
        <w:tc>
          <w:tcPr>
            <w:tcW w:type="dxa" w:w="5100"/>
          </w:tcPr>
          <w:p>
            <w:r>
              <w:t>Días consecutivos</w:t>
            </w:r>
          </w:p>
        </w:tc>
        <w:tc>
          <w:tcPr>
            <w:tcW w:type="dxa" w:w="5100"/>
          </w:tcPr>
          <w:p>
            <w:r>
              <w:t>Racha de fechas trabajadas &gt; 5 días.</w:t>
            </w:r>
          </w:p>
        </w:tc>
      </w:tr>
    </w:tbl>
    <w:p/>
    <w:p>
      <w:r>
        <w:t>Las cuatro reglas son idénticas para planned, plannedDraft y plannedDraftManuallyEdited. Lo único que cambia es la colección de segmentos utilizada como entrada.</w:t>
      </w:r>
    </w:p>
    <w:p>
      <w:pPr>
        <w:pStyle w:val="Heading1"/>
      </w:pPr>
      <w:r>
        <w:t>5. Control semanal de horas</w:t>
      </w:r>
    </w:p>
    <w:p>
      <w:r>
        <w:t>Las horas planificadas semanales son la suma de horas trabajadas de la fuente seleccionada por empleado y semana ISO.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fill="1F4E78"/>
          </w:tcPr>
          <w:p>
            <w:r>
              <w:rPr>
                <w:b/>
                <w:color w:val="FFFFFF"/>
              </w:rPr>
              <w:t>Medida</w:t>
            </w:r>
          </w:p>
        </w:tc>
        <w:tc>
          <w:tcPr>
            <w:tcW w:type="dxa" w:w="5100"/>
            <w:shd w:fill="1F4E78"/>
          </w:tcPr>
          <w:p>
            <w:r>
              <w:rPr>
                <w:b/>
                <w:color w:val="FFFFFF"/>
              </w:rPr>
              <w:t>Fórmula</w:t>
            </w:r>
          </w:p>
        </w:tc>
      </w:tr>
      <w:tr>
        <w:tc>
          <w:tcPr>
            <w:tcW w:type="dxa" w:w="5100"/>
          </w:tcPr>
          <w:p>
            <w:r>
              <w:t>Diferencia</w:t>
            </w:r>
          </w:p>
        </w:tc>
        <w:tc>
          <w:tcPr>
            <w:tcW w:type="dxa" w:w="5100"/>
          </w:tcPr>
          <w:p>
            <w:r>
              <w:t>horas planificadas - applicableWorkingHours</w:t>
            </w:r>
          </w:p>
        </w:tc>
      </w:tr>
      <w:tr>
        <w:tc>
          <w:tcPr>
            <w:tcW w:type="dxa" w:w="5100"/>
          </w:tcPr>
          <w:p>
            <w:r>
              <w:t>Horas faltantes</w:t>
            </w:r>
          </w:p>
        </w:tc>
        <w:tc>
          <w:tcPr>
            <w:tcW w:type="dxa" w:w="5100"/>
          </w:tcPr>
          <w:p>
            <w:r>
              <w:t>max(applicableWorkingHours - horas planificadas, 0)</w:t>
            </w:r>
          </w:p>
        </w:tc>
      </w:tr>
      <w:tr>
        <w:tc>
          <w:tcPr>
            <w:tcW w:type="dxa" w:w="5100"/>
          </w:tcPr>
          <w:p>
            <w:r>
              <w:t>Horas en exceso</w:t>
            </w:r>
          </w:p>
        </w:tc>
        <w:tc>
          <w:tcPr>
            <w:tcW w:type="dxa" w:w="5100"/>
          </w:tcPr>
          <w:p>
            <w:r>
              <w:t>max(horas planificadas - applicableWorkingHours, 0)</w:t>
            </w:r>
          </w:p>
        </w:tc>
      </w:tr>
      <w:tr>
        <w:tc>
          <w:tcPr>
            <w:tcW w:type="dxa" w:w="5100"/>
          </w:tcPr>
          <w:p>
            <w:r>
              <w:t>COINCIDE</w:t>
            </w:r>
          </w:p>
        </w:tc>
        <w:tc>
          <w:tcPr>
            <w:tcW w:type="dxa" w:w="5100"/>
          </w:tcPr>
          <w:p>
            <w:r>
              <w:t>|diferencia| &lt;= 0,01 horas en semana completa.</w:t>
            </w:r>
          </w:p>
        </w:tc>
      </w:tr>
      <w:tr>
        <w:tc>
          <w:tcPr>
            <w:tcW w:type="dxa" w:w="5100"/>
          </w:tcPr>
          <w:p>
            <w:r>
              <w:t>NO EVALUABLE</w:t>
            </w:r>
          </w:p>
        </w:tc>
        <w:tc>
          <w:tcPr>
            <w:tcW w:type="dxa" w:w="5100"/>
          </w:tcPr>
          <w:p>
            <w:r>
              <w:t>La semana no contiene los siete días del fichero.</w:t>
            </w:r>
          </w:p>
        </w:tc>
      </w:tr>
      <w:tr>
        <w:tc>
          <w:tcPr>
            <w:tcW w:type="dxa" w:w="5100"/>
          </w:tcPr>
          <w:p>
            <w:r>
              <w:t>SIN HORAS CONTRATO</w:t>
            </w:r>
          </w:p>
        </w:tc>
        <w:tc>
          <w:tcPr>
            <w:tcW w:type="dxa" w:w="5100"/>
          </w:tcPr>
          <w:p>
            <w:r>
              <w:t>applicableWorkingHours no es numérico.</w:t>
            </w:r>
          </w:p>
        </w:tc>
      </w:tr>
    </w:tbl>
    <w:p/>
    <w:p>
      <w:pPr>
        <w:pStyle w:val="Heading1"/>
      </w:pPr>
      <w:r>
        <w:t>6. Ausencias</w:t>
      </w:r>
    </w:p>
    <w:p>
      <w:r>
        <w:t>Las ausencias se leen siempre desde dayTimes.absences, independientemente del origen horario. Solo se incluyen estados VALIDATED o APPROVED. Las horas potenciales asociadas a ausencia no se suman a la planificación; sirven únicamente como explicación del déficit.</w:t>
      </w:r>
    </w:p>
    <w:p>
      <w:r>
        <w:t>Al cambiar de fuente puede cambiar la relación ausencia-turno: una fecha puede tener turno en planned y no tenerlo en plannedDraft, por ejemplo.</w:t>
      </w:r>
    </w:p>
    <w:p>
      <w:pPr>
        <w:pStyle w:val="Heading1"/>
      </w:pPr>
      <w:r>
        <w:t>7. Indicadores del dashboard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fill="1F4E78"/>
          </w:tcPr>
          <w:p>
            <w:r>
              <w:rPr>
                <w:b/>
                <w:color w:val="FFFFFF"/>
              </w:rPr>
              <w:t>Indicador</w:t>
            </w:r>
          </w:p>
        </w:tc>
        <w:tc>
          <w:tcPr>
            <w:tcW w:type="dxa" w:w="5100"/>
            <w:shd w:fill="1F4E78"/>
          </w:tcPr>
          <w:p>
            <w:r>
              <w:rPr>
                <w:b/>
                <w:color w:val="FFFFFF"/>
              </w:rPr>
              <w:t>Unidad y cálculo</w:t>
            </w:r>
          </w:p>
        </w:tc>
      </w:tr>
      <w:tr>
        <w:tc>
          <w:tcPr>
            <w:tcW w:type="dxa" w:w="5100"/>
          </w:tcPr>
          <w:p>
            <w:r>
              <w:t>Empleados</w:t>
            </w:r>
          </w:p>
        </w:tc>
        <w:tc>
          <w:tcPr>
            <w:tcW w:type="dxa" w:w="5100"/>
          </w:tcPr>
          <w:p>
            <w:r>
              <w:t>Personas únicas presentes en el resumen mensual.</w:t>
            </w:r>
          </w:p>
        </w:tc>
      </w:tr>
      <w:tr>
        <w:tc>
          <w:tcPr>
            <w:tcW w:type="dxa" w:w="5100"/>
          </w:tcPr>
          <w:p>
            <w:r>
              <w:t>Turnos</w:t>
            </w:r>
          </w:p>
        </w:tc>
        <w:tc>
          <w:tcPr>
            <w:tcW w:type="dxa" w:w="5100"/>
          </w:tcPr>
          <w:p>
            <w:r>
              <w:t>Registros empleado-día con al menos un segmento WORK en la fuente elegida.</w:t>
            </w:r>
          </w:p>
        </w:tc>
      </w:tr>
      <w:tr>
        <w:tc>
          <w:tcPr>
            <w:tcW w:type="dxa" w:w="5100"/>
          </w:tcPr>
          <w:p>
            <w:r>
              <w:t>Horas planificadas</w:t>
            </w:r>
          </w:p>
        </w:tc>
        <w:tc>
          <w:tcPr>
            <w:tcW w:type="dxa" w:w="5100"/>
          </w:tcPr>
          <w:p>
            <w:r>
              <w:t>Suma neta de horas de los turnos seleccionados.</w:t>
            </w:r>
          </w:p>
        </w:tc>
      </w:tr>
      <w:tr>
        <w:tc>
          <w:tcPr>
            <w:tcW w:type="dxa" w:w="5100"/>
          </w:tcPr>
          <w:p>
            <w:r>
              <w:t>Sin incidencias</w:t>
            </w:r>
          </w:p>
        </w:tc>
        <w:tc>
          <w:tcPr>
            <w:tcW w:type="dxa" w:w="5100"/>
          </w:tcPr>
          <w:p>
            <w:r>
              <w:t>Empleado que cumple las cuatro reglas en todos los meses.</w:t>
            </w:r>
          </w:p>
        </w:tc>
      </w:tr>
      <w:tr>
        <w:tc>
          <w:tcPr>
            <w:tcW w:type="dxa" w:w="5100"/>
          </w:tcPr>
          <w:p>
            <w:r>
              <w:t>Incidencias</w:t>
            </w:r>
          </w:p>
        </w:tc>
        <w:tc>
          <w:tcPr>
            <w:tcW w:type="dxa" w:w="5100"/>
          </w:tcPr>
          <w:p>
            <w:r>
              <w:t>Número de excepciones generadas por la fuente seleccionada.</w:t>
            </w:r>
          </w:p>
        </w:tc>
      </w:tr>
      <w:tr>
        <w:tc>
          <w:tcPr>
            <w:tcW w:type="dxa" w:w="5100"/>
          </w:tcPr>
          <w:p>
            <w:r>
              <w:t>Cumplimiento semanal</w:t>
            </w:r>
          </w:p>
        </w:tc>
        <w:tc>
          <w:tcPr>
            <w:tcW w:type="dxa" w:w="5100"/>
          </w:tcPr>
          <w:p>
            <w:r>
              <w:t>Registros COINCIDE / registros semanales evaluables.</w:t>
            </w:r>
          </w:p>
        </w:tc>
      </w:tr>
      <w:tr>
        <w:tc>
          <w:tcPr>
            <w:tcW w:type="dxa" w:w="5100"/>
          </w:tcPr>
          <w:p>
            <w:r>
              <w:t>Fines de semana libres</w:t>
            </w:r>
          </w:p>
        </w:tc>
        <w:tc>
          <w:tcPr>
            <w:tcW w:type="dxa" w:w="5100"/>
          </w:tcPr>
          <w:p>
            <w:r>
              <w:t>Sábados y domingos sin turno de la fuente elegida.</w:t>
            </w:r>
          </w:p>
        </w:tc>
      </w:tr>
    </w:tbl>
    <w:p/>
    <w:p>
      <w:pPr>
        <w:pStyle w:val="Heading1"/>
      </w:pPr>
      <w:r>
        <w:t>8. Casos y advertencias</w:t>
      </w:r>
    </w:p>
    <w:p>
      <w:pPr>
        <w:pStyle w:val="ListBullet"/>
      </w:pPr>
      <w:r>
        <w:t>Las fuentes nunca se mezclan. El dashboard representa una sola selección cada vez.</w:t>
      </w:r>
    </w:p>
    <w:p>
      <w:pPr>
        <w:pStyle w:val="ListBullet"/>
      </w:pPr>
      <w:r>
        <w:t>Si una fuente existe pero no contiene segmentos WORK, no aparece en el selector.</w:t>
      </w:r>
    </w:p>
    <w:p>
      <w:pPr>
        <w:pStyle w:val="ListBullet"/>
      </w:pPr>
      <w:r>
        <w:t>Los meses parciales pueden sobreestimar fines de semana libres porque se usa el mes natural completo.</w:t>
      </w:r>
    </w:p>
    <w:p>
      <w:pPr>
        <w:pStyle w:val="ListBullet"/>
      </w:pPr>
      <w:r>
        <w:t>Los segmentos solapados se suman y pueden duplicar tiempo; deben corregirse en origen.</w:t>
      </w:r>
    </w:p>
    <w:p>
      <w:pPr>
        <w:pStyle w:val="ListBullet"/>
      </w:pPr>
      <w:r>
        <w:t>Cambiar la fuente puede cambiar turnos, incidencias, horas semanales y descansos, pero no el catálogo bruto de ausencias.</w:t>
      </w:r>
    </w:p>
    <w:p>
      <w:pPr>
        <w:pStyle w:val="Heading1"/>
      </w:pPr>
      <w:r>
        <w:t>9. Uso</w:t>
      </w:r>
    </w:p>
    <w:p>
      <w:pPr>
        <w:pStyle w:val="ListNumber"/>
      </w:pPr>
      <w:r>
        <w:t>Ejecutar lanzar_app.bat.</w:t>
      </w:r>
    </w:p>
    <w:p>
      <w:pPr>
        <w:pStyle w:val="ListNumber"/>
      </w:pPr>
      <w:r>
        <w:t>Subir el fichero JSON o TXT.</w:t>
      </w:r>
    </w:p>
    <w:p>
      <w:pPr>
        <w:pStyle w:val="ListNumber"/>
      </w:pPr>
      <w:r>
        <w:t>Seleccionar el origen de horarios en el panel lateral.</w:t>
      </w:r>
    </w:p>
    <w:p>
      <w:pPr>
        <w:pStyle w:val="ListNumber"/>
      </w:pPr>
      <w:r>
        <w:t>Comprobar en la cabecera qué fuente está activa.</w:t>
      </w:r>
    </w:p>
    <w:p>
      <w:pPr>
        <w:pStyle w:val="ListNumber"/>
      </w:pPr>
      <w:r>
        <w:t>Analizar las pestañas o descargar el Excel de detalle.</w:t>
      </w:r>
    </w:p>
    <w:sectPr w:rsidR="00FC693F" w:rsidRPr="0006063C" w:rsidSect="00034616">
      <w:pgSz w:w="12240" w:h="15840"/>
      <w:pgMar w:top="964" w:right="1020" w:bottom="96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563E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F4E79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6" Type="http://schemas.openxmlformats.org/officeDocument/2006/relationships/webSettings" Target="webSettings.xml"/><Relationship Id="rId1" Type="http://schemas.openxmlformats.org/officeDocument/2006/relationships/customXml" Target="../customXml/item1.xml"/><Relationship Id="rId11" Type="http://schemas.openxmlformats.org/officeDocument/2006/relationships/customXml" Target="../customXml/item4.xml"/><Relationship Id="rId5" Type="http://schemas.openxmlformats.org/officeDocument/2006/relationships/settings" Target="settings.xml"/><Relationship Id="rId10" Type="http://schemas.openxmlformats.org/officeDocument/2006/relationships/customXml" Target="../customXml/item3.xml"/><Relationship Id="rId4" Type="http://schemas.microsoft.com/office/2007/relationships/stylesWithEffects" Target="stylesWithEffects.xml"/><Relationship Id="rId9" Type="http://schemas.openxmlformats.org/officeDocument/2006/relationships/customXml" Target="../customXml/item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B5A1D92B2D0684996B1E5EC5BDE0D36" ma:contentTypeVersion="13" ma:contentTypeDescription="Crear nuevo documento." ma:contentTypeScope="" ma:versionID="63677cb6957c259f727cb41a99a3f25e">
  <xsd:schema xmlns:xsd="http://www.w3.org/2001/XMLSchema" xmlns:xs="http://www.w3.org/2001/XMLSchema" xmlns:p="http://schemas.microsoft.com/office/2006/metadata/properties" xmlns:ns2="2d977d26-d812-4428-b7a1-c5c309d4be78" xmlns:ns3="b71dc6e6-1005-48b2-a22c-34486f80c077" targetNamespace="http://schemas.microsoft.com/office/2006/metadata/properties" ma:root="true" ma:fieldsID="ddfcdc707ac8eec3927520ffb447891f" ns2:_="" ns3:_="">
    <xsd:import namespace="2d977d26-d812-4428-b7a1-c5c309d4be78"/>
    <xsd:import namespace="b71dc6e6-1005-48b2-a22c-34486f80c07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d977d26-d812-4428-b7a1-c5c309d4be7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84abab14-4caf-4383-84fb-d13151dc8c4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BillingMetadata" ma:index="20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71dc6e6-1005-48b2-a22c-34486f80c077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d728cf6e-89d8-48be-9b0c-accd1e7e6be2}" ma:internalName="TaxCatchAll" ma:showField="CatchAllData" ma:web="b71dc6e6-1005-48b2-a22c-34486f80c07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b71dc6e6-1005-48b2-a22c-34486f80c077" xsi:nil="true"/>
    <lcf76f155ced4ddcb4097134ff3c332f xmlns="2d977d26-d812-4428-b7a1-c5c309d4be78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799C3E5F-56D5-4709-B21A-4EB6BC002BB1}"/>
</file>

<file path=customXml/itemProps3.xml><?xml version="1.0" encoding="utf-8"?>
<ds:datastoreItem xmlns:ds="http://schemas.openxmlformats.org/officeDocument/2006/customXml" ds:itemID="{B1BC051E-4B92-4479-9097-5203FDE80061}"/>
</file>

<file path=customXml/itemProps4.xml><?xml version="1.0" encoding="utf-8"?>
<ds:datastoreItem xmlns:ds="http://schemas.openxmlformats.org/officeDocument/2006/customXml" ds:itemID="{0E3A3C80-0E99-4091-8068-9B72037FF3F6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0x010100EB5A1D92B2D0684996B1E5EC5BDE0D36</vt:lpwstr>
  </property>
</Properties>
</file>