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 w:eastAsia="Microsoft YaHei"/>
          <w:b/>
          <w:color w:val="2E74B5"/>
          <w:sz w:val="19"/>
        </w:rPr>
        <w:t>TECHNICAL EXPERIMENT REPORT</w:t>
      </w:r>
    </w:p>
    <w:p>
      <w:pPr>
        <w:spacing w:before="0" w:after="80"/>
      </w:pPr>
      <w:r>
        <w:rPr>
          <w:rFonts w:ascii="Calibri" w:hAnsi="Calibri" w:eastAsia="Microsoft YaHei"/>
          <w:b/>
          <w:color w:val="0B2545"/>
          <w:sz w:val="50"/>
        </w:rPr>
        <w:t>平衡多轮信号等待数据集</w:t>
      </w:r>
    </w:p>
    <w:p>
      <w:pPr>
        <w:spacing w:before="0" w:after="280"/>
        <w:pBdr>
          <w:bottom w:val="single" w:sz="12" w:space="5" w:color="2E74B5"/>
        </w:pBdr>
      </w:pPr>
      <w:r>
        <w:rPr>
          <w:rFonts w:ascii="Calibri" w:hAnsi="Calibri" w:eastAsia="Microsoft YaHei"/>
          <w:color w:val="5B6573"/>
          <w:sz w:val="28"/>
        </w:rPr>
        <w:t>生成与验证过程报告</w:t>
      </w:r>
    </w:p>
    <w:p>
      <w:pPr>
        <w:spacing w:before="0" w:after="60"/>
      </w:pPr>
      <w:r>
        <w:rPr>
          <w:rFonts w:ascii="Calibri" w:hAnsi="Calibri" w:eastAsia="Microsoft YaHei"/>
          <w:b/>
          <w:color w:val="0B2545"/>
          <w:sz w:val="21"/>
        </w:rPr>
        <w:t>报告日期：</w:t>
      </w:r>
      <w:r>
        <w:rPr>
          <w:rFonts w:ascii="Calibri" w:hAnsi="Calibri" w:eastAsia="Microsoft YaHei"/>
          <w:color w:val="333333"/>
          <w:sz w:val="21"/>
        </w:rPr>
        <w:t>2026-07-27</w:t>
      </w:r>
    </w:p>
    <w:p>
      <w:pPr>
        <w:spacing w:before="0" w:after="60"/>
      </w:pPr>
      <w:r>
        <w:rPr>
          <w:rFonts w:ascii="Calibri" w:hAnsi="Calibri" w:eastAsia="Microsoft YaHei"/>
          <w:b/>
          <w:color w:val="0B2545"/>
          <w:sz w:val="21"/>
        </w:rPr>
        <w:t>仿真器：</w:t>
      </w:r>
      <w:r>
        <w:rPr>
          <w:rFonts w:ascii="Calibri" w:hAnsi="Calibri" w:eastAsia="Microsoft YaHei"/>
          <w:color w:val="333333"/>
          <w:sz w:val="21"/>
        </w:rPr>
        <w:t>SUMO 1.27</w:t>
      </w:r>
    </w:p>
    <w:p>
      <w:pPr>
        <w:spacing w:before="0" w:after="240"/>
      </w:pPr>
      <w:r>
        <w:rPr>
          <w:rFonts w:ascii="Calibri" w:hAnsi="Calibri" w:eastAsia="Microsoft YaHei"/>
          <w:b/>
          <w:color w:val="0B2545"/>
          <w:sz w:val="21"/>
        </w:rPr>
        <w:t>研究目标：</w:t>
      </w:r>
      <w:r>
        <w:rPr>
          <w:rFonts w:ascii="Calibri" w:hAnsi="Calibri" w:eastAsia="Microsoft YaHei"/>
          <w:color w:val="333333"/>
          <w:sz w:val="21"/>
        </w:rPr>
        <w:t>构造“不拥堵—紧张—合理拥堵”三个等级的数据，使车辆错过多轮信号的比例逐级增加，同时避免旧 oversat 的局部长期锁死。</w:t>
      </w:r>
    </w:p>
    <w:p>
      <w:pPr>
        <w:spacing w:before="120" w:after="200" w:line="288" w:lineRule="auto"/>
        <w:ind w:left="173" w:right="115"/>
        <w:shd w:fill="F4F6F9" w:val="clear"/>
        <w:pBdr>
          <w:left w:val="single" w:sz="18" w:space="5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阅读提示  </w:t>
      </w:r>
      <w:r>
        <w:rPr>
          <w:rFonts w:ascii="Calibri" w:hAnsi="Calibri" w:eastAsia="Microsoft YaHei"/>
          <w:sz w:val="21"/>
        </w:rPr>
        <w:t>核心判据是 missed_green_rounds，而不是 total_green_rounds。后者还包含车辆沿路径正常通过的信号路口。</w:t>
      </w:r>
    </w:p>
    <w:p>
      <w:pPr>
        <w:pStyle w:val="Heading1"/>
      </w:pPr>
      <w:r>
        <w:rPr>
          <w:rFonts w:ascii="Calibri" w:hAnsi="Calibri" w:eastAsia="Microsoft YaHei"/>
        </w:rPr>
        <w:t>1. 结论摘要</w:t>
      </w:r>
    </w:p>
    <w:p>
      <w:r>
        <w:rPr>
          <w:rFonts w:ascii="Calibri" w:hAnsi="Calibri" w:eastAsia="Microsoft YaHei"/>
        </w:rPr>
        <w:t xml:space="preserve">最终方案将 </w:t>
      </w:r>
      <w:r>
        <w:rPr>
          <w:rFonts w:ascii="Consolas" w:hAnsi="Consolas" w:eastAsia="Microsoft YaHei"/>
          <w:color w:val="1F4D78"/>
          <w:sz w:val="21"/>
        </w:rPr>
        <w:t>test_new.net.xml</w:t>
      </w:r>
      <w:r>
        <w:rPr>
          <w:rFonts w:ascii="Calibri" w:hAnsi="Calibri" w:eastAsia="Microsoft YaHei"/>
        </w:rPr>
        <w:t xml:space="preserve"> 的普通道路扩展到原始长度的 4 倍：42 条车道为 320 m，60 条车道为 545.6 m；内部连接车道、几何形状、信号配时和连接关系未修改。三个 10000 s 发车场景使用同一套 90 个平衡 OD 路径，均无 teleport，并在允许的 11000 s 上限内清空。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9"/>
        <w:gridCol w:w="1134"/>
        <w:gridCol w:w="992"/>
        <w:gridCol w:w="1086"/>
        <w:gridCol w:w="1039"/>
        <w:gridCol w:w="1371"/>
        <w:gridCol w:w="1276"/>
        <w:gridCol w:w="1233"/>
      </w:tblGrid>
      <w:tr>
        <w:trPr>
          <w:tblHeader w:val="true"/>
          <w:cantSplit w:val="true"/>
        </w:trPr>
        <w:tc>
          <w:tcPr>
            <w:tcW w:type="dxa" w:w="1229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1134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平均需求</w:t>
            </w:r>
          </w:p>
        </w:tc>
        <w:tc>
          <w:tcPr>
            <w:tcW w:type="dxa" w:w="992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车辆数</w:t>
            </w:r>
          </w:p>
        </w:tc>
        <w:tc>
          <w:tcPr>
            <w:tcW w:type="dxa" w:w="108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SUMO 清空</w:t>
            </w:r>
          </w:p>
        </w:tc>
        <w:tc>
          <w:tcPr>
            <w:tcW w:type="dxa" w:w="1039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平均等待</w:t>
            </w:r>
          </w:p>
        </w:tc>
        <w:tc>
          <w:tcPr>
            <w:tcW w:type="dxa" w:w="137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错过 ≥1 轮</w:t>
            </w:r>
          </w:p>
        </w:tc>
        <w:tc>
          <w:tcPr>
            <w:tcW w:type="dxa" w:w="127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错过 ≥2 轮</w:t>
            </w:r>
          </w:p>
        </w:tc>
        <w:tc>
          <w:tcPr>
            <w:tcW w:type="dxa" w:w="123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路径最大错过</w:t>
            </w:r>
          </w:p>
        </w:tc>
      </w:tr>
      <w:tr>
        <w:trPr>
          <w:cantSplit w:val="true"/>
        </w:trPr>
        <w:tc>
          <w:tcPr>
            <w:tcW w:type="dxa" w:w="1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 xml:space="preserve">不拥堵 </w:t>
            </w:r>
            <w:r>
              <w:rPr>
                <w:rFonts w:ascii="Consolas" w:hAnsi="Consolas" w:eastAsia="Microsoft YaHei"/>
                <w:color w:val="1F4D78"/>
                <w:sz w:val="15"/>
              </w:rPr>
              <w:t>q2800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2800 veh/h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7778</w:t>
            </w:r>
          </w:p>
        </w:tc>
        <w:tc>
          <w:tcPr>
            <w:tcW w:type="dxa" w:w="10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10402 s</w:t>
            </w:r>
          </w:p>
        </w:tc>
        <w:tc>
          <w:tcPr>
            <w:tcW w:type="dxa" w:w="1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67.37 s</w:t>
            </w:r>
          </w:p>
        </w:tc>
        <w:tc>
          <w:tcPr>
            <w:tcW w:type="dxa" w:w="1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3（0.039%）</w:t>
            </w:r>
          </w:p>
        </w:tc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1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 xml:space="preserve">紧张 </w:t>
            </w:r>
            <w:r>
              <w:rPr>
                <w:rFonts w:ascii="Consolas" w:hAnsi="Consolas" w:eastAsia="Microsoft YaHei"/>
                <w:color w:val="1F4D78"/>
                <w:sz w:val="15"/>
              </w:rPr>
              <w:t>q6400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6400 veh/h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17778</w:t>
            </w:r>
          </w:p>
        </w:tc>
        <w:tc>
          <w:tcPr>
            <w:tcW w:type="dxa" w:w="10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10409 s</w:t>
            </w:r>
          </w:p>
        </w:tc>
        <w:tc>
          <w:tcPr>
            <w:tcW w:type="dxa" w:w="1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99.91 s</w:t>
            </w:r>
          </w:p>
        </w:tc>
        <w:tc>
          <w:tcPr>
            <w:tcW w:type="dxa" w:w="1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1576（8.865%）</w:t>
            </w:r>
          </w:p>
        </w:tc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200（1.125%）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1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 xml:space="preserve">拥堵 </w:t>
            </w:r>
            <w:r>
              <w:rPr>
                <w:rFonts w:ascii="Consolas" w:hAnsi="Consolas" w:eastAsia="Microsoft YaHei"/>
                <w:color w:val="1F4D78"/>
                <w:sz w:val="15"/>
              </w:rPr>
              <w:t>q7000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7000 veh/h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19444</w:t>
            </w:r>
          </w:p>
        </w:tc>
        <w:tc>
          <w:tcPr>
            <w:tcW w:type="dxa" w:w="10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10386 s</w:t>
            </w:r>
          </w:p>
        </w:tc>
        <w:tc>
          <w:tcPr>
            <w:tcW w:type="dxa" w:w="1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111.82 s</w:t>
            </w:r>
          </w:p>
        </w:tc>
        <w:tc>
          <w:tcPr>
            <w:tcW w:type="dxa" w:w="1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2943（15.136%）</w:t>
            </w:r>
          </w:p>
        </w:tc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822（4.228%）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 xml:space="preserve">这三个等级比旧数据更适合检验“车辆等待多轮信号”的算法能力：旧 </w:t>
      </w:r>
      <w:r>
        <w:rPr>
          <w:rFonts w:ascii="Consolas" w:hAnsi="Consolas" w:eastAsia="Microsoft YaHei"/>
          <w:color w:val="1F4D78"/>
          <w:sz w:val="21"/>
        </w:rPr>
        <w:t>heavy_all</w:t>
      </w:r>
      <w:r>
        <w:rPr>
          <w:rFonts w:ascii="Calibri" w:hAnsi="Calibri" w:eastAsia="Microsoft YaHei"/>
        </w:rPr>
        <w:t xml:space="preserve"> 几乎没有多轮样本，而旧 </w:t>
      </w:r>
      <w:r>
        <w:rPr>
          <w:rFonts w:ascii="Consolas" w:hAnsi="Consolas" w:eastAsia="Microsoft YaHei"/>
          <w:color w:val="1F4D78"/>
          <w:sz w:val="21"/>
        </w:rPr>
        <w:t>oversat</w:t>
      </w:r>
      <w:r>
        <w:rPr>
          <w:rFonts w:ascii="Calibri" w:hAnsi="Calibri" w:eastAsia="Microsoft YaHei"/>
        </w:rPr>
        <w:t xml:space="preserve"> 有 45.05% 车辆错过绿灯、最大 30 轮，并伴随 55 次 teleport，尾部过于极端。</w:t>
      </w:r>
    </w:p>
    <w:p>
      <w:pPr>
        <w:pStyle w:val="Heading1"/>
      </w:pPr>
      <w:r>
        <w:rPr>
          <w:rFonts w:ascii="Calibri" w:hAnsi="Calibri" w:eastAsia="Microsoft YaHei"/>
        </w:rPr>
        <w:t>2. 目标与验收口径</w:t>
      </w:r>
    </w:p>
    <w:p>
      <w:r>
        <w:rPr>
          <w:rFonts w:ascii="Calibri" w:hAnsi="Calibri" w:eastAsia="Microsoft YaHei"/>
        </w:rPr>
        <w:t>本轮实验遵循以下约束：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每组需求持续 10000 s，路网可以继续清空到 11000 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OD 尽量均匀覆盖整个路网，不能依赖少数入口长期过饱和来制造尾部。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三组数据应形成单调的拥堵梯度，核心指标是 </w:t>
      </w:r>
      <w:r>
        <w:rPr>
          <w:rFonts w:ascii="Consolas" w:hAnsi="Consolas" w:eastAsia="Microsoft YaHei"/>
          <w:color w:val="1F4D78"/>
          <w:sz w:val="21"/>
        </w:rPr>
        <w:t>missed_green_rounds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最终数据不允许 teleport；大量发车延迟也视为入口排队失控。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“紧张”和“拥堵”场景需要真实的多轮等待样本，但不能复现万秒级饥饿。</w:t>
      </w:r>
    </w:p>
    <w:p>
      <w:r>
        <w:rPr>
          <w:rFonts w:ascii="Consolas" w:hAnsi="Consolas" w:eastAsia="Microsoft YaHei"/>
          <w:color w:val="1F4D78"/>
          <w:sz w:val="21"/>
        </w:rPr>
        <w:t>missed_green_rounds</w:t>
      </w:r>
      <w:r>
        <w:rPr>
          <w:rFonts w:ascii="Calibri" w:hAnsi="Calibri" w:eastAsia="Microsoft YaHei"/>
        </w:rPr>
        <w:t xml:space="preserve"> 表示车辆已在某个受控 movement 的上游排队，却在一个具备通行机会的绿灯结束时仍未通过。它不同于 </w:t>
      </w:r>
      <w:r>
        <w:rPr>
          <w:rFonts w:ascii="Consolas" w:hAnsi="Consolas" w:eastAsia="Microsoft YaHei"/>
          <w:color w:val="1F4D78"/>
          <w:sz w:val="21"/>
        </w:rPr>
        <w:t>total_green_rounds</w:t>
      </w:r>
      <w:r>
        <w:rPr>
          <w:rFonts w:ascii="Calibri" w:hAnsi="Calibri" w:eastAsia="Microsoft YaHei"/>
        </w:rPr>
        <w:t>：后者还包含车辆沿路径正常通过的每一个信号路口，不能直接用于判定拥堵。</w:t>
      </w:r>
    </w:p>
    <w:p>
      <w:pPr>
        <w:pStyle w:val="Heading1"/>
      </w:pPr>
      <w:r>
        <w:rPr>
          <w:rFonts w:ascii="Calibri" w:hAnsi="Calibri" w:eastAsia="Microsoft YaHei"/>
        </w:rPr>
        <w:t>3. 原始数据基线</w:t>
      </w:r>
    </w:p>
    <w:p>
      <w:r>
        <w:rPr>
          <w:rFonts w:ascii="Calibri" w:hAnsi="Calibri" w:eastAsia="Microsoft YaHei"/>
        </w:rPr>
        <w:t>旧 route 集只有 41 条路径，批次间隔与实际总需求如下。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1260"/>
        <w:gridCol w:w="1620"/>
        <w:gridCol w:w="1560"/>
        <w:gridCol w:w="1500"/>
        <w:gridCol w:w="2100"/>
      </w:tblGrid>
      <w:tr>
        <w:trPr>
          <w:tblHeader w:val="true"/>
          <w:cantSplit w:val="true"/>
        </w:trPr>
        <w:tc>
          <w:tcPr>
            <w:tcW w:type="dxa" w:w="132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旧配置</w:t>
            </w:r>
          </w:p>
        </w:tc>
        <w:tc>
          <w:tcPr>
            <w:tcW w:type="dxa" w:w="12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批次间隔</w:t>
            </w:r>
          </w:p>
        </w:tc>
        <w:tc>
          <w:tcPr>
            <w:tcW w:type="dxa" w:w="162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车辆数/10000 s</w:t>
            </w:r>
          </w:p>
        </w:tc>
        <w:tc>
          <w:tcPr>
            <w:tcW w:type="dxa" w:w="15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总需求</w:t>
            </w:r>
          </w:p>
        </w:tc>
        <w:tc>
          <w:tcPr>
            <w:tcW w:type="dxa" w:w="15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静态最大 V/C</w:t>
            </w:r>
          </w:p>
        </w:tc>
        <w:tc>
          <w:tcPr>
            <w:tcW w:type="dxa" w:w="21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heavy_all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50 s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8241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2966.76 veh/h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0.9045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压力不足</w:t>
            </w:r>
          </w:p>
        </w:tc>
      </w:tr>
      <w:tr>
        <w:trPr>
          <w:cantSplit w:val="true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假设 40 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 s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10291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3704.76 veh/h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1.1295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对旧 41 路径是中间压力</w:t>
            </w:r>
          </w:p>
        </w:tc>
      </w:tr>
      <w:tr>
        <w:trPr>
          <w:cantSplit w:val="true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oversat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 s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13694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4929.84 veh/h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1.5030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局部分布失衡、尾部过长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 xml:space="preserve">旧路网中最紧张的 movement 是 </w:t>
      </w:r>
      <w:r>
        <w:rPr>
          <w:rFonts w:ascii="Consolas" w:hAnsi="Consolas" w:eastAsia="Microsoft YaHei"/>
          <w:color w:val="1F4D78"/>
          <w:sz w:val="21"/>
        </w:rPr>
        <w:t>E13 -&gt; E5</w:t>
      </w:r>
      <w:r>
        <w:rPr>
          <w:rFonts w:ascii="Calibri" w:hAnsi="Calibri" w:eastAsia="Microsoft YaHei"/>
        </w:rPr>
        <w:t>，估计容量 480 veh/h：50 s、40 s、30 s 配置分别施加约 434.16、542.16、721.44 veh/h。</w:t>
      </w:r>
    </w:p>
    <w:p>
      <w:r>
        <w:rPr>
          <w:rFonts w:ascii="Calibri" w:hAnsi="Calibri" w:eastAsia="Microsoft YaHei"/>
        </w:rPr>
        <w:t xml:space="preserve">新版目录使用 90 条 OD 路径，因此“每条路径 40 s 一辆”不再等价于旧 40 s 配置，而会达到 </w:t>
      </w:r>
      <w:r>
        <w:rPr>
          <w:rFonts w:ascii="Consolas" w:hAnsi="Consolas" w:eastAsia="Microsoft YaHei"/>
          <w:color w:val="1F4D78"/>
          <w:sz w:val="21"/>
        </w:rPr>
        <w:t>90 × 3600 / 40 = 8100 veh/h</w:t>
      </w:r>
      <w:r>
        <w:rPr>
          <w:rFonts w:ascii="Calibri" w:hAnsi="Calibri" w:eastAsia="Microsoft YaHei"/>
        </w:rPr>
        <w:t>。8100 veh/h 因而被用作时变需求的高峰值，而不是全天平均值。</w:t>
      </w:r>
    </w:p>
    <w:p>
      <w:r>
        <w:rPr>
          <w:rFonts w:ascii="Calibri" w:hAnsi="Calibri" w:eastAsia="Microsoft YaHei"/>
        </w:rPr>
        <w:t>旧 TraCI 结果进一步说明两套数据之间缺少中间等级：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72"/>
        <w:gridCol w:w="980"/>
        <w:gridCol w:w="1347"/>
        <w:gridCol w:w="1347"/>
        <w:gridCol w:w="1301"/>
        <w:gridCol w:w="1255"/>
        <w:gridCol w:w="1026"/>
        <w:gridCol w:w="1032"/>
      </w:tblGrid>
      <w:tr>
        <w:trPr>
          <w:tblHeader w:val="true"/>
          <w:cantSplit w:val="true"/>
        </w:trPr>
        <w:tc>
          <w:tcPr>
            <w:tcW w:type="dxa" w:w="1072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数据</w:t>
            </w:r>
          </w:p>
        </w:tc>
        <w:tc>
          <w:tcPr>
            <w:tcW w:type="dxa" w:w="98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车辆数</w:t>
            </w:r>
          </w:p>
        </w:tc>
        <w:tc>
          <w:tcPr>
            <w:tcW w:type="dxa" w:w="1347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错过 ≥1</w:t>
            </w:r>
          </w:p>
        </w:tc>
        <w:tc>
          <w:tcPr>
            <w:tcW w:type="dxa" w:w="1347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≥2</w:t>
            </w:r>
          </w:p>
        </w:tc>
        <w:tc>
          <w:tcPr>
            <w:tcW w:type="dxa" w:w="130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≥5</w:t>
            </w:r>
          </w:p>
        </w:tc>
        <w:tc>
          <w:tcPr>
            <w:tcW w:type="dxa" w:w="1255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≥10</w:t>
            </w:r>
          </w:p>
        </w:tc>
        <w:tc>
          <w:tcPr>
            <w:tcW w:type="dxa" w:w="102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最大错过</w:t>
            </w:r>
          </w:p>
        </w:tc>
        <w:tc>
          <w:tcPr>
            <w:tcW w:type="dxa" w:w="1032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teleport</w:t>
            </w:r>
          </w:p>
        </w:tc>
      </w:tr>
      <w:tr>
        <w:trPr>
          <w:cantSplit w:val="true"/>
        </w:trPr>
        <w:tc>
          <w:tcPr>
            <w:tcW w:type="dxa" w:w="1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5"/>
              </w:rPr>
              <w:t>heavy_all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8241</w:t>
            </w:r>
          </w:p>
        </w:tc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10（0.121%）</w:t>
            </w:r>
          </w:p>
        </w:tc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1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5"/>
              </w:rPr>
              <w:t>oversat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13694</w:t>
            </w:r>
          </w:p>
        </w:tc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6169（45.049%）</w:t>
            </w:r>
          </w:p>
        </w:tc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3666（26.771%）</w:t>
            </w:r>
          </w:p>
        </w:tc>
        <w:tc>
          <w:tcPr>
            <w:tcW w:type="dxa" w:w="1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1255（9.165%）</w:t>
            </w:r>
          </w:p>
        </w:tc>
        <w:tc>
          <w:tcPr>
            <w:tcW w:type="dxa" w:w="1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401（2.928%）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30</w:t>
            </w:r>
          </w:p>
        </w:tc>
        <w:tc>
          <w:tcPr>
            <w:tcW w:type="dxa" w:w="1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55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eastAsia="Microsoft YaHei"/>
        </w:rPr>
        <w:t>4. 实验迭代路线</w:t>
      </w:r>
    </w:p>
    <w:p>
      <w:pPr>
        <w:spacing w:before="120" w:after="200" w:line="288" w:lineRule="auto"/>
        <w:ind w:left="173" w:right="115"/>
        <w:shd w:fill="F4F6F9" w:val="clear"/>
        <w:pBdr>
          <w:left w:val="single" w:sz="18" w:space="5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实验路径  </w:t>
      </w:r>
      <w:r>
        <w:rPr>
          <w:rFonts w:ascii="Calibri" w:hAnsi="Calibri" w:eastAsia="Microsoft YaHei"/>
          <w:sz w:val="21"/>
        </w:rPr>
        <w:t>旧 heavy / oversat 基线  →  90 OD 均匀流量扫描  →  7050–7200 veh/h 临界区扫描  →  道路长度倍率试验  →  高峰 + 恢复窗时变需求  →  80 m 统计口径修正  →  最终验收</w:t>
      </w:r>
    </w:p>
    <w:p>
      <w:pPr>
        <w:pStyle w:val="Heading2"/>
      </w:pPr>
      <w:r>
        <w:rPr>
          <w:rFonts w:ascii="Calibri" w:hAnsi="Calibri" w:eastAsia="Microsoft YaHei"/>
        </w:rPr>
        <w:t>4.1 第一轮：均匀需求扫描</w:t>
      </w:r>
    </w:p>
    <w:p>
      <w:r>
        <w:rPr>
          <w:rFonts w:ascii="Calibri" w:hAnsi="Calibri" w:eastAsia="Microsoft YaHei"/>
        </w:rPr>
        <w:t>最初使用当时的 2 倍长度路网，并让 90 个 OD 在整个 10000 s 内均匀发车。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63"/>
        <w:gridCol w:w="1186"/>
        <w:gridCol w:w="1261"/>
        <w:gridCol w:w="1261"/>
        <w:gridCol w:w="1261"/>
        <w:gridCol w:w="1261"/>
        <w:gridCol w:w="1267"/>
      </w:tblGrid>
      <w:tr>
        <w:trPr>
          <w:tblHeader w:val="true"/>
          <w:cantSplit w:val="true"/>
        </w:trPr>
        <w:tc>
          <w:tcPr>
            <w:tcW w:type="dxa" w:w="186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平均需求</w:t>
            </w:r>
          </w:p>
        </w:tc>
        <w:tc>
          <w:tcPr>
            <w:tcW w:type="dxa" w:w="118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车辆数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清空时间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平均时长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平均等待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发车延迟</w:t>
            </w:r>
          </w:p>
        </w:tc>
        <w:tc>
          <w:tcPr>
            <w:tcW w:type="dxa" w:w="1267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teleport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2800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7778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10242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148.19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64.67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3600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10000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10240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149.21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64.93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4000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11111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10317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150.91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66.14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4800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13333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10241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153.21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67.44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5600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15556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10276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156.64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69.89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6400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17778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10313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163.15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74.85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6600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18333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10246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165.26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76.50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6800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18889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10313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168.68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79.30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7000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19444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10298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179.96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88.56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7200（独立探测）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20000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16345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238.53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137.40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237.86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结论：均匀需求在 7000 到 7200 veh/h 之间出现非常陡的容量悬崖。7000 以下多轮样本仍少，7200 又容易出现入口积压、teleport 和超长清空，因此不能仅靠提高恒定流量获得理想中间等级。</w:t>
      </w:r>
    </w:p>
    <w:p>
      <w:pPr>
        <w:pStyle w:val="Heading2"/>
      </w:pPr>
      <w:r>
        <w:rPr>
          <w:rFonts w:ascii="Calibri" w:hAnsi="Calibri" w:eastAsia="Microsoft YaHei"/>
        </w:rPr>
        <w:t>4.2 第二轮：临界区细扫</w:t>
      </w:r>
    </w:p>
    <w:p>
      <w:r>
        <w:rPr>
          <w:rFonts w:ascii="Calibri" w:hAnsi="Calibri" w:eastAsia="Microsoft YaHei"/>
        </w:rPr>
        <w:t>同一随机种子下继续测试 7050–7190 veh/h。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70"/>
        <w:gridCol w:w="1680"/>
        <w:gridCol w:w="1243"/>
        <w:gridCol w:w="1243"/>
        <w:gridCol w:w="1243"/>
        <w:gridCol w:w="1243"/>
        <w:gridCol w:w="1538"/>
      </w:tblGrid>
      <w:tr>
        <w:trPr>
          <w:tblHeader w:val="true"/>
          <w:cantSplit w:val="true"/>
        </w:trPr>
        <w:tc>
          <w:tcPr>
            <w:tcW w:type="dxa" w:w="117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需求</w:t>
            </w:r>
          </w:p>
        </w:tc>
        <w:tc>
          <w:tcPr>
            <w:tcW w:type="dxa" w:w="168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清空时间</w:t>
            </w:r>
          </w:p>
        </w:tc>
        <w:tc>
          <w:tcPr>
            <w:tcW w:type="dxa" w:w="124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平均时长</w:t>
            </w:r>
          </w:p>
        </w:tc>
        <w:tc>
          <w:tcPr>
            <w:tcW w:type="dxa" w:w="124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平均等待</w:t>
            </w:r>
          </w:p>
        </w:tc>
        <w:tc>
          <w:tcPr>
            <w:tcW w:type="dxa" w:w="124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发车延迟</w:t>
            </w:r>
          </w:p>
        </w:tc>
        <w:tc>
          <w:tcPr>
            <w:tcW w:type="dxa" w:w="124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teleport</w:t>
            </w:r>
          </w:p>
        </w:tc>
        <w:tc>
          <w:tcPr>
            <w:tcW w:type="dxa" w:w="1538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判定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7050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10518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183.91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91.62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4.41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稳定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7100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10398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188.70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95.42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5.00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稳定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7150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11366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196.77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101.86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31.33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超过 11000 s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7175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11094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191.82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97.88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13.62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略超上限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7190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14280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218.89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121.02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103.46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失稳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7200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运行未完整结束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失稳，放弃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7150 的旧 80 m 口径已经出现 398 辆错过绿灯，其中 62 辆错过至少 2 轮、最大 5 轮，但清空时间超过验收上限。临界附近的结果也并非严格单调，这反映了随机发车与信号相位耦合；不能把单个需求点当作稳定数据等级。</w:t>
      </w:r>
    </w:p>
    <w:p>
      <w:pPr>
        <w:pStyle w:val="Heading2"/>
      </w:pPr>
      <w:r>
        <w:rPr>
          <w:rFonts w:ascii="Calibri" w:hAnsi="Calibri" w:eastAsia="Microsoft YaHei"/>
        </w:rPr>
        <w:t>4.3 第三轮：道路长度试验</w:t>
      </w:r>
    </w:p>
    <w:p>
      <w:r>
        <w:rPr>
          <w:rFonts w:ascii="Calibri" w:hAnsi="Calibri" w:eastAsia="Microsoft YaHei"/>
        </w:rPr>
        <w:t>这里的“1.25×/1.50×”是相对当时已经扩为原始 2 倍的路网，因此分别等价于原始长度的 2.5 倍和 3 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63"/>
        <w:gridCol w:w="1186"/>
        <w:gridCol w:w="1261"/>
        <w:gridCol w:w="1261"/>
        <w:gridCol w:w="1261"/>
        <w:gridCol w:w="1261"/>
        <w:gridCol w:w="1267"/>
      </w:tblGrid>
      <w:tr>
        <w:trPr>
          <w:tblHeader w:val="true"/>
          <w:cantSplit w:val="true"/>
        </w:trPr>
        <w:tc>
          <w:tcPr>
            <w:tcW w:type="dxa" w:w="186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最终相对原始长度</w:t>
            </w:r>
          </w:p>
        </w:tc>
        <w:tc>
          <w:tcPr>
            <w:tcW w:type="dxa" w:w="118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需求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清空时间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平均时长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平均等待</w:t>
            </w:r>
          </w:p>
        </w:tc>
        <w:tc>
          <w:tcPr>
            <w:tcW w:type="dxa" w:w="126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发车延迟</w:t>
            </w:r>
          </w:p>
        </w:tc>
        <w:tc>
          <w:tcPr>
            <w:tcW w:type="dxa" w:w="1267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teleport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2.5×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7150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10293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198.12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89.77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2.5×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7200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13198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226.37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113.18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44.85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3×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7150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10307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216.51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91.17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3×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7200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10381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219.70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93.78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0*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* SUMO 日志出现 2 次车辆移除/传送相关警告，因此没有把该点作为干净的最终配置。</w:t>
      </w:r>
    </w:p>
    <w:p>
      <w:r>
        <w:rPr>
          <w:rFonts w:ascii="Calibri" w:hAnsi="Calibri" w:eastAsia="Microsoft YaHei"/>
        </w:rPr>
        <w:t xml:space="preserve">加长道路的主要作用是增加储车空间并减轻入口无法插车造成的 </w:t>
      </w:r>
      <w:r>
        <w:rPr>
          <w:rFonts w:ascii="Consolas" w:hAnsi="Consolas" w:eastAsia="Microsoft YaHei"/>
          <w:color w:val="1F4D78"/>
          <w:sz w:val="21"/>
        </w:rPr>
        <w:t>departDelay</w:t>
      </w:r>
      <w:r>
        <w:rPr>
          <w:rFonts w:ascii="Calibri" w:hAnsi="Calibri" w:eastAsia="Microsoft YaHei"/>
        </w:rPr>
        <w:t>，不是直接提高信号容量。它同时会把排队尾部推到离停止线更远的位置，这最终暴露了原 80 m TraCI 统计口径的问题。</w:t>
      </w:r>
    </w:p>
    <w:p>
      <w:pPr>
        <w:pStyle w:val="Heading2"/>
      </w:pPr>
      <w:r>
        <w:rPr>
          <w:rFonts w:ascii="Calibri" w:hAnsi="Calibri" w:eastAsia="Microsoft YaHei"/>
        </w:rPr>
        <w:t>4.4 第四轮：时变需求设计</w:t>
      </w:r>
    </w:p>
    <w:p>
      <w:r>
        <w:rPr>
          <w:rFonts w:ascii="Calibri" w:hAnsi="Calibri" w:eastAsia="Microsoft YaHei"/>
        </w:rPr>
        <w:t>为了制造“高峰期间积队、恢复窗逐步消散”的多轮样本，试验从恒定流量改为周期性高峰与低谷。下表中的路长均为原始 3 倍，除非特别标注。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9"/>
        <w:gridCol w:w="2221"/>
        <w:gridCol w:w="1050"/>
        <w:gridCol w:w="1050"/>
        <w:gridCol w:w="1106"/>
        <w:gridCol w:w="1106"/>
        <w:gridCol w:w="1498"/>
      </w:tblGrid>
      <w:tr>
        <w:trPr>
          <w:tblHeader w:val="true"/>
          <w:cantSplit w:val="true"/>
        </w:trPr>
        <w:tc>
          <w:tcPr>
            <w:tcW w:type="dxa" w:w="1329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方案</w:t>
            </w:r>
          </w:p>
        </w:tc>
        <w:tc>
          <w:tcPr>
            <w:tcW w:type="dxa" w:w="222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需求结构</w:t>
            </w:r>
          </w:p>
        </w:tc>
        <w:tc>
          <w:tcPr>
            <w:tcW w:type="dxa" w:w="105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清空</w:t>
            </w:r>
          </w:p>
        </w:tc>
        <w:tc>
          <w:tcPr>
            <w:tcW w:type="dxa" w:w="105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等待</w:t>
            </w:r>
          </w:p>
        </w:tc>
        <w:tc>
          <w:tcPr>
            <w:tcW w:type="dxa" w:w="110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发车延迟</w:t>
            </w:r>
          </w:p>
        </w:tc>
        <w:tc>
          <w:tcPr>
            <w:tcW w:type="dxa" w:w="110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teleport</w:t>
            </w:r>
          </w:p>
        </w:tc>
        <w:tc>
          <w:tcPr>
            <w:tcW w:type="dxa" w:w="1498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不拥堵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全程 2800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10316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65.58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保留为低压参考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tight v1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4×(1200@8100 + 1200@4700) + 400@6400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10388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101.12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压力适中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tight v2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3×(1500@8100 + 1500@4700) + 1000@6400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10316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111.43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0.63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多轮更重，候选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v1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长段 8100/5900，均值 7000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15907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169.95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231.69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入口失稳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v2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3×(1500@8000 + 1500@6000) + 尾段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15906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169.19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286.89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入口失稳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v3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4×(1200@7800 + 1200@6200) + 尾段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12666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113.53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31.12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超时且 teleport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v4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4×(1200@7700 + 1200@6300) + 尾段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10324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93.15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太轻，多轮不足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v5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6×(900@8100 + 600@5300) + 尾段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10316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99.40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仅短促排队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v6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4×(1500@8100 + 700@4700) + 1200@6866.67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16160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162.22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215.64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3×路长失稳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v7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4×(1500@8100 + 900@4700) + 400@6200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15073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154.62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149.67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3×路长失稳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v8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4×(1350@8100 + 1050@5128.57) + 尾段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15720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154.76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204.33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入口失稳</w:t>
            </w:r>
          </w:p>
        </w:tc>
      </w:tr>
      <w:tr>
        <w:trPr>
          <w:cantSplit w:val="true"/>
        </w:trPr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congested v9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4×(1200@8100 + 900@5066.67) + 尾段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10389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99.93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0.50</w:t>
            </w:r>
          </w:p>
        </w:tc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多轮不足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随后将普通道路扩至原始 4 倍：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v6 在 4× 路长上变为稳定：清空 10386 s、零 teleport、平均等待 111.82 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v7 虽无 teleport，但清空到 12011 s，仍超过 11000 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tight v2 清空 10401 s，但最终选择较短的 tight v1 高峰窗，使“紧张”和“拥堵”的尾部区分更清楚。</w:t>
      </w:r>
    </w:p>
    <w:p>
      <w:r>
        <w:rPr>
          <w:rFonts w:ascii="Calibri" w:hAnsi="Calibri" w:eastAsia="Microsoft YaHei"/>
        </w:rPr>
        <w:t>因此最终路网采用 4× 长度，tight 使用 1200/1200 s 高低窗，congested 使用 1500/700 s 高低窗。</w:t>
      </w:r>
    </w:p>
    <w:p>
      <w:pPr>
        <w:pStyle w:val="Heading1"/>
      </w:pPr>
      <w:r>
        <w:rPr>
          <w:rFonts w:ascii="Calibri" w:hAnsi="Calibri" w:eastAsia="Microsoft YaHei"/>
        </w:rPr>
        <w:t>5. 关键修正：80 m 统计为何失真</w:t>
      </w:r>
    </w:p>
    <w:p>
      <w:r>
        <w:rPr>
          <w:rFonts w:ascii="Calibri" w:hAnsi="Calibri" w:eastAsia="Microsoft YaHei"/>
        </w:rPr>
        <w:t xml:space="preserve">原 </w:t>
      </w:r>
      <w:r>
        <w:rPr>
          <w:rFonts w:ascii="Consolas" w:hAnsi="Consolas" w:eastAsia="Microsoft YaHei"/>
          <w:color w:val="1F4D78"/>
          <w:sz w:val="21"/>
        </w:rPr>
        <w:t>collect_vehicle_green_rounds.py</w:t>
      </w:r>
      <w:r>
        <w:rPr>
          <w:rFonts w:ascii="Calibri" w:hAnsi="Calibri" w:eastAsia="Microsoft YaHei"/>
        </w:rPr>
        <w:t xml:space="preserve"> 只在停止线前 80 m 内判断车辆是否排队。最终长道路最长 545.6 m，高流量时队尾经常位于 80 m 之外。车辆可能完整错过一个绿灯，但直到下一轮才进入 80 m 区域，于是前一轮不会被记录。</w:t>
      </w:r>
    </w:p>
    <w:p>
      <w:r>
        <w:rPr>
          <w:rFonts w:ascii="Calibri" w:hAnsi="Calibri" w:eastAsia="Microsoft YaHei"/>
        </w:rPr>
        <w:t>该偏差不仅是少量漏计，还会改变场景排序。在 4× 路长的两个候选上：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44"/>
        <w:gridCol w:w="2912"/>
        <w:gridCol w:w="2435"/>
        <w:gridCol w:w="1769"/>
      </w:tblGrid>
      <w:tr>
        <w:trPr>
          <w:tblHeader w:val="true"/>
          <w:cantSplit w:val="true"/>
        </w:trPr>
        <w:tc>
          <w:tcPr>
            <w:tcW w:type="dxa" w:w="2244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候选</w:t>
            </w:r>
          </w:p>
        </w:tc>
        <w:tc>
          <w:tcPr>
            <w:tcW w:type="dxa" w:w="2912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80 m：错过 ≥1</w:t>
            </w:r>
          </w:p>
        </w:tc>
        <w:tc>
          <w:tcPr>
            <w:tcW w:type="dxa" w:w="2435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80 m：错过 ≥2</w:t>
            </w:r>
          </w:p>
        </w:tc>
        <w:tc>
          <w:tcPr>
            <w:tcW w:type="dxa" w:w="1769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最大</w:t>
            </w:r>
          </w:p>
        </w:tc>
      </w:tr>
      <w:tr>
        <w:trPr>
          <w:cantSplit w:val="true"/>
        </w:trPr>
        <w:tc>
          <w:tcPr>
            <w:tcW w:type="dxa" w:w="2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tight v2</w:t>
            </w:r>
          </w:p>
        </w:tc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114/17778（0.641%）</w:t>
            </w:r>
          </w:p>
        </w:tc>
        <w:tc>
          <w:tcPr>
            <w:tcW w:type="dxa" w:w="2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1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2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congested v6</w:t>
            </w:r>
          </w:p>
        </w:tc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61/19444（0.314%）</w:t>
            </w:r>
          </w:p>
        </w:tc>
        <w:tc>
          <w:tcPr>
            <w:tcW w:type="dxa" w:w="2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1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80 m 口径反而显示拥堵场景“更轻”，与等待时间和运行状态矛盾。修正后默认跟踪整条 approach；正式命令显式传入 600 m，覆盖最长 545.6 m 车道。</w:t>
      </w:r>
    </w:p>
    <w:p>
      <w:r>
        <w:rPr>
          <w:rFonts w:ascii="Calibri" w:hAnsi="Calibri" w:eastAsia="Microsoft YaHei"/>
        </w:rPr>
        <w:t>当前统计规则为：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车辆速度不高于 2 m/s 时视为排队。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车辆在绿灯开始时已经排队，或在该绿灯内累计获得至少 2 s 机会，该绿灯才有资格成为一次“错过”。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合格绿灯结束时车辆仍在同一 approach 排队，</w:t>
      </w:r>
      <w:r>
        <w:rPr>
          <w:rFonts w:ascii="Consolas" w:hAnsi="Consolas" w:eastAsia="Microsoft YaHei"/>
          <w:color w:val="1F4D78"/>
          <w:sz w:val="21"/>
        </w:rPr>
        <w:t>missed_green_rounds += 1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同时输出逐车路径累计值和逐 movement 最大值，区分“沿途多个路口各错过一次”和“同一路口连续多轮未通过”。</w:t>
      </w:r>
    </w:p>
    <w:p>
      <w:pPr>
        <w:pStyle w:val="Heading1"/>
      </w:pPr>
      <w:r>
        <w:rPr>
          <w:rFonts w:ascii="Calibri" w:hAnsi="Calibri" w:eastAsia="Microsoft YaHei"/>
        </w:rPr>
        <w:t>6. 最终数据生成机制</w:t>
      </w:r>
    </w:p>
    <w:p>
      <w:r>
        <w:rPr>
          <w:rFonts w:ascii="Calibri" w:hAnsi="Calibri" w:eastAsia="Microsoft YaHei"/>
        </w:rPr>
        <w:t xml:space="preserve">三组 route 由 </w:t>
      </w:r>
      <w:r>
        <w:rPr>
          <w:rFonts w:ascii="Consolas" w:hAnsi="Consolas" w:eastAsia="Microsoft YaHei"/>
          <w:color w:val="1F4D78"/>
          <w:sz w:val="21"/>
        </w:rPr>
        <w:t>scripts/generate_balanced_experiment_scenarios.py</w:t>
      </w:r>
      <w:r>
        <w:rPr>
          <w:rFonts w:ascii="Calibri" w:hAnsi="Calibri" w:eastAsia="Microsoft YaHei"/>
        </w:rPr>
        <w:t xml:space="preserve"> 生成：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使用 10 个入口、10 个出口及 90 个有效 OD 组合。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每 300 s 子块通过 perfect-matching 轮换路径，使每个入口、出口和路网区域的负载尽量均匀。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子块内使用分层随机抖动，不让所有车辆在同一秒成批出现。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保持 </w:t>
      </w:r>
      <w:r>
        <w:rPr>
          <w:rFonts w:ascii="Consolas" w:hAnsi="Consolas" w:eastAsia="Microsoft YaHei"/>
          <w:color w:val="1F4D78"/>
          <w:sz w:val="21"/>
        </w:rPr>
        <w:t>no_change</w:t>
      </w:r>
      <w:r>
        <w:rPr>
          <w:rFonts w:ascii="Calibri" w:hAnsi="Calibri" w:eastAsia="Microsoft YaHei"/>
        </w:rPr>
        <w:t xml:space="preserve"> 路线/车道模式，避免为了性能优化而随意改变路径。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三组随机种子分别为 20260764、20261773、20262782。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56"/>
        <w:gridCol w:w="3056"/>
        <w:gridCol w:w="1658"/>
        <w:gridCol w:w="1590"/>
      </w:tblGrid>
      <w:tr>
        <w:trPr>
          <w:tblHeader w:val="true"/>
          <w:cantSplit w:val="true"/>
        </w:trPr>
        <w:tc>
          <w:tcPr>
            <w:tcW w:type="dxa" w:w="305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05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10000 s 需求曲线</w:t>
            </w:r>
          </w:p>
        </w:tc>
        <w:tc>
          <w:tcPr>
            <w:tcW w:type="dxa" w:w="1658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平均需求</w:t>
            </w:r>
          </w:p>
        </w:tc>
        <w:tc>
          <w:tcPr>
            <w:tcW w:type="dxa" w:w="159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车辆</w:t>
            </w:r>
          </w:p>
        </w:tc>
      </w:tr>
      <w:tr>
        <w:trPr>
          <w:cantSplit w:val="true"/>
        </w:trPr>
        <w:tc>
          <w:tcPr>
            <w:tcW w:type="dxa" w:w="3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balanced_uncongested_q2800_no_change</w:t>
            </w:r>
          </w:p>
        </w:tc>
        <w:tc>
          <w:tcPr>
            <w:tcW w:type="dxa" w:w="3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10000@2800</w:t>
            </w:r>
          </w:p>
        </w:tc>
        <w:tc>
          <w:tcPr>
            <w:tcW w:type="dxa" w:w="1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2800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7778</w:t>
            </w:r>
          </w:p>
        </w:tc>
      </w:tr>
      <w:tr>
        <w:trPr>
          <w:cantSplit w:val="true"/>
        </w:trPr>
        <w:tc>
          <w:tcPr>
            <w:tcW w:type="dxa" w:w="3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balanced_tight_q6400_no_change</w:t>
            </w:r>
          </w:p>
        </w:tc>
        <w:tc>
          <w:tcPr>
            <w:tcW w:type="dxa" w:w="3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4×(1200@8100 + 1200@4700) + 400@6400</w:t>
            </w:r>
          </w:p>
        </w:tc>
        <w:tc>
          <w:tcPr>
            <w:tcW w:type="dxa" w:w="1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6400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17778</w:t>
            </w:r>
          </w:p>
        </w:tc>
      </w:tr>
      <w:tr>
        <w:trPr>
          <w:cantSplit w:val="true"/>
        </w:trPr>
        <w:tc>
          <w:tcPr>
            <w:tcW w:type="dxa" w:w="3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balanced_congested_q7000_no_change</w:t>
            </w:r>
          </w:p>
        </w:tc>
        <w:tc>
          <w:tcPr>
            <w:tcW w:type="dxa" w:w="3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4×(1500@8100 + 700@4700) + 1200@6866.67</w:t>
            </w:r>
          </w:p>
        </w:tc>
        <w:tc>
          <w:tcPr>
            <w:tcW w:type="dxa" w:w="1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7000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19444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高峰 8100 veh/h 等价于新版 90 个 OD 平均每 40 s 各发一辆；低谷 4700 veh/h 提供清空机会。拥堵组不是简单提高全天恒定流量，而是延长高峰并缩短恢复窗，因此能增加多轮等待而不形成永久锁死。</w:t>
      </w:r>
    </w:p>
    <w:p>
      <w:pPr>
        <w:pStyle w:val="Heading1"/>
      </w:pPr>
      <w:r>
        <w:rPr>
          <w:rFonts w:ascii="Calibri" w:hAnsi="Calibri" w:eastAsia="Microsoft YaHei"/>
        </w:rPr>
        <w:t>7. 最终 SUMO 运行结果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4"/>
        <w:gridCol w:w="2038"/>
        <w:gridCol w:w="2038"/>
        <w:gridCol w:w="2040"/>
      </w:tblGrid>
      <w:tr>
        <w:trPr>
          <w:tblHeader w:val="true"/>
          <w:cantSplit w:val="true"/>
        </w:trPr>
        <w:tc>
          <w:tcPr>
            <w:tcW w:type="dxa" w:w="3244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038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不拥堵</w:t>
            </w:r>
          </w:p>
        </w:tc>
        <w:tc>
          <w:tcPr>
            <w:tcW w:type="dxa" w:w="2038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紧张</w:t>
            </w:r>
          </w:p>
        </w:tc>
        <w:tc>
          <w:tcPr>
            <w:tcW w:type="dxa" w:w="204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拥堵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SUMO 结束时间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10402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10409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10386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插入车辆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7778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17778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19444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teleport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平均行程时间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216.89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260.20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275.50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平均等待时间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67.37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99.91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111.82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平均 timeLoss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88.11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131.43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146.69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平均 departDelay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0.50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0.50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0.50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平均路线长度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1691.98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1692.56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1692.58</w:t>
            </w:r>
          </w:p>
        </w:tc>
      </w:tr>
      <w:tr>
        <w:trPr>
          <w:cantSplit w:val="true"/>
        </w:trPr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平均速度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8.22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7.11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6.84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平均路线长度几乎一致，说明三组性能差异主要来自需求和排队，而不是 OD 距离偏移。</w:t>
      </w:r>
      <w:r>
        <w:rPr>
          <w:rFonts w:ascii="Consolas" w:hAnsi="Consolas" w:eastAsia="Microsoft YaHei"/>
          <w:color w:val="1F4D78"/>
          <w:sz w:val="21"/>
        </w:rPr>
        <w:t>departDelay</w:t>
      </w:r>
      <w:r>
        <w:rPr>
          <w:rFonts w:ascii="Calibri" w:hAnsi="Calibri" w:eastAsia="Microsoft YaHei"/>
        </w:rPr>
        <w:t xml:space="preserve"> 均为 0.50 s，说明清空时间不是由车辆长期无法插入路网造成的。</w:t>
      </w:r>
    </w:p>
    <w:p>
      <w:pPr>
        <w:pStyle w:val="Heading1"/>
      </w:pPr>
      <w:r>
        <w:rPr>
          <w:rFonts w:ascii="Calibri" w:hAnsi="Calibri" w:eastAsia="Microsoft YaHei"/>
        </w:rPr>
        <w:t>8. 最终错过绿灯轮数分布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9"/>
        <w:gridCol w:w="2280"/>
        <w:gridCol w:w="2359"/>
        <w:gridCol w:w="2362"/>
      </w:tblGrid>
      <w:tr>
        <w:trPr>
          <w:tblHeader w:val="true"/>
          <w:cantSplit w:val="true"/>
        </w:trPr>
        <w:tc>
          <w:tcPr>
            <w:tcW w:type="dxa" w:w="2359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路径累计错过轮数</w:t>
            </w:r>
          </w:p>
        </w:tc>
        <w:tc>
          <w:tcPr>
            <w:tcW w:type="dxa" w:w="228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不拥堵</w:t>
            </w:r>
          </w:p>
        </w:tc>
        <w:tc>
          <w:tcPr>
            <w:tcW w:type="dxa" w:w="2359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紧张</w:t>
            </w:r>
          </w:p>
        </w:tc>
        <w:tc>
          <w:tcPr>
            <w:tcW w:type="dxa" w:w="2362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拥堵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7775（99.961%）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16202（91.135%）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16501（84.864%）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3（0.039%）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1376（7.740%）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2121（10.908%）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178（1.001%）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679（3.492%）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22（0.124%）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119（0.612%）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23（0.118%）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5+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1（0.005%）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≥1 合计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3（0.039%）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1576（8.865%）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2943（15.136%）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≥2 合计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200（1.125%）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822（4.228%）</w:t>
            </w:r>
          </w:p>
        </w:tc>
      </w:tr>
      <w:tr>
        <w:trPr>
          <w:cantSplit w:val="true"/>
        </w:trPr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≥3 合计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22（0.124%）</w:t>
            </w:r>
          </w:p>
        </w:tc>
        <w:tc>
          <w:tcPr>
            <w:tcW w:type="dxa" w:w="2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143（0.735%）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拥堵组中路径累计最大为 5，但同一 movement 最大为 3。这意味着最极端车辆的 5 次错过并不全发生在同一路口；它沿路径在多个受控 movement 上累计等待。紧张组同一 movement 最大为 2，符合“会等待多轮，但不会长期饥饿”的定位。</w:t>
      </w:r>
    </w:p>
    <w:p>
      <w:pPr>
        <w:pStyle w:val="Heading1"/>
      </w:pPr>
      <w:r>
        <w:rPr>
          <w:rFonts w:ascii="Calibri" w:hAnsi="Calibri" w:eastAsia="Microsoft YaHei"/>
        </w:rPr>
        <w:t>9. 空间分布：哪些 movement 产生多轮等待</w:t>
      </w:r>
    </w:p>
    <w:p>
      <w:r>
        <w:rPr>
          <w:rFonts w:ascii="Calibri" w:hAnsi="Calibri" w:eastAsia="Microsoft YaHei"/>
        </w:rPr>
        <w:t>紧张组有 30 个 movement 出现至少一次错过，4 个 movement 出现单车错过至少 2 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0"/>
        <w:gridCol w:w="1473"/>
        <w:gridCol w:w="1646"/>
        <w:gridCol w:w="2080"/>
        <w:gridCol w:w="2081"/>
      </w:tblGrid>
      <w:tr>
        <w:trPr>
          <w:tblHeader w:val="true"/>
          <w:cantSplit w:val="true"/>
        </w:trPr>
        <w:tc>
          <w:tcPr>
            <w:tcW w:type="dxa" w:w="208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紧张组 movement</w:t>
            </w:r>
          </w:p>
        </w:tc>
        <w:tc>
          <w:tcPr>
            <w:tcW w:type="dxa" w:w="147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车辆事件</w:t>
            </w:r>
          </w:p>
        </w:tc>
        <w:tc>
          <w:tcPr>
            <w:tcW w:type="dxa" w:w="164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错过总轮数</w:t>
            </w:r>
          </w:p>
        </w:tc>
        <w:tc>
          <w:tcPr>
            <w:tcW w:type="dxa" w:w="208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错过 ≥1 的车次</w:t>
            </w:r>
          </w:p>
        </w:tc>
        <w:tc>
          <w:tcPr>
            <w:tcW w:type="dxa" w:w="208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错过 ≥2 的车次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E9 -&gt; -E12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1186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341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326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E16 -&gt; E15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1185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331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323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-E4 -&gt; -E15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1186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328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319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-E13 -&gt; E12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1184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326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303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23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-E12 -&gt; E13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1185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137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137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-E15 -&gt; -E16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1187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124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124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E13 -&gt; E5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1186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91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91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-E16 -&gt; -E17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1185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48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48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>拥堵组有 35 个 movement 出现错过，7 个 movement 出现单车错过至少 2 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0"/>
        <w:gridCol w:w="1473"/>
        <w:gridCol w:w="1646"/>
        <w:gridCol w:w="2080"/>
        <w:gridCol w:w="2081"/>
      </w:tblGrid>
      <w:tr>
        <w:trPr>
          <w:tblHeader w:val="true"/>
          <w:cantSplit w:val="true"/>
        </w:trPr>
        <w:tc>
          <w:tcPr>
            <w:tcW w:type="dxa" w:w="208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拥堵组 movement</w:t>
            </w:r>
          </w:p>
        </w:tc>
        <w:tc>
          <w:tcPr>
            <w:tcW w:type="dxa" w:w="1473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车辆事件</w:t>
            </w:r>
          </w:p>
        </w:tc>
        <w:tc>
          <w:tcPr>
            <w:tcW w:type="dxa" w:w="1646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错过总轮数</w:t>
            </w:r>
          </w:p>
        </w:tc>
        <w:tc>
          <w:tcPr>
            <w:tcW w:type="dxa" w:w="208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错过 ≥1 的车次</w:t>
            </w:r>
          </w:p>
        </w:tc>
        <w:tc>
          <w:tcPr>
            <w:tcW w:type="dxa" w:w="2081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错过 ≥2 的车次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-E4 -&gt; -E15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1297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734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589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145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E9 -&gt; -E12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1297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713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578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135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E16 -&gt; E15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1296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684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566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-E13 -&gt; E12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1296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666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533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113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-E12 -&gt; E13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1296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439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421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-E15 -&gt; -E16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1297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370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355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E13 -&gt; E5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1297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105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105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-E16 -&gt; -E17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1297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99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99</w:t>
            </w:r>
          </w:p>
        </w:tc>
        <w:tc>
          <w:tcPr>
            <w:tcW w:type="dxa" w:w="2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</w:rPr>
        <w:t xml:space="preserve">热点仍然存在，这是路网容量与信号相位的正常结果；但现象分布在 30–35 个 movement，而不是旧 </w:t>
      </w:r>
      <w:r>
        <w:rPr>
          <w:rFonts w:ascii="Consolas" w:hAnsi="Consolas" w:eastAsia="Microsoft YaHei"/>
          <w:color w:val="1F4D78"/>
          <w:sz w:val="21"/>
        </w:rPr>
        <w:t>oversat</w:t>
      </w:r>
      <w:r>
        <w:rPr>
          <w:rFonts w:ascii="Calibri" w:hAnsi="Calibri" w:eastAsia="Microsoft YaHei"/>
        </w:rPr>
        <w:t xml:space="preserve"> 那种少数局部持续占满下游空间。拥堵组热点的错过次数整体高于紧张组，且热点集合基本一致，说明两组形成的是同一交通机制下的压力梯度，而不是两种完全不同的异常。</w:t>
      </w:r>
    </w:p>
    <w:p>
      <w:pPr>
        <w:pStyle w:val="Heading1"/>
      </w:pPr>
      <w:r>
        <w:rPr>
          <w:rFonts w:ascii="Calibri" w:hAnsi="Calibri" w:eastAsia="Microsoft YaHei"/>
        </w:rPr>
        <w:t>10. 验收判断</w:t>
      </w:r>
    </w:p>
    <w:p>
      <w:r>
        <w:rPr>
          <w:rFonts w:ascii="Calibri" w:hAnsi="Calibri" w:eastAsia="Microsoft YaHei"/>
        </w:rPr>
        <w:t>最终方案满足本轮目标：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0B2545"/>
        </w:rPr>
        <w:t>分级明确</w:t>
      </w:r>
      <w:r>
        <w:rPr>
          <w:rFonts w:ascii="Calibri" w:hAnsi="Calibri" w:eastAsia="Microsoft YaHei"/>
        </w:rPr>
        <w:t>：平均等待 67.37 → 99.91 → 111.82 s，错过 ≥1 轮比例 0.039% → 8.865% → 15.136%。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0B2545"/>
        </w:rPr>
        <w:t>包含多轮样本</w:t>
      </w:r>
      <w:r>
        <w:rPr>
          <w:rFonts w:ascii="Calibri" w:hAnsi="Calibri" w:eastAsia="Microsoft YaHei"/>
        </w:rPr>
        <w:t>：紧张组有 200 辆错过至少 2 轮，拥堵组有 822 辆；拥堵组包含 3、4、5 轮尾部。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0B2545"/>
        </w:rPr>
        <w:t>没有永久饥饿证据</w:t>
      </w:r>
      <w:r>
        <w:rPr>
          <w:rFonts w:ascii="Calibri" w:hAnsi="Calibri" w:eastAsia="Microsoft YaHei"/>
        </w:rPr>
        <w:t xml:space="preserve">：最终数据的路径最大错过 5 轮、同一 movement 最大 3 轮；旧 </w:t>
      </w:r>
      <w:r>
        <w:rPr>
          <w:rFonts w:ascii="Consolas" w:hAnsi="Consolas" w:eastAsia="Microsoft YaHei"/>
          <w:color w:val="1F4D78"/>
          <w:sz w:val="21"/>
        </w:rPr>
        <w:t>oversat</w:t>
      </w:r>
      <w:r>
        <w:rPr>
          <w:rFonts w:ascii="Calibri" w:hAnsi="Calibri" w:eastAsia="Microsoft YaHei"/>
        </w:rPr>
        <w:t xml:space="preserve"> 的路径最大为 30 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0B2545"/>
        </w:rPr>
        <w:t>运行稳定</w:t>
      </w:r>
      <w:r>
        <w:rPr>
          <w:rFonts w:ascii="Calibri" w:hAnsi="Calibri" w:eastAsia="Microsoft YaHei"/>
        </w:rPr>
        <w:t>：三组均零 teleport、发车延迟 0.50 s、10409 s 前清空。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0B2545"/>
        </w:rPr>
        <w:t>空间更平衡</w:t>
      </w:r>
      <w:r>
        <w:rPr>
          <w:rFonts w:ascii="Calibri" w:hAnsi="Calibri" w:eastAsia="Microsoft YaHei"/>
        </w:rPr>
        <w:t>：90 OD、匹配轮换和 300 s 子块降低了固定路线批次对局部入口的偏置。</w:t>
      </w:r>
    </w:p>
    <w:p>
      <w:r>
        <w:rPr>
          <w:rFonts w:ascii="Calibri" w:hAnsi="Calibri" w:eastAsia="Microsoft YaHei"/>
        </w:rPr>
        <w:t>需要注意，不拥堵组几乎没有多轮样本，这是有意保留的低压对照；算法的多轮处理能力主要由紧张组和拥堵组检验。</w:t>
      </w:r>
    </w:p>
    <w:p>
      <w:pPr>
        <w:pStyle w:val="Heading1"/>
      </w:pPr>
      <w:r>
        <w:rPr>
          <w:rFonts w:ascii="Calibri" w:hAnsi="Calibri" w:eastAsia="Microsoft YaHei"/>
        </w:rPr>
        <w:t>11. 复现命令</w:t>
      </w:r>
    </w:p>
    <w:p>
      <w:r>
        <w:rPr>
          <w:rFonts w:ascii="Calibri" w:hAnsi="Calibri" w:eastAsia="Microsoft YaHei"/>
        </w:rPr>
        <w:t>重新生成三组 route 和 sumocfg：</w:t>
      </w:r>
    </w:p>
    <w:p>
      <w:pPr>
        <w:spacing w:before="80" w:after="180" w:line="240" w:lineRule="auto"/>
        <w:ind w:left="259" w:right="173"/>
        <w:shd w:fill="F4F6F9" w:val="clear"/>
      </w:pPr>
      <w:r>
        <w:rPr>
          <w:rFonts w:ascii="Consolas" w:hAnsi="Consolas" w:eastAsia="Microsoft YaHei"/>
          <w:color w:val="26364A"/>
          <w:sz w:val="16"/>
        </w:rPr>
        <w:t>python scripts/generate_balanced_experiment_scenarios.py --force</w:t>
      </w:r>
    </w:p>
    <w:p>
      <w:r>
        <w:rPr>
          <w:rFonts w:ascii="Calibri" w:hAnsi="Calibri" w:eastAsia="Microsoft YaHei"/>
        </w:rPr>
        <w:t>运行任一场景：</w:t>
      </w:r>
    </w:p>
    <w:p>
      <w:pPr>
        <w:spacing w:before="80" w:after="180" w:line="240" w:lineRule="auto"/>
        <w:ind w:left="259" w:right="173"/>
        <w:shd w:fill="F4F6F9" w:val="clear"/>
      </w:pPr>
      <w:r>
        <w:rPr>
          <w:rFonts w:ascii="Consolas" w:hAnsi="Consolas" w:eastAsia="Microsoft YaHei"/>
          <w:color w:val="26364A"/>
          <w:sz w:val="16"/>
        </w:rPr>
        <w:t>sumo -c data/sumocfg/balanced_tight_q6400_no_change.sumocfg</w:t>
      </w:r>
    </w:p>
    <w:p>
      <w:r>
        <w:rPr>
          <w:rFonts w:ascii="Calibri" w:hAnsi="Calibri" w:eastAsia="Microsoft YaHei"/>
        </w:rPr>
        <w:t>重新生成三组逐车、逐 movement 和分布统计：</w:t>
      </w:r>
    </w:p>
    <w:p>
      <w:pPr>
        <w:spacing w:before="80" w:after="180" w:line="240" w:lineRule="auto"/>
        <w:ind w:left="259" w:right="173"/>
        <w:shd w:fill="F4F6F9" w:val="clear"/>
      </w:pPr>
      <w:r>
        <w:rPr>
          <w:rFonts w:ascii="Consolas" w:hAnsi="Consolas" w:eastAsia="Microsoft YaHei"/>
          <w:color w:val="26364A"/>
          <w:sz w:val="16"/>
        </w:rPr>
        <w:t>bash command/green_rounds_command.txt</w:t>
      </w:r>
    </w:p>
    <w:p>
      <w:r>
        <w:rPr>
          <w:rFonts w:ascii="Calibri" w:hAnsi="Calibri" w:eastAsia="Microsoft YaHei"/>
        </w:rPr>
        <w:t xml:space="preserve">Windows PowerShell 中可逐条执行该文件里的命令，把 </w:t>
      </w:r>
      <w:r>
        <w:rPr>
          <w:rFonts w:ascii="Consolas" w:hAnsi="Consolas" w:eastAsia="Microsoft YaHei"/>
          <w:color w:val="1F4D78"/>
          <w:sz w:val="21"/>
        </w:rPr>
        <w:t>python3</w:t>
      </w:r>
      <w:r>
        <w:rPr>
          <w:rFonts w:ascii="Calibri" w:hAnsi="Calibri" w:eastAsia="Microsoft YaHei"/>
        </w:rPr>
        <w:t xml:space="preserve"> 改为 </w:t>
      </w:r>
      <w:r>
        <w:rPr>
          <w:rFonts w:ascii="Consolas" w:hAnsi="Consolas" w:eastAsia="Microsoft YaHei"/>
          <w:color w:val="1F4D78"/>
          <w:sz w:val="21"/>
        </w:rPr>
        <w:t>python</w:t>
      </w:r>
      <w:r>
        <w:rPr>
          <w:rFonts w:ascii="Calibri" w:hAnsi="Calibri" w:eastAsia="Microsoft YaHei"/>
        </w:rPr>
        <w:t xml:space="preserve">；所有正式统计命令都显式使用 </w:t>
      </w:r>
      <w:r>
        <w:rPr>
          <w:rFonts w:ascii="Consolas" w:hAnsi="Consolas" w:eastAsia="Microsoft YaHei"/>
          <w:color w:val="1F4D78"/>
          <w:sz w:val="21"/>
        </w:rPr>
        <w:t>--waiting-region-length 600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主要输出：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data/route/balanced_experiment_profiles.csv</w:t>
      </w:r>
      <w:r>
        <w:rPr>
          <w:rFonts w:ascii="Calibri" w:hAnsi="Calibri" w:eastAsia="Microsoft YaHei"/>
        </w:rPr>
        <w:t>：需求曲线、车辆数和种子。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data/traci/TraCI_green_rounds_comparison_balanced.csv</w:t>
      </w:r>
      <w:r>
        <w:rPr>
          <w:rFonts w:ascii="Calibri" w:hAnsi="Calibri" w:eastAsia="Microsoft YaHei"/>
        </w:rPr>
        <w:t>：三组核心指标汇总。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data/traci/TraCI_vehicle_green_rounds_&lt;scenario&gt;.csv</w:t>
      </w:r>
      <w:r>
        <w:rPr>
          <w:rFonts w:ascii="Calibri" w:hAnsi="Calibri" w:eastAsia="Microsoft YaHei"/>
        </w:rPr>
        <w:t>：逐车路径累计统计。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data/traci/TraCI_vehicle_movement_green_rounds_&lt;scenario&gt;.csv</w:t>
      </w:r>
      <w:r>
        <w:rPr>
          <w:rFonts w:ascii="Calibri" w:hAnsi="Calibri" w:eastAsia="Microsoft YaHei"/>
        </w:rPr>
        <w:t>：逐 movement 轨迹统计。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data/traci/TraCI_green_rounds_distribution_&lt;scenario&gt;.csv</w:t>
      </w:r>
      <w:r>
        <w:rPr>
          <w:rFonts w:ascii="Calibri" w:hAnsi="Calibri" w:eastAsia="Microsoft YaHei"/>
        </w:rPr>
        <w:t>：完整分布。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data/traci/TraCI_green_rounds_summary_&lt;scenario&gt;.txt</w:t>
      </w:r>
      <w:r>
        <w:rPr>
          <w:rFonts w:ascii="Calibri" w:hAnsi="Calibri" w:eastAsia="Microsoft YaHei"/>
        </w:rPr>
        <w:t>：文本摘要。</w:t>
      </w:r>
    </w:p>
    <w:p>
      <w:pPr>
        <w:pStyle w:val="Heading1"/>
      </w:pPr>
      <w:r>
        <w:rPr>
          <w:rFonts w:ascii="Calibri" w:hAnsi="Calibri" w:eastAsia="Microsoft YaHei"/>
        </w:rPr>
        <w:t>12. 验证记录与后续建议</w:t>
      </w:r>
    </w:p>
    <w:p>
      <w:r>
        <w:rPr>
          <w:rFonts w:ascii="Calibri" w:hAnsi="Calibri" w:eastAsia="Microsoft YaHei"/>
        </w:rPr>
        <w:t>完成的工程检查包括：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19 个 </w:t>
      </w:r>
      <w:r>
        <w:rPr>
          <w:rFonts w:ascii="Consolas" w:hAnsi="Consolas" w:eastAsia="Microsoft YaHei"/>
          <w:color w:val="1F4D78"/>
          <w:sz w:val="21"/>
        </w:rPr>
        <w:t>data/sumocfg/*.sumocfg</w:t>
      </w:r>
      <w:r>
        <w:rPr>
          <w:rFonts w:ascii="Calibri" w:hAnsi="Calibri" w:eastAsia="Microsoft YaHei"/>
        </w:rPr>
        <w:t xml:space="preserve"> 均通过 SUMO </w:t>
      </w:r>
      <w:r>
        <w:rPr>
          <w:rFonts w:ascii="Consolas" w:hAnsi="Consolas" w:eastAsia="Microsoft YaHei"/>
          <w:color w:val="1F4D78"/>
          <w:sz w:val="21"/>
        </w:rPr>
        <w:t>--end 0</w:t>
      </w:r>
      <w:r>
        <w:rPr>
          <w:rFonts w:ascii="Calibri" w:hAnsi="Calibri" w:eastAsia="Microsoft YaHei"/>
        </w:rPr>
        <w:t xml:space="preserve"> 加载检查。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三个最终场景均进行完整 SUMO 与 TraCI 重跑，车辆数与 route 文件一致，teleport 为 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生成器在 Windows 跨盘路径上测试并修正相对路径处理；生成后的配置可由 SUMO 加载。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5 个 command 文件完成静态路径检查，未发现失效的仓库内路径。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统计脚本通过语法、</w:t>
      </w:r>
      <w:r>
        <w:rPr>
          <w:rFonts w:ascii="Consolas" w:hAnsi="Consolas" w:eastAsia="Microsoft YaHei"/>
          <w:color w:val="1F4D78"/>
          <w:sz w:val="21"/>
        </w:rPr>
        <w:t>--help</w:t>
      </w:r>
      <w:r>
        <w:rPr>
          <w:rFonts w:ascii="Calibri" w:hAnsi="Calibri" w:eastAsia="Microsoft YaHei"/>
        </w:rPr>
        <w:t xml:space="preserve"> 和合成场景检查。</w:t>
      </w:r>
    </w:p>
    <w:p>
      <w:r>
        <w:rPr>
          <w:rFonts w:ascii="Calibri" w:hAnsi="Calibri" w:eastAsia="Microsoft YaHei"/>
        </w:rPr>
        <w:t>后续模型评估建议同时报告：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 xml:space="preserve">全体车辆 MAE，以及按 </w:t>
      </w:r>
      <w:r>
        <w:rPr>
          <w:rFonts w:ascii="Consolas" w:hAnsi="Consolas" w:eastAsia="Microsoft YaHei"/>
          <w:color w:val="1F4D78"/>
          <w:sz w:val="21"/>
        </w:rPr>
        <w:t>missed_green_rounds = 0/1/2/3+</w:t>
      </w:r>
      <w:r>
        <w:rPr>
          <w:rFonts w:ascii="Calibri" w:hAnsi="Calibri" w:eastAsia="Microsoft YaHei"/>
        </w:rPr>
        <w:t xml:space="preserve"> 分组的 MAE。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按 movement 热点分组的偏差，特别关注上表前四个 movement。</w:t>
      </w:r>
    </w:p>
    <w:p>
      <w:pPr>
        <w:numPr>
          <w:ilvl w:val="0"/>
          <w:numId w:val="11"/>
        </w:numPr>
      </w:pPr>
      <w:r>
        <w:rPr>
          <w:rFonts w:ascii="Consolas" w:hAnsi="Consolas" w:eastAsia="Microsoft YaHei"/>
          <w:color w:val="1F4D78"/>
          <w:sz w:val="21"/>
        </w:rPr>
        <w:t>max_missed_green_rounds_at_movement</w:t>
      </w:r>
      <w:r>
        <w:rPr>
          <w:rFonts w:ascii="Calibri" w:hAnsi="Calibri" w:eastAsia="Microsoft YaHei"/>
        </w:rPr>
        <w:t>，避免把沿途多个路口各等一轮误判成单点饥饿。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逐车 SUMO 与 speed-net 的道路行驶、排队、信号错过轨迹，用于定位尾部误差来自行驶时间模型还是下游空间竞争。</w:t>
      </w:r>
    </w:p>
    <w:p>
      <w:r>
        <w:rPr>
          <w:rFonts w:ascii="Calibri" w:hAnsi="Calibri" w:eastAsia="Microsoft YaHei"/>
        </w:rPr>
        <w:t xml:space="preserve">本报告中的完整探测表另存为 </w:t>
      </w:r>
      <w:r>
        <w:rPr>
          <w:rFonts w:ascii="Consolas" w:hAnsi="Consolas" w:eastAsia="Microsoft YaHei"/>
          <w:color w:val="1F4D78"/>
          <w:sz w:val="21"/>
        </w:rPr>
        <w:t>docs/balanced_multiround_probe_results.csv</w:t>
      </w:r>
      <w:r>
        <w:rPr>
          <w:rFonts w:ascii="Calibri" w:hAnsi="Calibri" w:eastAsia="Microsoft YaHei"/>
        </w:rPr>
        <w:t>，便于后续筛选和画图。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实验过程报告   ·  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B6573"/>
        <w:sz w:val="17"/>
      </w:rPr>
      <w:t>ROADNET SIMULATION  /  多轮信号等待实验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Microsoft YaHei"/>
      <w:b w:val="0"/>
      <w:color w:val="5B6573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Microsoft YaHei"/>
      <w:b w:val="0"/>
      <w:color w:val="5B657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平衡多轮信号等待数据集：生成与验证过程报告</dc:title>
  <dc:subject>roadnet-simulation 平衡实验数据生成、筛选与验证</dc:subject>
  <dc:creator>roadnet-simulation project</dc:creator>
  <cp:keywords>SUMO, TraCI, missed green rounds, congestion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