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100"/>
        <w:jc w:val="center"/>
      </w:pPr>
      <w:r>
        <w:rPr>
          <w:b/>
          <w:bCs/>
          <w:color w:val="1F4E79"/>
          <w:sz w:val="28"/>
          <w:szCs w:val="28"/>
        </w:rPr>
        <w:t xml:space="preserve">DentalOperix</w:t>
      </w:r>
    </w:p>
    <w:p>
      <w:pPr>
        <w:spacing w:after="400"/>
        <w:jc w:val="center"/>
      </w:pPr>
      <w:r>
        <w:rPr>
          <w:b/>
          <w:bCs/>
          <w:color w:val="1F4E79"/>
          <w:sz w:val="44"/>
          <w:szCs w:val="44"/>
        </w:rPr>
        <w:t xml:space="preserve">Architecture Review Summary</w:t>
      </w:r>
    </w:p>
    <w:p>
      <w:pPr>
        <w:spacing w:after="600"/>
        <w:jc w:val="center"/>
      </w:pPr>
      <w:r>
        <w:rPr>
          <w:color w:val="333333"/>
          <w:sz w:val="30"/>
          <w:szCs w:val="30"/>
        </w:rPr>
        <w:t xml:space="preserve">Front Desk Workspace (Assistant Dashboard)</w:t>
      </w:r>
    </w:p>
    <w:p>
      <w:pPr>
        <w:spacing w:after="120"/>
        <w:jc w:val="center"/>
      </w:pPr>
      <w:r>
        <w:rPr>
          <w:sz w:val="24"/>
          <w:szCs w:val="24"/>
        </w:rPr>
        <w:t xml:space="preserve">Document ID: ARCHITECTURE-REVIEW-SUMMARY-61.2-V1.0</w:t>
      </w:r>
    </w:p>
    <w:p>
      <w:pPr>
        <w:spacing w:after="120"/>
        <w:jc w:val="center"/>
      </w:pPr>
      <w:r>
        <w:rPr>
          <w:sz w:val="22"/>
          <w:szCs w:val="22"/>
        </w:rPr>
        <w:t xml:space="preserve">Iteration: 61.2 — Assistant Dashboard</w:t>
      </w:r>
    </w:p>
    <w:p>
      <w:pPr>
        <w:spacing w:after="120"/>
        <w:jc w:val="center"/>
      </w:pPr>
      <w:r>
        <w:rPr>
          <w:sz w:val="22"/>
          <w:szCs w:val="22"/>
        </w:rPr>
        <w:t xml:space="preserve">Author role: Product Analyst / Functional Designer</w:t>
      </w:r>
    </w:p>
    <w:p>
      <w:pPr>
        <w:spacing w:after="60"/>
        <w:jc w:val="center"/>
      </w:pPr>
      <w:r>
        <w:rPr>
          <w:b/>
          <w:bCs/>
          <w:sz w:val="22"/>
          <w:szCs w:val="22"/>
        </w:rPr>
        <w:t xml:space="preserve">Consolidates exclusively:</w:t>
      </w:r>
    </w:p>
    <w:p>
      <w:pPr>
        <w:spacing w:after="40"/>
        <w:jc w:val="center"/>
      </w:pPr>
      <w:r>
        <w:rPr>
          <w:i/>
          <w:iCs/>
          <w:sz w:val="22"/>
          <w:szCs w:val="22"/>
        </w:rPr>
        <w:t xml:space="preserve">RBAC-MATRIX-V1.1</w:t>
      </w:r>
    </w:p>
    <w:p>
      <w:pPr>
        <w:spacing w:after="40"/>
        <w:jc w:val="center"/>
      </w:pPr>
      <w:r>
        <w:rPr>
          <w:i/>
          <w:iCs/>
          <w:sz w:val="22"/>
          <w:szCs w:val="22"/>
        </w:rPr>
        <w:t xml:space="preserve">UX-SPEC-61.2-V1.0</w:t>
      </w:r>
    </w:p>
    <w:p>
      <w:pPr>
        <w:spacing w:after="40"/>
        <w:jc w:val="center"/>
      </w:pPr>
      <w:r>
        <w:rPr>
          <w:i/>
          <w:iCs/>
          <w:sz w:val="22"/>
          <w:szCs w:val="22"/>
        </w:rPr>
        <w:t xml:space="preserve">USER-STORIES-61.2-V1.0</w:t>
      </w:r>
    </w:p>
    <w:p>
      <w:pPr>
        <w:spacing w:after="500"/>
        <w:jc w:val="center"/>
      </w:pPr>
      <w:r>
        <w:rPr>
          <w:i/>
          <w:iCs/>
          <w:sz w:val="22"/>
          <w:szCs w:val="22"/>
        </w:rPr>
        <w:t xml:space="preserve">BUSINESS-RULES-61.2-V1.0</w:t>
      </w:r>
    </w:p>
    <w:p>
      <w:pPr>
        <w:spacing w:after="80"/>
        <w:jc w:val="center"/>
      </w:pPr>
      <w:r>
        <w:rPr>
          <w:b/>
          <w:bCs/>
          <w:sz w:val="22"/>
          <w:szCs w:val="22"/>
        </w:rPr>
        <w:t xml:space="preserve">Permanent constraint honored throughout this document:</w:t>
      </w:r>
    </w:p>
    <w:p>
      <w:pPr>
        <w:spacing w:after="500"/>
        <w:jc w:val="center"/>
      </w:pPr>
      <w:r>
        <w:rPr>
          <w:b/>
          <w:bCs/>
          <w:color w:val="C00000"/>
          <w:sz w:val="26"/>
          <w:szCs w:val="26"/>
        </w:rPr>
        <w:t xml:space="preserve">Leads = Source of Truth</w:t>
      </w:r>
    </w:p>
    <w:p>
      <w:pPr>
        <w:spacing w:after="80"/>
        <w:jc w:val="center"/>
      </w:pPr>
      <w:r>
        <w:rPr>
          <w:b/>
          <w:bCs/>
          <w:color w:val="333333"/>
          <w:sz w:val="22"/>
          <w:szCs w:val="22"/>
        </w:rPr>
        <w:t xml:space="preserve">RESULT</w:t>
      </w:r>
    </w:p>
    <w:p>
      <w:pPr>
        <w:spacing w:after="800"/>
        <w:jc w:val="center"/>
      </w:pPr>
      <w:r>
        <w:rPr>
          <w:b/>
          <w:bCs/>
          <w:color w:val="1E7B34"/>
          <w:sz w:val="30"/>
          <w:szCs w:val="30"/>
        </w:rPr>
        <w:t xml:space="preserve">READY FOR ARCHITECTURE REVIEW</w:t>
      </w:r>
    </w:p>
    <w:p>
      <w:r>
        <w:br w:type="page"/>
      </w:r>
    </w:p>
    <w:p>
      <w:pPr>
        <w:pStyle w:val="Heading1"/>
      </w:pPr>
      <w:r>
        <w:t xml:space="preserve">0. Scope Statement</w:t>
      </w:r>
    </w:p>
    <w:p>
      <w:pPr>
        <w:spacing w:after="160"/>
      </w:pPr>
      <w:r>
        <w:t xml:space="preserve">This document consolidates four existing, already-approved-for-review artifacts into a single package for Architecture Review of Iteration 61.2 — Front Desk Workspace. It is a synthesis document only.</w:t>
      </w:r>
    </w:p>
    <w:p>
      <w:pPr>
        <w:spacing w:after="160"/>
      </w:pPr>
      <w:r>
        <w:t xml:space="preserve">Source artifacts (no other source is used):</w:t>
      </w:r>
    </w:p>
    <w:p>
      <w:pPr>
        <w:pStyle w:val="ListParagraph"/>
        <w:numPr>
          <w:ilvl w:val="0"/>
          <w:numId w:val="2"/>
        </w:numPr>
        <w:spacing w:after="80"/>
      </w:pPr>
      <w:r>
        <w:t xml:space="preserve">RBAC-MATRIX-V1.1 — authorization source.</w:t>
      </w:r>
    </w:p>
    <w:p>
      <w:pPr>
        <w:pStyle w:val="ListParagraph"/>
        <w:numPr>
          <w:ilvl w:val="0"/>
          <w:numId w:val="2"/>
        </w:numPr>
        <w:spacing w:after="80"/>
      </w:pPr>
      <w:r>
        <w:t xml:space="preserve">UX-SPEC-61.2-V1.0 — functional/UX source.</w:t>
      </w:r>
    </w:p>
    <w:p>
      <w:pPr>
        <w:pStyle w:val="ListParagraph"/>
        <w:numPr>
          <w:ilvl w:val="0"/>
          <w:numId w:val="2"/>
        </w:numPr>
        <w:spacing w:after="80"/>
      </w:pPr>
      <w:r>
        <w:t xml:space="preserve">USER-STORIES-61.2-V1.0 — behavioral source.</w:t>
      </w:r>
    </w:p>
    <w:p>
      <w:pPr>
        <w:pStyle w:val="ListParagraph"/>
        <w:numPr>
          <w:ilvl w:val="0"/>
          <w:numId w:val="2"/>
        </w:numPr>
        <w:spacing w:after="80"/>
      </w:pPr>
      <w:r>
        <w:t xml:space="preserve">BUSINESS-RULES-61.2-V1.0 — domain-behavior source.</w:t>
      </w:r>
    </w:p>
    <w:p>
      <w:pPr>
        <w:spacing w:after="160"/>
      </w:pPr>
      <w:r>
        <w:t xml:space="preserve">This document does not:</w:t>
      </w:r>
    </w:p>
    <w:p>
      <w:pPr>
        <w:pStyle w:val="ListParagraph"/>
        <w:numPr>
          <w:ilvl w:val="0"/>
          <w:numId w:val="2"/>
        </w:numPr>
        <w:spacing w:after="80"/>
      </w:pPr>
      <w:r>
        <w:t xml:space="preserve">Introduce any new requirement, goal, user story, acceptance criterion, or business rule beyond what already exists in the four source artifacts.</w:t>
      </w:r>
    </w:p>
    <w:p>
      <w:pPr>
        <w:pStyle w:val="ListParagraph"/>
        <w:numPr>
          <w:ilvl w:val="0"/>
          <w:numId w:val="2"/>
        </w:numPr>
        <w:spacing w:after="80"/>
      </w:pPr>
      <w:r>
        <w:t xml:space="preserve">Introduce any new permission or modify any permission already defined in RBAC-MATRIX-V1.1.</w:t>
      </w:r>
    </w:p>
    <w:p>
      <w:pPr>
        <w:pStyle w:val="ListParagraph"/>
        <w:numPr>
          <w:ilvl w:val="0"/>
          <w:numId w:val="2"/>
        </w:numPr>
        <w:spacing w:after="80"/>
      </w:pPr>
      <w:r>
        <w:t xml:space="preserve">Resolve any Open Item already registered in the source artifacts.</w:t>
      </w:r>
    </w:p>
    <w:p>
      <w:pPr>
        <w:pStyle w:val="ListParagraph"/>
        <w:numPr>
          <w:ilvl w:val="0"/>
          <w:numId w:val="2"/>
        </w:numPr>
        <w:spacing w:after="80"/>
      </w:pPr>
      <w:r>
        <w:t xml:space="preserve">Modify, reinterpret, or extend the certified architecture (LeadPersistencePort -&gt; LeadPersistenceProvider -&gt; RelationalLeadPersistenceAdapter -&gt; Supabase PostgreSQL).</w:t>
      </w:r>
    </w:p>
    <w:p>
      <w:pPr>
        <w:pStyle w:val="ListParagraph"/>
        <w:numPr>
          <w:ilvl w:val="0"/>
          <w:numId w:val="2"/>
        </w:numPr>
        <w:spacing w:after="80"/>
      </w:pPr>
      <w:r>
        <w:t xml:space="preserve">Modify the Leads = Source of Truth rule.</w:t>
      </w:r>
    </w:p>
    <w:p>
      <w:pPr>
        <w:pStyle w:val="ListParagraph"/>
        <w:numPr>
          <w:ilvl w:val="0"/>
          <w:numId w:val="2"/>
        </w:numPr>
        <w:spacing w:after="80"/>
      </w:pPr>
      <w:r>
        <w:t xml:space="preserve">Contain any code.</w:t>
      </w:r>
    </w:p>
    <w:p>
      <w:pPr>
        <w:pBdr>
          <w:left w:val="single" w:color="1F4E79" w:sz="12" w:space="8"/>
        </w:pBdr>
        <w:spacing w:after="200" w:before="80"/>
      </w:pPr>
      <w:r>
        <w:rPr>
          <w:i/>
          <w:iCs/>
          <w:color w:val="444444"/>
          <w:sz w:val="20"/>
          <w:szCs w:val="20"/>
        </w:rPr>
        <w:t xml:space="preserve">Every statement in this document is traceable to one or more of the four source artifacts. Where this document expresses a judgment (e.g., in the Risk Assessment or Readiness Assessment), that judgment is clearly distinguished from the source material it is based on, and does not alter the source material itself.</w:t>
      </w:r>
    </w:p>
    <w:p>
      <w:r>
        <w:br w:type="page"/>
      </w:r>
    </w:p>
    <w:p>
      <w:pPr>
        <w:pStyle w:val="Heading1"/>
      </w:pPr>
      <w:r>
        <w:t xml:space="preserve">1. Executive Summary</w:t>
      </w:r>
    </w:p>
    <w:p>
      <w:pPr>
        <w:spacing w:after="160"/>
      </w:pPr>
      <w:r>
        <w:t xml:space="preserve">Iteration 61.2 defines the Front Desk Workspace, the dashboard surface for the Assistant role established in RBAC-MATRIX-V1.1. The functional design package is complete across all four required artifact types: authorization (RBAC), functional/UX specification, formal user stories, and domain business rules.</w:t>
      </w:r>
    </w:p>
    <w:p>
      <w:pPr>
        <w:spacing w:after="160"/>
      </w:pPr>
      <w:r>
        <w:t xml:space="preserve">The package serves a single RBAC role (Assistant), with two usage patterns described within that role (Front Desk Assistant and Lead Front Desk Assistant / Shift Lead) — no new role or permission tier is introduced anywhere in the package.</w:t>
      </w:r>
    </w:p>
    <w:p>
      <w:pPr>
        <w:spacing w:after="160"/>
      </w:pPr>
      <w:r>
        <w:t xml:space="preserve">All four artifacts maintain a closed traceability chain: every User Goal (G-01 to G-08) maps to at least one User Story; every User Story maps to at least one Acceptance Criterion; every Acceptance Criterion maps to at least one Business Rule where domain behavior is involved; and every action surfaced in the workspace maps to a permission already authorized in RBAC-MATRIX-V1.1. No orphaned requirement was identified during this consolidation.</w:t>
      </w:r>
    </w:p>
    <w:p>
      <w:pPr>
        <w:spacing w:after="160"/>
      </w:pPr>
      <w:r>
        <w:t xml:space="preserve">The package consistently treats Leads as Source of Truth and never proposes a persistence change, a Dual Write pattern, or an alternate data path. Six items are carried forward, unresolved, as Open Architecture Questions (Section 7) — this is consistent with prior governance (RBAC-MATRIX-V1.1 Section 10) and is not a defect of this package.</w:t>
      </w:r>
    </w:p>
    <w:p>
      <w:pPr>
        <w:spacing w:after="160"/>
      </w:pPr>
      <w:r>
        <w:t xml:space="preserve">Based on this consolidation, the package is assessed as internally consistent, fully traceable, and free of new architectural proposals. The Final Recommendation (Section 10) is READY FOR ARCHITECTURE REVIEW.</w:t>
      </w:r>
    </w:p>
    <w:p>
      <w:r>
        <w:br w:type="page"/>
      </w:r>
    </w:p>
    <w:p>
      <w:pPr>
        <w:pStyle w:val="Heading1"/>
      </w:pPr>
      <w:r>
        <w:t xml:space="preserve">2. Artifact Inventory</w:t>
      </w:r>
    </w:p>
    <w:p>
      <w:pPr>
        <w:spacing w:after="160"/>
      </w:pPr>
      <w:r>
        <w:t xml:space="preserve">The four artifacts below constitute the complete functional design package for Iteration 61.2. No artifact outside this list was used as a source for this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400"/>
        <w:gridCol w:w="29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Artifact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Key contents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RBAC-MATRIX-V1.1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Revised — Architecture Review feedback incorporated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4 roles; granular Leads permissions (lead.status.update, lead.notes.update, lead.owner.reassign); Appointment permissions with deletion prohibited; User lifecycle permissions; 8 BR-RBAC rules; 4 Open Architecture Questions.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UX-SPEC-61.2-V1.0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 / 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Draft — Ready for Architecture Review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2 personas; 8 user goals (G-01 to G-08); information architecture; navigation model; 7 user flows; 5 dashboard sections; 5 widget definitions; 14 acceptance criteria (AC-61.2-001 to 014); responsive behavior; accessibility requirements; 5 open items.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USER-STORIES-61.2-V1.0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Behavioral / Formal stories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for Architecture Review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12 user stories (US-61.2-01 to 12), each with the 11 required fields, fully mapped to goals, acceptance criteria, and RBAC permissions; document-wide open items repeated unchanged.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BUSINESS-RULES-61.2-V1.0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Domain business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Ready for Architecture Review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12 business rules (BR-61.2-001 to 012), each with the 11 required fields; explicit non-duplication mapping to the 8 BR-RBAC rules; document-wide open items repeated unchanged.</w:t>
            </w:r>
          </w:p>
        </w:tc>
      </w:tr>
    </w:tbl>
    <w:p>
      <w:r>
        <w:br w:type="page"/>
      </w:r>
    </w:p>
    <w:p>
      <w:pPr>
        <w:pStyle w:val="Heading1"/>
      </w:pPr>
      <w:r>
        <w:t xml:space="preserve">3. Traceability Matrix</w:t>
      </w:r>
    </w:p>
    <w:p>
      <w:pPr>
        <w:spacing w:after="160"/>
      </w:pPr>
      <w:r>
        <w:t xml:space="preserve">This matrix consolidates the per-artifact traceability tables already present in UX-SPEC-61.2-V1.0, USER-STORIES-61.2-V1.0, and BUSINESS-RULES-61.2-V1.0 into a single Goal-centric view. No mapping below is new; each row is a join of mappings already stated in the source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2360"/>
        <w:gridCol w:w="2100"/>
      </w:tblGrid>
      <w:t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Goal</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User Story</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Acceptance Criteria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Business Rule(s)</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RBAC Permission(s)</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US-61.2-01, US-61.2-02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AC-61.2-001, 002, 003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BR-61.2-011, BR-61.2-012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appointment.read; dashboard routing (RBAC-MATRIX-V1.1 Sec.7)</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lead.read</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US-61.2-04, US-61.2-05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AC-61.2-005, 006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lead.status.update; lead.notes.update</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US-61.2-06, US-61.2-07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AC-61.2-007, 008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BR-61.2-003, BR-61.2-004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appointment.create; appointment.update</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AC-61.2-008, 009, 010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BR-61.2-004, BR-61.2-005, BR-61.2-006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appointment.cancel; appointment.delete (Deny, BR-RBAC-007)</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Notification send/resend (preliminary RBAC summary)</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lead.read; appointment.read</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G-08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AC-61.2-004, 008, 013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Cross-cutting — all Administrator-only/denied permissions</w:t>
            </w:r>
          </w:p>
        </w:tc>
      </w:tr>
      <w:tr>
        <w:tc>
          <w:tcPr>
            <w:tcW w:type="dxa" w:w="11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(navigation)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lead.read; appointment.read</w:t>
            </w:r>
          </w:p>
        </w:tc>
      </w:tr>
    </w:tbl>
    <w:p>
      <w:pPr>
        <w:pBdr>
          <w:left w:val="single" w:color="B26B00" w:sz="12" w:space="8"/>
        </w:pBdr>
        <w:spacing w:after="200" w:before="80"/>
      </w:pPr>
      <w:r>
        <w:rPr>
          <w:i/>
          <w:iCs/>
          <w:color w:val="444444"/>
          <w:sz w:val="20"/>
          <w:szCs w:val="20"/>
        </w:rPr>
        <w:t xml:space="preserve">Coverage check: all 8 User Goals (G-01–G-08), all 12 User Stories (US-61.2-01–12), all 14 Acceptance Criteria (AC-61.2-001–014), and all 12 Business Rules (BR-61.2-001–012) appear in this matrix or its source tables. No orphaned identifier was found in any of the four source artifacts during this consolidation.</w:t>
      </w:r>
    </w:p>
    <w:p>
      <w:r>
        <w:br w:type="page"/>
      </w:r>
    </w:p>
    <w:p>
      <w:pPr>
        <w:pStyle w:val="Heading1"/>
      </w:pPr>
      <w:r>
        <w:t xml:space="preserve">4. Certified Architecture Compatibility Review</w:t>
      </w:r>
    </w:p>
    <w:p>
      <w:pPr>
        <w:spacing w:after="160"/>
      </w:pPr>
      <w:r>
        <w:t xml:space="preserve">This section checks the package against each named element of the certified architecture. The check is a compatibility read of existing content — it does not add, remove, or reinterpret any architectural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Certified architecture element</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Compatibility finding</w:t>
            </w:r>
          </w:p>
        </w:tc>
      </w:tr>
      <w:tr>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LeadPersistencePort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 referenced, touched, or implied by any artifact. All Leads-related permissions and rules (RBAC-MATRIX-V1.1 Section 4; BR-61.2-001, BR-61.2-002) operate strictly at the application layer, through the existing certified flow.</w:t>
            </w:r>
          </w:p>
        </w:tc>
      </w:tr>
      <w:tr>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LeadPersistenceProvider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 referenced, touched, or implied by any artifact.</w:t>
            </w:r>
          </w:p>
        </w:tc>
      </w:tr>
      <w:tr>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RelationalLeadPersistenceAdapter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 referenced, touched, or implied by any artifact.</w:t>
            </w:r>
          </w:p>
        </w:tc>
      </w:tr>
      <w:tr>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Supabase PostgreSQL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 referenced, touched, or implied by any artifact. No schema, table, or query is proposed anywhere in the package.</w:t>
            </w:r>
          </w:p>
        </w:tc>
      </w:tr>
      <w:tr>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Leads = Source of Truth</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Preserved throughout. No artifact proposes an alternate data source, a cache treated as authoritative, or a Dual Write pattern. Lead deletion remains prohibited for all roles (BR-RBAC-006, restated as a workspace-level rendering constraint in BR-61.2-004 for appointments and implicitly for leads via lead.delete = Deny).</w:t>
            </w:r>
          </w:p>
        </w:tc>
      </w:tr>
      <w:tr>
        <w:tc>
          <w:tcPr>
            <w:tcW w:type="dxa" w:w="33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Certified Leads creation flow (BookingDialog -&gt; processDentalLead -&gt; /api/leads/create)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Explicitly preserved as the exclusive lead-creation path. RBAC-MATRIX-V1.1 Section 4 (lead.create = Deny for all roles via this dashboard) and USER-STORIES-61.2-V1.0 (US-61.2-03 Out of Scope) both state this without exception.</w:t>
            </w:r>
          </w:p>
        </w:tc>
      </w:tr>
    </w:tbl>
    <w:p>
      <w:r>
        <w:br w:type="page"/>
      </w:r>
    </w:p>
    <w:p>
      <w:pPr>
        <w:pStyle w:val="Heading1"/>
      </w:pPr>
      <w:r>
        <w:t xml:space="preserve">5. Dependency Review</w:t>
      </w:r>
    </w:p>
    <w:p>
      <w:pPr>
        <w:spacing w:after="160"/>
      </w:pPr>
      <w:r>
        <w:t xml:space="preserve">This section checks that every cross-artifact dependency is actually satisfied by the cited source, and separately surfaces the dependencies that remain unresolved (without attempting to resolve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500"/>
        <w:gridCol w:w="3000"/>
      </w:tblGrid>
      <w:tr>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Dependency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Depends 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Status</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UX-SPEC-61.2-V1.0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(permissions, dashboard routing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Satisfied — every permission referenced in UX-SPEC-61.2-V1.0 exists in RBAC-MATRIX-V1.1; no permission was assumed or invented.</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USER-STORIES-61.2-V1.0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(goals, AC, flows, widgets)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Satisfied — all 12 stories reuse Goal IDs and AC IDs verbatim from UX-SPEC-61.2-V1.0; no new ID series was introduced for goals or AC.</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USER-STORIES-61.2-V1.0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(permissions)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Satisfied — RBAC Dependencies field in every story cites only existing permission names.</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BUSINESS-RULES-61.2-V1.0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USER-STORIES-61.2-V1.0 (stories, AC)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Satisfied — every rule's Related User Stories and Related Acceptance Criteria fields cite existing IDs only.</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BUSINESS-RULES-61.2-V1.0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(BR-RBAC series)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Satisfied — Section 1 of BUSINESS-RULES-61.2-V1.0 explicitly maps to, and avoids duplicating, the 8 BR-RBAC rules.</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Real-time / live-count behavior (BR-61.2-008; Shift Summary widget)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 update mechanism (polling, websockets, or otherwise) not yet defined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Unresolved dependency — explicitly carried forward as an Open Item (Section 7) in all relevant source artifacts. Not a new finding; restated here for visibility at the consolidated level.</w:t>
            </w:r>
          </w:p>
        </w:tc>
      </w:tr>
      <w:tr>
        <w:tc>
          <w:tcPr>
            <w:tcW w:type="dxa" w:w="28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Doctor-scoped Lead visibility referenced in RBAC-MATRIX-V1.1 (lead.read conditional for Doctor)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Doctor &lt;-&gt; Patient Assignment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Out of direct scope for 61.2 (Assistant has unconditional lead.read), but flagged because any future shared-view work building on this package would inherit this same unresolved dependency.</w:t>
            </w:r>
          </w:p>
        </w:tc>
      </w:tr>
    </w:tbl>
    <w:p>
      <w:r>
        <w:br w:type="page"/>
      </w:r>
    </w:p>
    <w:p>
      <w:pPr>
        <w:pStyle w:val="Heading1"/>
      </w:pPr>
      <w:r>
        <w:t xml:space="preserve">6. Architectural Risk Assessment</w:t>
      </w:r>
    </w:p>
    <w:p>
      <w:pPr>
        <w:spacing w:after="160"/>
      </w:pPr>
      <w:r>
        <w:t xml:space="preserve">Risks below are implementation-time risks that the package already mitigates through explicit rules or scope statements — not new architectural proposals. This section identifies where vigilance is warranted during implementation, without prescribing a technical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300"/>
        <w:gridCol w:w="2400"/>
        <w:gridCol w:w="3000"/>
      </w:tblGrid>
      <w:tr>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Likelihood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Impact if unmitigated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Mitigation already present in the package</w:t>
            </w:r>
          </w:p>
        </w:tc>
      </w:tr>
      <w:tr>
        <w:tc>
          <w:tcPr>
            <w:tcW w:type="dxa" w:w="2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A future implementation renders a disabled (rather than absent) control for an Administrator-only action.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Would violate BR-61.2-009 and AC-61.2-013, eroding the RBAC boundary at the UI layer even if backend enforcement holds.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BR-61.2-009 and US-61.2-11 both state the absence requirement explicitly and call it out as a structural, not cosmetic, constraint.</w:t>
            </w:r>
          </w:p>
        </w:tc>
      </w:tr>
      <w:tr>
        <w:tc>
          <w:tcPr>
            <w:tcW w:type="dxa" w:w="2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The live-count mechanism for Shift Summary (BR-61.2-008) is implemented in a way that silently drifts from underlying Lead/Appointment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Would make the Shift Summary actively misleading rather than merely incomplete, undermining the shift-handoff goal (G-07).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BR-61.2-008 requires counts to be derived from the same underlying data at view time and requires failed-load states to be shown as failed, not as zero. The technical mechanism itself remains an Open Item by design.</w:t>
            </w:r>
          </w:p>
        </w:tc>
      </w:tr>
      <w:tr>
        <w:tc>
          <w:tcPr>
            <w:tcW w:type="dxa" w:w="2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A future change to the Leads creation flow bypasses BookingDialog -&gt; processDentalLead -&gt; /api/leads/create.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Low (no artifact proposes this)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Would break the certified architecture and the Leads = Source of Truth guarantee.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(lead.create = Deny for all roles via this dashboard) and US-61.2-03 Out of Scope both reaffirm this path as exclusive; no artifact in this package offers an alternate creation path.</w:t>
            </w:r>
          </w:p>
        </w:tc>
      </w:tr>
      <w:tr>
        <w:tc>
          <w:tcPr>
            <w:tcW w:type="dxa" w:w="2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Appointment cancellation is implemented as a soft toggle that can be reverted in place, contradicting terminality.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Would contradict BR-61.2-006 and weaken the audit value of cancellation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BR-61.2-006 explicitly states cancellation is non-reversible in place and that rebooking requires a new appointment via the standard creation flow.</w:t>
            </w:r>
          </w:p>
        </w:tc>
      </w:tr>
      <w:tr>
        <w:tc>
          <w:tcPr>
            <w:tcW w:type="dxa" w:w="26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Scope creep: a future iteration reads this package as authorizing Patient Records access for Assistant.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Would violate RBAC-MATRIX-V1.1 Section 8 (Patient Records explicitly out of scope for 61.1, placeholder only for 61.3).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Neither UX-SPEC-61.2-V1.0 nor USER-STORIES-61.2-V1.0 nor BUSINESS-RULES-61.2-V1.0 reference Patient Records as an active permission; all four source artifacts consistently exclude it.</w:t>
            </w:r>
          </w:p>
        </w:tc>
      </w:tr>
    </w:tbl>
    <w:p>
      <w:r>
        <w:br w:type="page"/>
      </w:r>
    </w:p>
    <w:p>
      <w:pPr>
        <w:pStyle w:val="Heading1"/>
      </w:pPr>
      <w:r>
        <w:t xml:space="preserve">7. Open Items Registry</w:t>
      </w:r>
    </w:p>
    <w:p>
      <w:pPr>
        <w:spacing w:after="160"/>
      </w:pPr>
      <w:r>
        <w:t xml:space="preserve">This registry consolidates every Open Item already declared across the four source artifacts into one place, with full provenance. No item below is resolved, narrowed, or answered by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700"/>
        <w:gridCol w:w="3200"/>
        <w:gridCol w:w="2000"/>
      </w:tblGrid>
      <w:tr>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Open Item</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First registered in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Carried forward in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Status</w:t>
            </w:r>
          </w:p>
        </w:tc>
      </w:tr>
      <w:tr>
        <w:tc>
          <w:tcPr>
            <w:tcW w:type="dxa" w:w="24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Doctor &lt;-&gt; Patient Assignment Model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Section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Sec. 11; USER-STORIES-61.2-V1.0 Sec. 3; BUSINESS-RULES-61.2-V1.0 Sec.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Unresolved — not in scope for this consolidation</w:t>
            </w:r>
          </w:p>
        </w:tc>
      </w:tr>
      <w:tr>
        <w:tc>
          <w:tcPr>
            <w:tcW w:type="dxa" w:w="24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Lead &lt;-&gt; Patient Relationship Model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Section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Sec. 11; USER-STORIES-61.2-V1.0 Sec. 3; BUSINESS-RULES-61.2-V1.0 Sec.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Unresolved — not in scope for this consolidation</w:t>
            </w:r>
          </w:p>
        </w:tc>
      </w:tr>
      <w:tr>
        <w:tc>
          <w:tcPr>
            <w:tcW w:type="dxa" w:w="24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Retention / Soft Delete Policy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Section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Sec. 11; USER-STORIES-61.2-V1.0 Sec. 3; BUSINESS-RULES-61.2-V1.0 Sec.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Unresolved — not in scope for this consolidation</w:t>
            </w:r>
          </w:p>
        </w:tc>
      </w:tr>
      <w:tr>
        <w:tc>
          <w:tcPr>
            <w:tcW w:type="dxa" w:w="24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Role Assignment 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RBAC-MATRIX-V1.1 Section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Sec. 11; USER-STORIES-61.2-V1.0 Sec. 3; BUSINESS-RULES-61.2-V1.0 Sec.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Unresolved — not in scope for this consolidation</w:t>
            </w:r>
          </w:p>
        </w:tc>
      </w:tr>
      <w:tr>
        <w:tc>
          <w:tcPr>
            <w:tcW w:type="dxa" w:w="24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Real-time update mechanism (polling, websockets, or otherwise)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Section 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USER-STORIES-61.2-V1.0 Sec. 3; BUSINESS-RULES-61.2-V1.0 Sec. 4 (BR-61.2-008)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Unresolved — not in scope for this consolidation</w:t>
            </w:r>
          </w:p>
        </w:tc>
      </w:tr>
      <w:tr>
        <w:tc>
          <w:tcPr>
            <w:tcW w:type="dxa" w:w="24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Global search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UX-SPEC-61.2-V1.0 Section 4.1 and Section 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USER-STORIES-61.2-V1.0 Sec. 3; BUSINESS-RULES-61.2-V1.0 Sec.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Explicitly deferred — not in scope for this consolidation</w:t>
            </w:r>
          </w:p>
        </w:tc>
      </w:tr>
    </w:tbl>
    <w:p>
      <w:pPr>
        <w:pBdr>
          <w:left w:val="single" w:color="1F4E79" w:sz="12" w:space="8"/>
        </w:pBdr>
        <w:spacing w:after="200" w:before="80"/>
      </w:pPr>
      <w:r>
        <w:rPr>
          <w:i/>
          <w:iCs/>
          <w:color w:val="444444"/>
          <w:sz w:val="20"/>
          <w:szCs w:val="20"/>
        </w:rPr>
        <w:t xml:space="preserve">All six items remain the responsibility of Architecture Review. This consolidation does not propose resolution timing, ownership, or technical direction for any of them.</w:t>
      </w:r>
    </w:p>
    <w:p>
      <w:r>
        <w:br w:type="page"/>
      </w:r>
    </w:p>
    <w:p>
      <w:pPr>
        <w:pStyle w:val="Heading1"/>
      </w:pPr>
      <w:r>
        <w:t xml:space="preserve">8. Architecture Review Questions</w:t>
      </w:r>
    </w:p>
    <w:p>
      <w:pPr>
        <w:spacing w:after="160"/>
      </w:pPr>
      <w:r>
        <w:t xml:space="preserve">These are questions for Architecture Review to consider when evaluating this package. They are phrased as questions, not findings or proposals, and do not presuppose an answer.</w:t>
      </w:r>
    </w:p>
    <w:p>
      <w:pPr>
        <w:pStyle w:val="ListParagraph"/>
        <w:numPr>
          <w:ilvl w:val="0"/>
          <w:numId w:val="2"/>
        </w:numPr>
        <w:spacing w:after="80"/>
      </w:pPr>
      <w:r>
        <w:t xml:space="preserve">Does the absence-not-disabled rendering requirement (BR-61.2-009 / AC-61.2-013) align with how role-based rendering is currently implemented elsewhere in DentalOperix, or does it require a new pattern?</w:t>
      </w:r>
    </w:p>
    <w:p>
      <w:pPr>
        <w:pStyle w:val="ListParagraph"/>
        <w:numPr>
          <w:ilvl w:val="0"/>
          <w:numId w:val="2"/>
        </w:numPr>
        <w:spacing w:after="80"/>
      </w:pPr>
      <w:r>
        <w:t xml:space="preserve">Is there an existing mechanism in the certified architecture suitable for near-real-time widget updates (Today's Schedule, Lead Queue, Shift Summary), or does this remain fully open for Architecture to decide?</w:t>
      </w:r>
    </w:p>
    <w:p>
      <w:pPr>
        <w:pStyle w:val="ListParagraph"/>
        <w:numPr>
          <w:ilvl w:val="0"/>
          <w:numId w:val="2"/>
        </w:numPr>
        <w:spacing w:after="80"/>
      </w:pPr>
      <w:r>
        <w:t xml:space="preserve">Does the attribution requirement in BR-RBAC-005 (updated_by, updated_at), as relied upon by BR-61.2-002, already exist on the Leads model, or does it require confirmation that existing metadata fields are sufficient?</w:t>
      </w:r>
    </w:p>
    <w:p>
      <w:pPr>
        <w:pStyle w:val="ListParagraph"/>
        <w:numPr>
          <w:ilvl w:val="0"/>
          <w:numId w:val="2"/>
        </w:numPr>
        <w:spacing w:after="80"/>
      </w:pPr>
      <w:r>
        <w:t xml:space="preserve">Should the Doctor &lt;-&gt; Patient Assignment Model (Open Item, RBAC-MATRIX-V1.1 Section 10) be prioritized ahead of Iteration 61.3, given that future Patient Records permissions in RBAC-MATRIX-V1.1 Section 8 are placeholder-only pending that model?</w:t>
      </w:r>
    </w:p>
    <w:p>
      <w:pPr>
        <w:pStyle w:val="ListParagraph"/>
        <w:numPr>
          <w:ilvl w:val="0"/>
          <w:numId w:val="2"/>
        </w:numPr>
        <w:spacing w:after="80"/>
      </w:pPr>
      <w:r>
        <w:t xml:space="preserve">Is the Notifications permission area (referenced in this package only via the preliminary RBAC summary in RBAC-MATRIX-V1.1 Section 3) intended to receive the same granular-permission treatment that Leads received in V1.1, or is the current granularity sufficient for 61.2?</w:t>
      </w:r>
    </w:p>
    <w:p>
      <w:pPr>
        <w:pBdr>
          <w:left w:val="single" w:color="1F4E79" w:sz="12" w:space="8"/>
        </w:pBdr>
        <w:spacing w:after="200" w:before="80"/>
      </w:pPr>
      <w:r>
        <w:rPr>
          <w:i/>
          <w:iCs/>
          <w:color w:val="444444"/>
          <w:sz w:val="20"/>
          <w:szCs w:val="20"/>
        </w:rPr>
        <w:t xml:space="preserve">These questions are posed for Architecture Review's judgment. This document does not answer them and does not block readiness on them being answered (see Section 9).</w:t>
      </w:r>
    </w:p>
    <w:p>
      <w:r>
        <w:br w:type="page"/>
      </w:r>
    </w:p>
    <w:p>
      <w:pPr>
        <w:pStyle w:val="Heading1"/>
      </w:pPr>
      <w:r>
        <w:t xml:space="preserve">9. Readiness Assessment</w:t>
      </w:r>
    </w:p>
    <w:p>
      <w:pPr>
        <w:spacing w:after="160"/>
      </w:pPr>
      <w:r>
        <w:t xml:space="preserve">Each dimension below was checked against the four source artifacts only. A Pass means no defect was found during this consolidation; it does not certify correctness of implementation, which has not yet occurred.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Readiness dimension</w:t>
            </w:r>
          </w:p>
        </w:tc>
        <w:tc>
          <w:tcPr>
            <w:tcW w:type="dxa" w:w="6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Finding</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Internal consistency across artifacts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Pass — no contradiction found between RBAC-MATRIX-V1.1, UX-SPEC-61.2-V1.0, USER-STORIES-61.2-V1.0, and BUSINESS-RULES-61.2-V1.0 during this consolidation.</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Traceability completeness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Pass — every Goal, User Story, Acceptance Criterion, and Business Rule appears in the Traceability Matrix (Section 3) or its source tables; no orphaned identifier found.</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Permission boundary integrity</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Pass — no new permission introduced anywhere in the package; every cited permission exists verbatim in RBAC-MATRIX-V1.1; Administrator-only and universally-denied actions are consistently excluded from Assistant-facing surfaces.</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Certified architecture non-interference</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Pass — no artifact references, modifies, or proposes an alternative to LeadPersistencePort, LeadPersistenceProvider, RelationalLeadPersistenceAdapter, or Supabase PostgreSQL. Leads = Source of Truth is preserved throughout.</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Open Item discipline</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Pass — all Open Items are carried forward unchanged and unresolved; none were narrowed or implicitly answered by later artifacts.</w:t>
            </w:r>
          </w:p>
        </w:tc>
      </w:tr>
      <w:tr>
        <w:tc>
          <w:tcPr>
            <w:tcW w:type="dxa" w:w="296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Outstanding dependency on undefined mechanism</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Flagged, not blocking — the real-time update mechanism (Section 5, Section 7) is a known, explicitly-scoped-out dependency. It does not block functional design readiness; it is a question for Architecture Review to resolve as part of, or separately from, this review.</w:t>
            </w:r>
          </w:p>
        </w:tc>
      </w:tr>
    </w:tbl>
    <w:p>
      <w:r>
        <w:br w:type="page"/>
      </w:r>
    </w:p>
    <w:p>
      <w:pPr>
        <w:pStyle w:val="Heading1"/>
      </w:pPr>
      <w:r>
        <w:t xml:space="preserve">10. Final Recommendation</w:t>
      </w:r>
    </w:p>
    <w:p>
      <w:pPr>
        <w:spacing w:after="160"/>
      </w:pPr>
      <w:r>
        <w:t xml:space="preserve">Based on the Traceability Matrix (Section 3), Certified Architecture Compatibility Review (Section 4), Dependency Review (Section 5), Architectural Risk Assessment (Section 6), and Readiness Assessment (Section 9), this consolidated package is internally consistent, fully traceable across all four source artifacts, introduces no new permissions or requirements, and does not interfere with the certified architecture or with Leads as Source of Truth.</w:t>
      </w:r>
    </w:p>
    <w:p>
      <w:pPr>
        <w:spacing w:after="160"/>
      </w:pPr>
      <w:r>
        <w:t xml:space="preserve">The known outstanding dependency (real-time update mechanism) and the six carried-forward Open Items (Section 7) are pre-existing, already-scoped-out items — not new defects introduced by this consolidation. They do not, in this assessment, prevent the package from being reviewed; they are appropriately positioned as inputs for Architecture Review to consider or to explicitly defer further.</w:t>
      </w:r>
    </w:p>
    <w:p>
      <w:pPr>
        <w:spacing w:after="300" w:before="300"/>
        <w:jc w:val="center"/>
      </w:pPr>
      <w:r>
        <w:rPr>
          <w:b/>
          <w:bCs/>
          <w:color w:val="333333"/>
          <w:sz w:val="24"/>
          <w:szCs w:val="24"/>
        </w:rPr>
        <w:t xml:space="preserve">RESULT</w:t>
      </w:r>
    </w:p>
    <w:p>
      <w:pPr>
        <w:spacing w:after="400"/>
        <w:jc w:val="center"/>
      </w:pPr>
      <w:r>
        <w:rPr>
          <w:b/>
          <w:bCs/>
          <w:color w:val="1E7B34"/>
          <w:sz w:val="32"/>
          <w:szCs w:val="32"/>
        </w:rPr>
        <w:t xml:space="preserve">READY FOR ARCHITECTURE REVIEW</w:t>
      </w:r>
    </w:p>
    <w:p>
      <w:pPr>
        <w:spacing w:after="160"/>
      </w:pPr>
      <w:r>
        <w:t xml:space="preserve">This recommendation applies to the functional design package as a whole. It does not constitute Architecture Review approval, which remains a separate and subsequent step owned by Architecture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DentalOperix — ARCHITECTURE-REVIEW-SUMMARY-61.2-V1.0</w:t>
    </w:r>
    <w:r>
      <w:rPr>
        <w:color w:val="777777"/>
        <w:sz w:val="16"/>
        <w:szCs w:val="16"/>
      </w:rPr>
      <w:t xml:space="preserve">	Iteration 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2026-06-22T04:34:04.146Z</dcterms:created>
  <dcterms:modified xsi:type="dcterms:W3CDTF">2026-06-22T04:34:04.146Z</dcterms:modified>
</cp:coreProperties>
</file>

<file path=docProps/custom.xml><?xml version="1.0" encoding="utf-8"?>
<Properties xmlns="http://schemas.openxmlformats.org/officeDocument/2006/custom-properties" xmlns:vt="http://schemas.openxmlformats.org/officeDocument/2006/docPropsVTypes"/>
</file>