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0E28E3F9" w14:textId="77777777" w:rsidR="008069FF" w:rsidRDefault="00806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1670DD" w14:textId="053CF252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 Styles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5464B4B9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>
        <w:rPr>
          <w:sz w:val="22"/>
          <w:szCs w:val="22"/>
        </w:rPr>
        <w:t>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4C55D49D" w14:textId="0D540DC1" w:rsidR="001441C3" w:rsidRPr="00075900" w:rsidRDefault="001441C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Pr="00075900">
        <w:rPr>
          <w:sz w:val="28"/>
          <w:szCs w:val="28"/>
        </w:rPr>
        <w:t xml:space="preserve"> + </w:t>
      </w:r>
      <w:r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075900">
        <w:rPr>
          <w:sz w:val="28"/>
          <w:szCs w:val="28"/>
        </w:rPr>
        <w:t xml:space="preserve"> </w:t>
      </w:r>
      <w:r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[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1A1B9D80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“1”)</w:t>
      </w:r>
    </w:p>
    <w:p w14:paraId="1CCAC198" w14:textId="663FA462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4BEFB8E0" w:rsidR="000231D3" w:rsidRPr="000231D3" w:rsidRDefault="000231D3" w:rsidP="000231D3">
      <w:pPr>
        <w:rPr>
          <w:sz w:val="22"/>
          <w:szCs w:val="22"/>
        </w:rPr>
      </w:pPr>
      <w:r w:rsidRPr="000231D3">
        <w:rPr>
          <w:sz w:val="22"/>
          <w:szCs w:val="22"/>
        </w:rPr>
        <w:t>Available punctuation:</w:t>
      </w: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8273" w:type="dxa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E96E18" w:rsidRPr="00EC7B1E" w14:paraId="3B9F35AE" w14:textId="77777777" w:rsidTr="00E96E18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87766" w14:textId="710D35D2" w:rsidR="00E96E18" w:rsidRPr="00EC7B1E" w:rsidRDefault="00E96E18" w:rsidP="00EF603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44797246" w14:textId="6DCF373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221C8C4" w14:textId="5A4D319E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1FB8CE" w14:textId="5E75614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19A1F" w14:textId="5821A3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82553B" w14:textId="1D83B2BF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0C743A" w14:textId="0C6349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1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8D3ACF7" w14:textId="460A18B9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</w:t>
            </w:r>
          </w:p>
        </w:tc>
      </w:tr>
      <w:tr w:rsidR="00E96E18" w:rsidRPr="00EC7B1E" w14:paraId="48A50FC9" w14:textId="77777777" w:rsidTr="00E96E18">
        <w:tc>
          <w:tcPr>
            <w:tcW w:w="1008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CABCB0" w14:textId="527501B4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2DA" w14:textId="1C73D8E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23542C9" w14:textId="551186F9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4FFEB2" w14:textId="52FD28C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7EADF28" w14:textId="374E541A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880025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E65A0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D17E47A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7F937119" w14:textId="77777777" w:rsidTr="00E96E18">
        <w:tc>
          <w:tcPr>
            <w:tcW w:w="1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F4962" w14:textId="47CDC258" w:rsidR="00E96E18" w:rsidRPr="00C8588C" w:rsidRDefault="00E96E18" w:rsidP="00C8588C">
            <w:pPr>
              <w:jc w:val="center"/>
              <w:rPr>
                <w:rFonts w:ascii="Nyala" w:hAnsi="Nyala" w:cs="Nyala"/>
                <w:sz w:val="32"/>
                <w:szCs w:val="32"/>
                <w:lang w:val="am-ET"/>
              </w:rPr>
            </w:pPr>
            <w:r>
              <w:rPr>
                <w:rFonts w:ascii="Nyala" w:hAnsi="Nyala" w:cs="Nyala"/>
                <w:sz w:val="32"/>
                <w:szCs w:val="32"/>
                <w:lang w:val="am-ET"/>
              </w:rPr>
              <w:t>፣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4DF3E9E" w14:textId="0FE07832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22392" w14:textId="3D45A204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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1CCB484C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3E30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8237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5C76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E4AB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4536A9D9" w14:textId="77777777" w:rsidTr="00E96E18">
        <w:tc>
          <w:tcPr>
            <w:tcW w:w="1008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283CEF2C" w14:textId="77777777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AAC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3561F17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01B4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024314F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6287C82E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76A01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51F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589E293E" w14:textId="77777777" w:rsidTr="00E96E18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74E2D0DC" w:rsidR="00E96E18" w:rsidRPr="00EC7B1E" w:rsidRDefault="00E96E18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</w:tcBorders>
            <w:vAlign w:val="center"/>
          </w:tcPr>
          <w:p w14:paraId="7DCFFA53" w14:textId="6AC0297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1008" w:type="dxa"/>
            <w:tcBorders>
              <w:top w:val="single" w:sz="4" w:space="0" w:color="A5A5A5"/>
              <w:right w:val="single" w:sz="4" w:space="0" w:color="BFBFBF" w:themeColor="background1" w:themeShade="BF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23520638" w14:textId="687B4E6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CC55016" w14:textId="3DD67CB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3FD97E4E" w14:textId="77777777" w:rsidTr="00E96E18"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EDB8DB" w14:textId="2F23AA3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697AD58F" w14:textId="4963CC8F" w:rsidTr="00E96E18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1008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E96E18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1008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12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6D2DC1CD" w14:textId="77777777" w:rsidR="00C8588C" w:rsidRDefault="00C8588C" w:rsidP="000231D3">
      <w:pPr>
        <w:spacing w:after="240"/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156559" w:rsidRPr="00EC7B1E" w14:paraId="308B4AD3" w14:textId="77777777" w:rsidTr="00CF6E32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77B4C60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02DC3A8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6B7FA7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B11945A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C754611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0DE04D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8" w:type="dxa"/>
            <w:tcBorders>
              <w:top w:val="nil"/>
              <w:bottom w:val="nil"/>
              <w:right w:val="nil"/>
            </w:tcBorders>
            <w:vAlign w:val="center"/>
          </w:tcPr>
          <w:p w14:paraId="3162D9FE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DF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01CFE5B7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p w14:paraId="487CD260" w14:textId="77777777" w:rsidR="00AC48C5" w:rsidRDefault="00AC48C5" w:rsidP="00EC7B1E">
      <w:pPr>
        <w:rPr>
          <w:rFonts w:ascii="Nyala" w:hAnsi="Nyala" w:cs="Nyala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AC48C5" w:rsidRPr="00EC7B1E" w14:paraId="34EADCFD" w14:textId="77777777" w:rsidTr="00156559"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07BADAA7" w14:textId="77777777" w:rsidR="00AC48C5" w:rsidRPr="00591FF0" w:rsidRDefault="00AC48C5" w:rsidP="00AC48C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662FF1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3EE1586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608ED43" w14:textId="257D6465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7F83039F" w14:textId="1715CBE4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602ED442" w14:textId="7B00D456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91DE96" w14:textId="7C7328E8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1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A150EF0" w14:textId="24F11019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AC48C5" w:rsidRPr="00EC7B1E" w14:paraId="7A7D4363" w14:textId="77777777" w:rsidTr="00156559"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2C9A8C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1731AF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8143B90" w14:textId="37073BED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B3E00F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4B7F5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3FB33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6CBC64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82AEE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C33AA2A" w14:textId="77777777" w:rsidTr="00AC48C5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C118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8A8AD4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0D5F47" w14:textId="7C619400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E0D0DD1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01D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2C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33C3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CBFE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4620141" w14:textId="77777777" w:rsidTr="00AC48C5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6D6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574FFE2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D6D964" w14:textId="7926F3D7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775EB16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F79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05A3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0C24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975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54958A2B" w14:textId="77777777" w:rsidR="00156559" w:rsidRDefault="00156559" w:rsidP="00156559">
      <w:pPr>
        <w:rPr>
          <w:rFonts w:ascii="Nyala" w:hAnsi="Nyala" w:cs="Nyala"/>
        </w:rPr>
      </w:pPr>
    </w:p>
    <w:p w14:paraId="1FA30E03" w14:textId="77777777" w:rsidR="00663FD9" w:rsidRDefault="00663FD9" w:rsidP="00156559">
      <w:pPr>
        <w:rPr>
          <w:rFonts w:ascii="Nyala" w:hAnsi="Nyala" w:cs="Nyala"/>
        </w:rPr>
      </w:pPr>
    </w:p>
    <w:tbl>
      <w:tblPr>
        <w:tblStyle w:val="TableGrid"/>
        <w:tblW w:w="9266" w:type="dxa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759"/>
        <w:gridCol w:w="1001"/>
        <w:gridCol w:w="723"/>
        <w:gridCol w:w="1001"/>
        <w:gridCol w:w="718"/>
        <w:gridCol w:w="720"/>
        <w:gridCol w:w="717"/>
        <w:gridCol w:w="718"/>
        <w:gridCol w:w="719"/>
        <w:gridCol w:w="753"/>
        <w:gridCol w:w="719"/>
        <w:gridCol w:w="718"/>
      </w:tblGrid>
      <w:tr w:rsidR="00156559" w:rsidRPr="00EC7B1E" w14:paraId="310C264B" w14:textId="77777777" w:rsidTr="00156559">
        <w:tc>
          <w:tcPr>
            <w:tcW w:w="759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7E269A4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53" w:type="dxa"/>
            <w:tcBorders>
              <w:bottom w:val="single" w:sz="4" w:space="0" w:color="A5A5A5"/>
            </w:tcBorders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18" w:type="dxa"/>
            <w:tcBorders>
              <w:bottom w:val="single" w:sz="4" w:space="0" w:color="A5A5A5"/>
            </w:tcBorders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156559" w:rsidRPr="00EC7B1E" w14:paraId="56C4C233" w14:textId="77777777" w:rsidTr="00156559">
        <w:tc>
          <w:tcPr>
            <w:tcW w:w="759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20" w:type="dxa"/>
            <w:tcBorders>
              <w:top w:val="single" w:sz="4" w:space="0" w:color="A5A5A5"/>
              <w:bottom w:val="nil"/>
              <w:right w:val="nil"/>
            </w:tcBorders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left w:val="nil"/>
              <w:bottom w:val="nil"/>
              <w:right w:val="nil"/>
            </w:tcBorders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left w:val="nil"/>
              <w:bottom w:val="nil"/>
              <w:right w:val="nil"/>
            </w:tcBorders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30A744CB" w14:textId="77777777" w:rsidTr="00156559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6858AFB1" w14:textId="77777777" w:rsidTr="00813D3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0231D3" w:rsidRPr="00EC7B1E" w14:paraId="3300B804" w14:textId="77777777" w:rsidTr="00813D3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0B61FCFC" w14:textId="77777777" w:rsidTr="00813D3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557B1D" w:rsidRPr="00EC7B1E" w14:paraId="0C6FEE9A" w14:textId="77777777" w:rsidTr="00480387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</w:tbl>
    <w:p w14:paraId="1E675222" w14:textId="77777777" w:rsidR="00EC7B1E" w:rsidRPr="000231D3" w:rsidRDefault="00EC7B1E" w:rsidP="00EC7B1E">
      <w:pPr>
        <w:rPr>
          <w:sz w:val="22"/>
          <w:szCs w:val="22"/>
        </w:rPr>
      </w:pP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577"/>
        <w:gridCol w:w="1008"/>
        <w:gridCol w:w="646"/>
        <w:gridCol w:w="1008"/>
        <w:gridCol w:w="720"/>
        <w:gridCol w:w="720"/>
        <w:gridCol w:w="720"/>
        <w:gridCol w:w="720"/>
        <w:gridCol w:w="720"/>
        <w:gridCol w:w="720"/>
        <w:gridCol w:w="864"/>
        <w:gridCol w:w="720"/>
      </w:tblGrid>
      <w:tr w:rsidR="00C8588C" w14:paraId="64E47A7E" w14:textId="29CB155D" w:rsidTr="00E57714">
        <w:tc>
          <w:tcPr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CD02C" w14:textId="625845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1B1741" w14:textId="6F70D4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57E857" w14:textId="56A212C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4790F46" w14:textId="22B7FC1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4BB6B6" w14:textId="4F3ED3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AAD57FF" w14:textId="384653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71594C7" w14:textId="7D0B187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1F9402D" w14:textId="4307839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1FECCB" w14:textId="09CB1EC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DCBF78C" w14:textId="50699D2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C1094E3" w14:textId="0ED5390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EFF671A" w14:textId="21C6EDFF" w:rsidR="00C8588C" w:rsidRPr="006F055F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C8588C" w14:paraId="2C599B7C" w14:textId="572333E0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FBB9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F8CA30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6A067" w14:textId="6A3BD65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3546211" w14:textId="237772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42E710" w14:textId="2B7DF03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A73631" w14:textId="1975A69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5D6DD6C" w14:textId="5185515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EF98074" w14:textId="028F3A7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4C1C485" w14:textId="197A95E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89D0F1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44A039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89F3B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0E5248F" w14:textId="53577711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D9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D0EB6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3F702" w14:textId="636D6E8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3687D5BA" w14:textId="6B11F1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41F1DC9" w14:textId="347F338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C65A00" w14:textId="0EE7883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776B65" w14:textId="6361BA9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C5FE0C6" w14:textId="4C99F01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3EF907" w14:textId="4A201A3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BE4470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F84B3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D7F9AD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28C46488" w14:textId="036532BC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A4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CF5E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7336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32ABC4B" w14:textId="2D6EDD8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8681F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345F6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3C021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5296E9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183A9B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1185D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47D508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C5801FB" w14:textId="77777777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8588C" w14:paraId="4FB262C1" w14:textId="3750D00D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7CA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23713CC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6582B" w14:textId="748390C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1E13F57" w14:textId="07EE9F72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947BEA7" w14:textId="09CB54F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69E289" w14:textId="1EB9A12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92481C0" w14:textId="51A545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9296BD" w14:textId="2872A42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AADB16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B364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5DDF95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4A62B5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35336A8" w14:textId="03133B0B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EB69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DA0AB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71BB5" w14:textId="4921E66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EE55D" w14:textId="386ED82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4520F3B" w14:textId="7F2F5D0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B1F1A3B" w14:textId="3620F03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3E346F" w14:textId="5914560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6E487D" w14:textId="7C3540B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5DFA5CD" w14:textId="2200246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FE87166" w14:textId="7A80D27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A75B1D" w14:textId="3B17EE2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CCCC85" w14:textId="20187230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C8588C" w14:paraId="6B00560F" w14:textId="32CED4A6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4A22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AE555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0CBEE6" w14:textId="4793C6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C0464A7" w14:textId="0F68493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965879" w14:textId="330FECD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5CCF2E5" w14:textId="04FDE31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8F2C5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9A49D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B359C2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2B453D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286989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3C0B5F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34606147" w14:textId="77777777" w:rsidR="006116FB" w:rsidRDefault="006116FB">
      <w:pPr>
        <w:rPr>
          <w:rFonts w:ascii="Geʾez Manuscript Zemen Regular" w:hAnsi="Geʾez Manuscript Zemen Regular" w:cs="Geʾez Manuscript Zemen Regular"/>
          <w:sz w:val="32"/>
          <w:szCs w:val="32"/>
        </w:rPr>
      </w:pPr>
    </w:p>
    <w:p w14:paraId="4940B50B" w14:textId="77777777" w:rsidR="006F055F" w:rsidRDefault="006F055F" w:rsidP="00FB4AD6">
      <w:pPr>
        <w:jc w:val="both"/>
      </w:pPr>
    </w:p>
    <w:p w14:paraId="40ED81BA" w14:textId="57C814B8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428F90EE" w:rsidR="00273C4A" w:rsidRPr="00273C4A" w:rsidRDefault="00273C4A" w:rsidP="00273C4A">
      <w:pPr>
        <w:tabs>
          <w:tab w:val="left" w:pos="540"/>
          <w:tab w:val="left" w:pos="810"/>
          <w:tab w:val="left" w:pos="1080"/>
          <w:tab w:val="left" w:pos="1440"/>
          <w:tab w:val="left" w:pos="1980"/>
          <w:tab w:val="left" w:pos="2430"/>
        </w:tabs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F529FE7" w:rsidR="00273C4A" w:rsidRDefault="00273C4A" w:rsidP="00273C4A">
      <w:pPr>
        <w:tabs>
          <w:tab w:val="left" w:pos="540"/>
          <w:tab w:val="left" w:pos="810"/>
          <w:tab w:val="left" w:pos="1080"/>
          <w:tab w:val="left" w:pos="1440"/>
          <w:tab w:val="left" w:pos="1980"/>
          <w:tab w:val="left" w:pos="2430"/>
        </w:tabs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007EE8B4" w:rsidR="00273C4A" w:rsidRPr="00273C4A" w:rsidRDefault="00273C4A" w:rsidP="00273C4A">
      <w:pPr>
        <w:tabs>
          <w:tab w:val="left" w:pos="540"/>
          <w:tab w:val="left" w:pos="810"/>
          <w:tab w:val="left" w:pos="1080"/>
          <w:tab w:val="left" w:pos="1440"/>
          <w:tab w:val="left" w:pos="1980"/>
          <w:tab w:val="left" w:pos="2430"/>
        </w:tabs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273C4A">
      <w:pPr>
        <w:tabs>
          <w:tab w:val="left" w:pos="540"/>
          <w:tab w:val="left" w:pos="810"/>
          <w:tab w:val="left" w:pos="1080"/>
          <w:tab w:val="left" w:pos="1440"/>
          <w:tab w:val="left" w:pos="1980"/>
          <w:tab w:val="left" w:pos="2430"/>
        </w:tabs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CB2704">
      <w:pPr>
        <w:tabs>
          <w:tab w:val="left" w:pos="360"/>
          <w:tab w:val="left" w:pos="720"/>
          <w:tab w:val="left" w:pos="1080"/>
          <w:tab w:val="left" w:pos="1440"/>
          <w:tab w:val="left" w:pos="1890"/>
          <w:tab w:val="left" w:pos="2340"/>
          <w:tab w:val="left" w:pos="3510"/>
        </w:tabs>
        <w:spacing w:after="24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48150FCE" w14:textId="77777777" w:rsidR="00480387" w:rsidRDefault="00480387">
      <w:pPr>
        <w:rPr>
          <w:b/>
          <w:bCs/>
          <w:sz w:val="28"/>
          <w:szCs w:val="28"/>
        </w:rPr>
      </w:pP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3C53776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>. 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55F9164E" w14:textId="6600D2F5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18A0F667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is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3314E2">
              <w:rPr>
                <w:rFonts w:ascii="Nyala" w:hAnsi="Nyala" w:cs="Nyala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035D341C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proofErr w:type="gramStart"/>
      <w:r w:rsidRPr="009801DC">
        <w:rPr>
          <w:sz w:val="22"/>
          <w:szCs w:val="22"/>
        </w:rPr>
        <w:t>are</w:t>
      </w:r>
      <w:proofErr w:type="gramEnd"/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73C4A"/>
    <w:rsid w:val="002937DC"/>
    <w:rsid w:val="002967A3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C7B31"/>
    <w:rsid w:val="003E7573"/>
    <w:rsid w:val="003F1952"/>
    <w:rsid w:val="003F75EC"/>
    <w:rsid w:val="00425BDF"/>
    <w:rsid w:val="0043037E"/>
    <w:rsid w:val="00441455"/>
    <w:rsid w:val="00452B32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40F38"/>
    <w:rsid w:val="00856E1D"/>
    <w:rsid w:val="008606D3"/>
    <w:rsid w:val="00860962"/>
    <w:rsid w:val="00865286"/>
    <w:rsid w:val="00874250"/>
    <w:rsid w:val="008F1A8B"/>
    <w:rsid w:val="009172DC"/>
    <w:rsid w:val="0093246D"/>
    <w:rsid w:val="009355E9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8076B"/>
    <w:rsid w:val="00A95FF9"/>
    <w:rsid w:val="00AA2F1B"/>
    <w:rsid w:val="00AC48C5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D0FD7"/>
    <w:rsid w:val="00BE60D9"/>
    <w:rsid w:val="00BF2E98"/>
    <w:rsid w:val="00C244B6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E6DEE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57714"/>
    <w:rsid w:val="00E64F74"/>
    <w:rsid w:val="00E756AC"/>
    <w:rsid w:val="00E838BD"/>
    <w:rsid w:val="00E96E18"/>
    <w:rsid w:val="00EB61E5"/>
    <w:rsid w:val="00EC7B1E"/>
    <w:rsid w:val="00ED4774"/>
    <w:rsid w:val="00EE2ABB"/>
    <w:rsid w:val="00EF0F6F"/>
    <w:rsid w:val="00EF6039"/>
    <w:rsid w:val="00F4195B"/>
    <w:rsid w:val="00F53432"/>
    <w:rsid w:val="00F6170A"/>
    <w:rsid w:val="00F63AE8"/>
    <w:rsid w:val="00F652D6"/>
    <w:rsid w:val="00F8051C"/>
    <w:rsid w:val="00FB334A"/>
    <w:rsid w:val="00FB4AD6"/>
    <w:rsid w:val="00FB5C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11</Pages>
  <Words>2725</Words>
  <Characters>7460</Characters>
  <Application>Microsoft Office Word</Application>
  <DocSecurity>0</DocSecurity>
  <Lines>2025</Lines>
  <Paragraphs>1639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8608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65</cp:revision>
  <cp:lastPrinted>2023-09-03T01:09:00Z</cp:lastPrinted>
  <dcterms:created xsi:type="dcterms:W3CDTF">2022-02-12T16:01:00Z</dcterms:created>
  <dcterms:modified xsi:type="dcterms:W3CDTF">2023-09-03T01:09:00Z</dcterms:modified>
  <cp:category/>
</cp:coreProperties>
</file>