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C840A" w14:textId="77777777" w:rsidR="00974106" w:rsidRDefault="00974106"/>
    <w:tbl>
      <w:tblPr>
        <w:tblStyle w:val="a"/>
        <w:tblW w:w="660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44"/>
        <w:gridCol w:w="1858"/>
      </w:tblGrid>
      <w:tr w:rsidR="00974106" w14:paraId="2090B04B" w14:textId="77777777">
        <w:trPr>
          <w:trHeight w:val="1160"/>
        </w:trPr>
        <w:tc>
          <w:tcPr>
            <w:tcW w:w="4743" w:type="dxa"/>
            <w:tcBorders>
              <w:top w:val="single" w:sz="8" w:space="0" w:color="BFBFBF"/>
              <w:left w:val="nil"/>
              <w:bottom w:val="single" w:sz="8" w:space="0" w:color="BFBFBF"/>
              <w:right w:val="single" w:sz="8" w:space="0" w:color="BFBFBF"/>
            </w:tcBorders>
            <w:shd w:val="clear" w:color="auto" w:fill="9FC5E8"/>
            <w:tcMar>
              <w:top w:w="100" w:type="dxa"/>
              <w:left w:w="100" w:type="dxa"/>
              <w:bottom w:w="100" w:type="dxa"/>
              <w:right w:w="100" w:type="dxa"/>
            </w:tcMar>
          </w:tcPr>
          <w:p w14:paraId="5FE250EB" w14:textId="77777777" w:rsidR="00974106" w:rsidRDefault="00000000">
            <w:pPr>
              <w:ind w:left="-40"/>
            </w:pPr>
            <w:r>
              <w:t>Rapport d’audit interne Digit Learning</w:t>
            </w:r>
          </w:p>
          <w:p w14:paraId="084726AF" w14:textId="77777777" w:rsidR="00974106" w:rsidRDefault="00974106">
            <w:pPr>
              <w:ind w:left="-40"/>
              <w:jc w:val="center"/>
              <w:rPr>
                <w:color w:val="FFFFFF"/>
                <w:sz w:val="24"/>
                <w:szCs w:val="24"/>
              </w:rPr>
            </w:pPr>
          </w:p>
        </w:tc>
        <w:tc>
          <w:tcPr>
            <w:tcW w:w="1858"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2CA3BCDA" w14:textId="77777777" w:rsidR="00974106" w:rsidRDefault="00974106">
            <w:pPr>
              <w:ind w:left="-40"/>
              <w:jc w:val="center"/>
              <w:rPr>
                <w:i/>
                <w:sz w:val="20"/>
                <w:szCs w:val="20"/>
              </w:rPr>
            </w:pPr>
          </w:p>
        </w:tc>
      </w:tr>
      <w:tr w:rsidR="00974106" w14:paraId="3176702B" w14:textId="77777777">
        <w:trPr>
          <w:trHeight w:val="560"/>
        </w:trPr>
        <w:tc>
          <w:tcPr>
            <w:tcW w:w="4743" w:type="dxa"/>
            <w:tcBorders>
              <w:top w:val="nil"/>
              <w:left w:val="nil"/>
              <w:bottom w:val="single" w:sz="8" w:space="0" w:color="BFBFBF"/>
              <w:right w:val="nil"/>
            </w:tcBorders>
            <w:tcMar>
              <w:top w:w="100" w:type="dxa"/>
              <w:left w:w="100" w:type="dxa"/>
              <w:bottom w:w="100" w:type="dxa"/>
              <w:right w:w="100" w:type="dxa"/>
            </w:tcMar>
          </w:tcPr>
          <w:p w14:paraId="69C7F074" w14:textId="77777777" w:rsidR="00974106" w:rsidRDefault="00000000">
            <w:pPr>
              <w:ind w:left="-40"/>
              <w:rPr>
                <w:sz w:val="20"/>
                <w:szCs w:val="20"/>
              </w:rPr>
            </w:pPr>
            <w:r>
              <w:rPr>
                <w:sz w:val="20"/>
                <w:szCs w:val="20"/>
              </w:rPr>
              <w:t xml:space="preserve"> </w:t>
            </w:r>
          </w:p>
        </w:tc>
        <w:tc>
          <w:tcPr>
            <w:tcW w:w="1858" w:type="dxa"/>
            <w:tcBorders>
              <w:top w:val="nil"/>
              <w:left w:val="nil"/>
              <w:bottom w:val="single" w:sz="8" w:space="0" w:color="BFBFBF"/>
              <w:right w:val="nil"/>
            </w:tcBorders>
            <w:tcMar>
              <w:top w:w="100" w:type="dxa"/>
              <w:left w:w="100" w:type="dxa"/>
              <w:bottom w:w="100" w:type="dxa"/>
              <w:right w:w="100" w:type="dxa"/>
            </w:tcMar>
          </w:tcPr>
          <w:p w14:paraId="36608FB9" w14:textId="77777777" w:rsidR="00974106" w:rsidRDefault="00000000">
            <w:pPr>
              <w:ind w:left="-40"/>
              <w:rPr>
                <w:sz w:val="20"/>
                <w:szCs w:val="20"/>
              </w:rPr>
            </w:pPr>
            <w:r>
              <w:rPr>
                <w:sz w:val="20"/>
                <w:szCs w:val="20"/>
              </w:rPr>
              <w:t xml:space="preserve"> </w:t>
            </w:r>
          </w:p>
        </w:tc>
      </w:tr>
      <w:tr w:rsidR="00974106" w14:paraId="237DE039" w14:textId="77777777">
        <w:trPr>
          <w:trHeight w:val="560"/>
        </w:trPr>
        <w:tc>
          <w:tcPr>
            <w:tcW w:w="6601" w:type="dxa"/>
            <w:gridSpan w:val="2"/>
            <w:tcBorders>
              <w:top w:val="nil"/>
              <w:left w:val="nil"/>
              <w:bottom w:val="single" w:sz="8" w:space="0" w:color="BFBFBF"/>
              <w:right w:val="single" w:sz="8" w:space="0" w:color="BFBFBF"/>
            </w:tcBorders>
            <w:tcMar>
              <w:top w:w="100" w:type="dxa"/>
              <w:left w:w="100" w:type="dxa"/>
              <w:bottom w:w="100" w:type="dxa"/>
              <w:right w:w="100" w:type="dxa"/>
            </w:tcMar>
          </w:tcPr>
          <w:p w14:paraId="27B9F1CC" w14:textId="77777777" w:rsidR="00974106" w:rsidRDefault="00000000">
            <w:pPr>
              <w:ind w:left="-40"/>
              <w:rPr>
                <w:i/>
                <w:sz w:val="20"/>
                <w:szCs w:val="20"/>
              </w:rPr>
            </w:pPr>
            <w:r>
              <w:rPr>
                <w:i/>
                <w:sz w:val="20"/>
                <w:szCs w:val="20"/>
              </w:rPr>
              <w:t>Rapport d’audit interne</w:t>
            </w:r>
          </w:p>
        </w:tc>
      </w:tr>
      <w:tr w:rsidR="00974106" w14:paraId="0A10EAC0" w14:textId="77777777">
        <w:trPr>
          <w:trHeight w:val="560"/>
        </w:trPr>
        <w:tc>
          <w:tcPr>
            <w:tcW w:w="6601" w:type="dxa"/>
            <w:gridSpan w:val="2"/>
            <w:tcBorders>
              <w:top w:val="nil"/>
              <w:left w:val="nil"/>
              <w:bottom w:val="single" w:sz="8" w:space="0" w:color="BFBFBF"/>
              <w:right w:val="single" w:sz="8" w:space="0" w:color="BFBFBF"/>
            </w:tcBorders>
            <w:shd w:val="clear" w:color="auto" w:fill="auto"/>
            <w:tcMar>
              <w:top w:w="100" w:type="dxa"/>
              <w:left w:w="100" w:type="dxa"/>
              <w:bottom w:w="100" w:type="dxa"/>
              <w:right w:w="100" w:type="dxa"/>
            </w:tcMar>
          </w:tcPr>
          <w:p w14:paraId="2F0FBEA1" w14:textId="77777777" w:rsidR="00974106" w:rsidRDefault="00974106">
            <w:pPr>
              <w:ind w:left="-40"/>
              <w:rPr>
                <w:i/>
                <w:sz w:val="20"/>
                <w:szCs w:val="20"/>
              </w:rPr>
            </w:pPr>
          </w:p>
        </w:tc>
      </w:tr>
      <w:tr w:rsidR="00974106" w14:paraId="1DE0B252" w14:textId="77777777">
        <w:trPr>
          <w:trHeight w:val="560"/>
        </w:trPr>
        <w:tc>
          <w:tcPr>
            <w:tcW w:w="6601" w:type="dxa"/>
            <w:gridSpan w:val="2"/>
            <w:tcBorders>
              <w:top w:val="nil"/>
              <w:left w:val="nil"/>
              <w:bottom w:val="single" w:sz="8" w:space="0" w:color="BFBFBF"/>
              <w:right w:val="single" w:sz="8" w:space="0" w:color="BFBFBF"/>
            </w:tcBorders>
            <w:shd w:val="clear" w:color="auto" w:fill="auto"/>
            <w:tcMar>
              <w:top w:w="100" w:type="dxa"/>
              <w:left w:w="100" w:type="dxa"/>
              <w:bottom w:w="100" w:type="dxa"/>
              <w:right w:w="100" w:type="dxa"/>
            </w:tcMar>
          </w:tcPr>
          <w:p w14:paraId="460A8D6F" w14:textId="77777777" w:rsidR="00974106" w:rsidRDefault="00000000">
            <w:pPr>
              <w:ind w:left="-40"/>
              <w:rPr>
                <w:i/>
                <w:sz w:val="20"/>
                <w:szCs w:val="20"/>
              </w:rPr>
            </w:pPr>
            <w:r>
              <w:rPr>
                <w:i/>
                <w:sz w:val="20"/>
                <w:szCs w:val="20"/>
              </w:rPr>
              <w:t xml:space="preserve">Digit Learning </w:t>
            </w:r>
          </w:p>
        </w:tc>
      </w:tr>
      <w:tr w:rsidR="00974106" w14:paraId="4EE51501" w14:textId="77777777">
        <w:trPr>
          <w:trHeight w:val="560"/>
        </w:trPr>
        <w:tc>
          <w:tcPr>
            <w:tcW w:w="6601" w:type="dxa"/>
            <w:gridSpan w:val="2"/>
            <w:tcBorders>
              <w:top w:val="nil"/>
              <w:left w:val="nil"/>
              <w:bottom w:val="single" w:sz="8" w:space="0" w:color="BFBFBF"/>
              <w:right w:val="single" w:sz="8" w:space="0" w:color="BFBFBF"/>
            </w:tcBorders>
            <w:shd w:val="clear" w:color="auto" w:fill="FFFFFF"/>
            <w:tcMar>
              <w:top w:w="100" w:type="dxa"/>
              <w:left w:w="100" w:type="dxa"/>
              <w:bottom w:w="100" w:type="dxa"/>
              <w:right w:w="100" w:type="dxa"/>
            </w:tcMar>
          </w:tcPr>
          <w:p w14:paraId="5025A2D8" w14:textId="77777777" w:rsidR="00974106" w:rsidRDefault="00000000">
            <w:pPr>
              <w:ind w:left="-40"/>
              <w:rPr>
                <w:sz w:val="20"/>
                <w:szCs w:val="20"/>
              </w:rPr>
            </w:pPr>
            <w:r>
              <w:rPr>
                <w:sz w:val="20"/>
                <w:szCs w:val="20"/>
              </w:rPr>
              <w:t>Rapport d’audit interne</w:t>
            </w:r>
          </w:p>
        </w:tc>
      </w:tr>
    </w:tbl>
    <w:p w14:paraId="4563ADB7" w14:textId="77777777" w:rsidR="00974106" w:rsidRDefault="00974106"/>
    <w:p w14:paraId="1C0C23F8" w14:textId="77777777" w:rsidR="00974106" w:rsidRDefault="00000000">
      <w:r>
        <w:t xml:space="preserve"> </w:t>
      </w:r>
    </w:p>
    <w:tbl>
      <w:tblPr>
        <w:tblStyle w:val="a0"/>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3"/>
        <w:gridCol w:w="1654"/>
        <w:gridCol w:w="2759"/>
        <w:gridCol w:w="312"/>
        <w:gridCol w:w="1772"/>
      </w:tblGrid>
      <w:tr w:rsidR="00974106" w14:paraId="450807AC" w14:textId="77777777">
        <w:trPr>
          <w:trHeight w:val="1340"/>
        </w:trPr>
        <w:tc>
          <w:tcPr>
            <w:tcW w:w="2532" w:type="dxa"/>
            <w:tcBorders>
              <w:top w:val="single" w:sz="8" w:space="0" w:color="A6A6A6"/>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18CC9672" w14:textId="77777777" w:rsidR="00974106" w:rsidRDefault="00974106">
            <w:pPr>
              <w:pBdr>
                <w:top w:val="nil"/>
                <w:left w:val="nil"/>
                <w:bottom w:val="nil"/>
                <w:right w:val="nil"/>
                <w:between w:val="nil"/>
              </w:pBdr>
              <w:ind w:left="-40"/>
              <w:jc w:val="center"/>
              <w:rPr>
                <w:color w:val="FFFFFF"/>
                <w:sz w:val="24"/>
                <w:szCs w:val="24"/>
              </w:rPr>
            </w:pPr>
          </w:p>
        </w:tc>
        <w:tc>
          <w:tcPr>
            <w:tcW w:w="4724" w:type="dxa"/>
            <w:gridSpan w:val="3"/>
            <w:tcBorders>
              <w:top w:val="single" w:sz="8" w:space="0" w:color="A6A6A6"/>
              <w:left w:val="nil"/>
              <w:bottom w:val="single" w:sz="8" w:space="0" w:color="FFFFFF"/>
              <w:right w:val="single" w:sz="8" w:space="0" w:color="FFFFFF"/>
            </w:tcBorders>
            <w:shd w:val="clear" w:color="auto" w:fill="9FC5E8"/>
            <w:tcMar>
              <w:top w:w="100" w:type="dxa"/>
              <w:left w:w="80" w:type="dxa"/>
              <w:bottom w:w="100" w:type="dxa"/>
              <w:right w:w="80" w:type="dxa"/>
            </w:tcMar>
          </w:tcPr>
          <w:p w14:paraId="7BB45379" w14:textId="77777777" w:rsidR="00974106" w:rsidRDefault="00000000">
            <w:pPr>
              <w:spacing w:before="120" w:after="120"/>
              <w:ind w:left="-280"/>
              <w:jc w:val="center"/>
              <w:rPr>
                <w:rFonts w:ascii="Calibri" w:eastAsia="Calibri" w:hAnsi="Calibri" w:cs="Calibri"/>
                <w:i/>
                <w:color w:val="FFFFFF"/>
                <w:sz w:val="40"/>
                <w:szCs w:val="40"/>
              </w:rPr>
            </w:pPr>
            <w:r>
              <w:rPr>
                <w:rFonts w:ascii="Calibri" w:eastAsia="Calibri" w:hAnsi="Calibri" w:cs="Calibri"/>
                <w:color w:val="FFFFFF"/>
                <w:sz w:val="36"/>
                <w:szCs w:val="36"/>
              </w:rPr>
              <w:t xml:space="preserve">RAPPORT D’AUDIT QUALITÉ </w:t>
            </w:r>
          </w:p>
        </w:tc>
        <w:tc>
          <w:tcPr>
            <w:tcW w:w="1772" w:type="dxa"/>
            <w:tcBorders>
              <w:top w:val="single" w:sz="8" w:space="0" w:color="A6A6A6"/>
              <w:left w:val="nil"/>
              <w:bottom w:val="single" w:sz="8" w:space="0" w:color="FFFFFF"/>
              <w:right w:val="single" w:sz="8" w:space="0" w:color="A6A6A6"/>
            </w:tcBorders>
            <w:shd w:val="clear" w:color="auto" w:fill="9FC5E8"/>
            <w:tcMar>
              <w:top w:w="100" w:type="dxa"/>
              <w:left w:w="80" w:type="dxa"/>
              <w:bottom w:w="100" w:type="dxa"/>
              <w:right w:w="80" w:type="dxa"/>
            </w:tcMar>
          </w:tcPr>
          <w:p w14:paraId="4FF354C6" w14:textId="77777777" w:rsidR="00974106" w:rsidRDefault="00974106">
            <w:pPr>
              <w:spacing w:before="120" w:after="120"/>
              <w:rPr>
                <w:rFonts w:ascii="Calibri" w:eastAsia="Calibri" w:hAnsi="Calibri" w:cs="Calibri"/>
                <w:color w:val="FFFFFF"/>
                <w:sz w:val="20"/>
                <w:szCs w:val="20"/>
              </w:rPr>
            </w:pPr>
          </w:p>
        </w:tc>
      </w:tr>
      <w:tr w:rsidR="00974106" w14:paraId="63FD8EC5" w14:textId="77777777">
        <w:trPr>
          <w:trHeight w:val="500"/>
        </w:trPr>
        <w:tc>
          <w:tcPr>
            <w:tcW w:w="2532"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601B1FDC" w14:textId="77777777" w:rsidR="00974106" w:rsidRDefault="00000000">
            <w:pPr>
              <w:rPr>
                <w:color w:val="FFFFFF"/>
              </w:rPr>
            </w:pPr>
            <w:r>
              <w:rPr>
                <w:color w:val="FFFFFF"/>
              </w:rPr>
              <w:t>But</w:t>
            </w:r>
          </w:p>
        </w:tc>
        <w:tc>
          <w:tcPr>
            <w:tcW w:w="6496"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0BA2149D" w14:textId="77777777" w:rsidR="00974106" w:rsidRDefault="00000000">
            <w:pPr>
              <w:rPr>
                <w:i/>
                <w:color w:val="002060"/>
              </w:rPr>
            </w:pPr>
            <w:r>
              <w:rPr>
                <w:i/>
                <w:color w:val="002060"/>
              </w:rPr>
              <w:t>Audit interne concernant les pratiques chez Digit Learning</w:t>
            </w:r>
          </w:p>
        </w:tc>
      </w:tr>
      <w:tr w:rsidR="00974106" w14:paraId="0AA0082A" w14:textId="77777777">
        <w:trPr>
          <w:trHeight w:val="500"/>
        </w:trPr>
        <w:tc>
          <w:tcPr>
            <w:tcW w:w="2532"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115AFD33" w14:textId="77777777" w:rsidR="00974106" w:rsidRDefault="00000000">
            <w:pPr>
              <w:rPr>
                <w:color w:val="FFFFFF"/>
              </w:rPr>
            </w:pPr>
            <w:r>
              <w:rPr>
                <w:color w:val="FFFFFF"/>
              </w:rPr>
              <w:t>Type d’audit</w:t>
            </w:r>
          </w:p>
        </w:tc>
        <w:tc>
          <w:tcPr>
            <w:tcW w:w="6496"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6AB05B00" w14:textId="77777777" w:rsidR="00974106" w:rsidRDefault="00000000">
            <w:pPr>
              <w:rPr>
                <w:i/>
                <w:color w:val="002060"/>
              </w:rPr>
            </w:pPr>
            <w:r>
              <w:rPr>
                <w:i/>
                <w:color w:val="002060"/>
              </w:rPr>
              <w:t>Audit interne</w:t>
            </w:r>
          </w:p>
        </w:tc>
      </w:tr>
      <w:tr w:rsidR="00974106" w14:paraId="5904B48E" w14:textId="77777777">
        <w:trPr>
          <w:trHeight w:val="500"/>
        </w:trPr>
        <w:tc>
          <w:tcPr>
            <w:tcW w:w="2532"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3865DBB8" w14:textId="77777777" w:rsidR="00974106" w:rsidRDefault="00000000">
            <w:pPr>
              <w:rPr>
                <w:color w:val="FFFFFF"/>
              </w:rPr>
            </w:pPr>
            <w:r>
              <w:rPr>
                <w:color w:val="FFFFFF"/>
              </w:rPr>
              <w:t>Domaine à auditer</w:t>
            </w:r>
          </w:p>
        </w:tc>
        <w:tc>
          <w:tcPr>
            <w:tcW w:w="6496"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36AAFEFB" w14:textId="05401626" w:rsidR="00974106" w:rsidRDefault="00D148DB">
            <w:pPr>
              <w:rPr>
                <w:i/>
                <w:color w:val="002060"/>
              </w:rPr>
            </w:pPr>
            <w:r w:rsidRPr="00D148DB">
              <w:rPr>
                <w:i/>
                <w:color w:val="002060"/>
              </w:rPr>
              <w:t>Le modèle de données est-il adapté ?</w:t>
            </w:r>
          </w:p>
        </w:tc>
      </w:tr>
      <w:tr w:rsidR="00974106" w14:paraId="663435CD" w14:textId="77777777">
        <w:trPr>
          <w:trHeight w:val="880"/>
        </w:trPr>
        <w:tc>
          <w:tcPr>
            <w:tcW w:w="2532"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248F8F78" w14:textId="77777777" w:rsidR="00974106" w:rsidRDefault="00000000">
            <w:pPr>
              <w:rPr>
                <w:color w:val="FFFFFF"/>
              </w:rPr>
            </w:pPr>
            <w:r>
              <w:rPr>
                <w:color w:val="FFFFFF"/>
              </w:rPr>
              <w:t>Le modèle de données est-il adapté ?</w:t>
            </w:r>
          </w:p>
        </w:tc>
        <w:tc>
          <w:tcPr>
            <w:tcW w:w="6496"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327FA6F1" w14:textId="21C5D17C" w:rsidR="00974106" w:rsidRDefault="00D148DB">
            <w:pPr>
              <w:rPr>
                <w:i/>
                <w:color w:val="002060"/>
              </w:rPr>
            </w:pPr>
            <w:r>
              <w:rPr>
                <w:i/>
                <w:color w:val="002060"/>
              </w:rPr>
              <w:t>Non</w:t>
            </w:r>
          </w:p>
        </w:tc>
      </w:tr>
      <w:tr w:rsidR="00974106" w14:paraId="74C01475" w14:textId="77777777">
        <w:trPr>
          <w:trHeight w:val="1400"/>
        </w:trPr>
        <w:tc>
          <w:tcPr>
            <w:tcW w:w="2532"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7C00F9E5" w14:textId="77777777" w:rsidR="00974106" w:rsidRDefault="00000000">
            <w:pPr>
              <w:spacing w:line="240" w:lineRule="auto"/>
              <w:rPr>
                <w:rFonts w:ascii="Calibri" w:eastAsia="Calibri" w:hAnsi="Calibri" w:cs="Calibri"/>
                <w:sz w:val="24"/>
                <w:szCs w:val="24"/>
              </w:rPr>
            </w:pPr>
            <w:r>
              <w:rPr>
                <w:color w:val="FFFFFF"/>
              </w:rPr>
              <w:t>Quelle est la problématique principale des commerciaux ?</w:t>
            </w:r>
          </w:p>
          <w:p w14:paraId="4C7FD322" w14:textId="77777777" w:rsidR="00974106" w:rsidRDefault="00974106">
            <w:pPr>
              <w:jc w:val="right"/>
              <w:rPr>
                <w:color w:val="FFFFFF"/>
              </w:rPr>
            </w:pPr>
          </w:p>
        </w:tc>
        <w:tc>
          <w:tcPr>
            <w:tcW w:w="6496"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5ED38C74" w14:textId="12BD6961" w:rsidR="00974106" w:rsidRDefault="00D148DB">
            <w:pPr>
              <w:rPr>
                <w:i/>
                <w:color w:val="002060"/>
              </w:rPr>
            </w:pPr>
            <w:r w:rsidRPr="00D148DB">
              <w:rPr>
                <w:i/>
                <w:color w:val="002060"/>
              </w:rPr>
              <w:t>La problématique centrale des commerciaux de Digit Learning réside dans l'optimisation des processus liés aux étudiants, mentors, formations et anciens clients à travers des améliorations et automatisations au sein de l'application Salesforce pour répondre aux besoins des utilisateurs clés et améliorer l'efficacité opérationnelle de l'école en ligne.</w:t>
            </w:r>
          </w:p>
        </w:tc>
      </w:tr>
      <w:tr w:rsidR="00974106" w14:paraId="1D8AF1D8" w14:textId="77777777">
        <w:trPr>
          <w:trHeight w:val="1400"/>
        </w:trPr>
        <w:tc>
          <w:tcPr>
            <w:tcW w:w="2532"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07DDAFF0" w14:textId="77777777" w:rsidR="00974106" w:rsidRDefault="00000000">
            <w:pPr>
              <w:spacing w:line="240" w:lineRule="auto"/>
              <w:rPr>
                <w:color w:val="FFFFFF"/>
              </w:rPr>
            </w:pPr>
            <w:r>
              <w:rPr>
                <w:color w:val="FFFFFF"/>
              </w:rPr>
              <w:lastRenderedPageBreak/>
              <w:t>Quelle est la problématique principale des directeurs ?</w:t>
            </w:r>
          </w:p>
        </w:tc>
        <w:tc>
          <w:tcPr>
            <w:tcW w:w="6496"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5EB33F29" w14:textId="22D94960" w:rsidR="00974106" w:rsidRDefault="00D148DB">
            <w:pPr>
              <w:rPr>
                <w:i/>
                <w:color w:val="002060"/>
              </w:rPr>
            </w:pPr>
            <w:r w:rsidRPr="00D148DB">
              <w:rPr>
                <w:i/>
                <w:color w:val="002060"/>
              </w:rPr>
              <w:t>La problématique centrale des directeurs de Digit Learning réside dans l'optimisation des processus clés liés aux étudiants, aux mentors et aux formations, et le rapport d'audit présente des recommandations ciblées pour y remédier via l'application Salesforce.</w:t>
            </w:r>
          </w:p>
        </w:tc>
      </w:tr>
      <w:tr w:rsidR="00974106" w14:paraId="5AE534D0" w14:textId="77777777">
        <w:trPr>
          <w:trHeight w:val="200"/>
        </w:trPr>
        <w:tc>
          <w:tcPr>
            <w:tcW w:w="2532" w:type="dxa"/>
            <w:tcBorders>
              <w:top w:val="nil"/>
              <w:left w:val="nil"/>
              <w:bottom w:val="nil"/>
              <w:right w:val="nil"/>
            </w:tcBorders>
            <w:shd w:val="clear" w:color="auto" w:fill="auto"/>
            <w:tcMar>
              <w:top w:w="100" w:type="dxa"/>
              <w:left w:w="100" w:type="dxa"/>
              <w:bottom w:w="100" w:type="dxa"/>
              <w:right w:w="100" w:type="dxa"/>
            </w:tcMar>
          </w:tcPr>
          <w:p w14:paraId="766CBF29" w14:textId="77777777" w:rsidR="00974106" w:rsidRDefault="00974106"/>
        </w:tc>
        <w:tc>
          <w:tcPr>
            <w:tcW w:w="1654" w:type="dxa"/>
            <w:tcBorders>
              <w:top w:val="nil"/>
              <w:left w:val="nil"/>
              <w:bottom w:val="nil"/>
              <w:right w:val="nil"/>
            </w:tcBorders>
            <w:shd w:val="clear" w:color="auto" w:fill="auto"/>
            <w:tcMar>
              <w:top w:w="100" w:type="dxa"/>
              <w:left w:w="100" w:type="dxa"/>
              <w:bottom w:w="100" w:type="dxa"/>
              <w:right w:w="100" w:type="dxa"/>
            </w:tcMar>
          </w:tcPr>
          <w:p w14:paraId="44EE83FA" w14:textId="77777777" w:rsidR="00974106" w:rsidRDefault="00974106"/>
        </w:tc>
        <w:tc>
          <w:tcPr>
            <w:tcW w:w="2758" w:type="dxa"/>
            <w:tcBorders>
              <w:top w:val="nil"/>
              <w:left w:val="nil"/>
              <w:bottom w:val="nil"/>
              <w:right w:val="nil"/>
            </w:tcBorders>
            <w:shd w:val="clear" w:color="auto" w:fill="auto"/>
            <w:tcMar>
              <w:top w:w="100" w:type="dxa"/>
              <w:left w:w="100" w:type="dxa"/>
              <w:bottom w:w="100" w:type="dxa"/>
              <w:right w:w="100" w:type="dxa"/>
            </w:tcMar>
          </w:tcPr>
          <w:p w14:paraId="0D49DFDF" w14:textId="77777777" w:rsidR="00974106" w:rsidRDefault="00974106"/>
        </w:tc>
        <w:tc>
          <w:tcPr>
            <w:tcW w:w="312" w:type="dxa"/>
            <w:tcBorders>
              <w:top w:val="nil"/>
              <w:left w:val="nil"/>
              <w:bottom w:val="nil"/>
              <w:right w:val="nil"/>
            </w:tcBorders>
            <w:shd w:val="clear" w:color="auto" w:fill="auto"/>
            <w:tcMar>
              <w:top w:w="100" w:type="dxa"/>
              <w:left w:w="100" w:type="dxa"/>
              <w:bottom w:w="100" w:type="dxa"/>
              <w:right w:w="100" w:type="dxa"/>
            </w:tcMar>
          </w:tcPr>
          <w:p w14:paraId="661E1D84" w14:textId="77777777" w:rsidR="00974106" w:rsidRDefault="00974106"/>
        </w:tc>
        <w:tc>
          <w:tcPr>
            <w:tcW w:w="1772" w:type="dxa"/>
            <w:tcBorders>
              <w:top w:val="nil"/>
              <w:left w:val="nil"/>
              <w:bottom w:val="nil"/>
              <w:right w:val="nil"/>
            </w:tcBorders>
            <w:shd w:val="clear" w:color="auto" w:fill="auto"/>
            <w:tcMar>
              <w:top w:w="100" w:type="dxa"/>
              <w:left w:w="100" w:type="dxa"/>
              <w:bottom w:w="100" w:type="dxa"/>
              <w:right w:w="100" w:type="dxa"/>
            </w:tcMar>
          </w:tcPr>
          <w:p w14:paraId="2C5F30F0" w14:textId="77777777" w:rsidR="00974106" w:rsidRDefault="00974106"/>
        </w:tc>
      </w:tr>
    </w:tbl>
    <w:p w14:paraId="2627F04C" w14:textId="77777777" w:rsidR="00974106" w:rsidRDefault="00000000">
      <w:r>
        <w:t xml:space="preserve"> </w:t>
      </w:r>
    </w:p>
    <w:p w14:paraId="653A5A31" w14:textId="77777777" w:rsidR="00974106" w:rsidRDefault="00000000">
      <w:r>
        <w:t xml:space="preserve"> </w:t>
      </w:r>
    </w:p>
    <w:p w14:paraId="0AA2E7B1" w14:textId="77777777" w:rsidR="00974106" w:rsidRDefault="00000000">
      <w:r>
        <w:t xml:space="preserve"> </w:t>
      </w:r>
    </w:p>
    <w:tbl>
      <w:tblPr>
        <w:tblStyle w:val="a1"/>
        <w:tblW w:w="912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1"/>
        <w:gridCol w:w="1672"/>
        <w:gridCol w:w="2789"/>
        <w:gridCol w:w="316"/>
        <w:gridCol w:w="1791"/>
      </w:tblGrid>
      <w:tr w:rsidR="00974106" w14:paraId="65549183" w14:textId="77777777" w:rsidTr="004211F2">
        <w:trPr>
          <w:trHeight w:val="1215"/>
        </w:trPr>
        <w:tc>
          <w:tcPr>
            <w:tcW w:w="2561" w:type="dxa"/>
            <w:tcBorders>
              <w:top w:val="single" w:sz="8" w:space="0" w:color="A6A6A6"/>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269F1545" w14:textId="77777777" w:rsidR="00974106" w:rsidRDefault="00974106">
            <w:pPr>
              <w:ind w:left="-40"/>
              <w:jc w:val="center"/>
              <w:rPr>
                <w:color w:val="FFFFFF"/>
                <w:sz w:val="24"/>
                <w:szCs w:val="24"/>
              </w:rPr>
            </w:pPr>
          </w:p>
        </w:tc>
        <w:tc>
          <w:tcPr>
            <w:tcW w:w="4777" w:type="dxa"/>
            <w:gridSpan w:val="3"/>
            <w:tcBorders>
              <w:top w:val="single" w:sz="8" w:space="0" w:color="A6A6A6"/>
              <w:left w:val="nil"/>
              <w:bottom w:val="single" w:sz="8" w:space="0" w:color="FFFFFF"/>
              <w:right w:val="single" w:sz="8" w:space="0" w:color="FFFFFF"/>
            </w:tcBorders>
            <w:shd w:val="clear" w:color="auto" w:fill="9FC5E8"/>
            <w:tcMar>
              <w:top w:w="100" w:type="dxa"/>
              <w:left w:w="80" w:type="dxa"/>
              <w:bottom w:w="100" w:type="dxa"/>
              <w:right w:w="80" w:type="dxa"/>
            </w:tcMar>
          </w:tcPr>
          <w:p w14:paraId="3FFFB2BC" w14:textId="77777777" w:rsidR="00974106" w:rsidRDefault="00000000">
            <w:pPr>
              <w:spacing w:before="120" w:after="120"/>
              <w:ind w:left="-280"/>
              <w:jc w:val="center"/>
              <w:rPr>
                <w:rFonts w:ascii="Calibri" w:eastAsia="Calibri" w:hAnsi="Calibri" w:cs="Calibri"/>
                <w:i/>
                <w:color w:val="FFFFFF"/>
                <w:sz w:val="40"/>
                <w:szCs w:val="40"/>
              </w:rPr>
            </w:pPr>
            <w:r>
              <w:rPr>
                <w:rFonts w:ascii="Calibri" w:eastAsia="Calibri" w:hAnsi="Calibri" w:cs="Calibri"/>
                <w:color w:val="FFFFFF"/>
                <w:sz w:val="36"/>
                <w:szCs w:val="36"/>
              </w:rPr>
              <w:t xml:space="preserve">RAPPORT D’AUDIT QUALITÉ </w:t>
            </w:r>
          </w:p>
        </w:tc>
        <w:tc>
          <w:tcPr>
            <w:tcW w:w="1791" w:type="dxa"/>
            <w:tcBorders>
              <w:top w:val="single" w:sz="8" w:space="0" w:color="A6A6A6"/>
              <w:left w:val="nil"/>
              <w:bottom w:val="single" w:sz="8" w:space="0" w:color="FFFFFF"/>
              <w:right w:val="single" w:sz="8" w:space="0" w:color="A6A6A6"/>
            </w:tcBorders>
            <w:shd w:val="clear" w:color="auto" w:fill="9FC5E8"/>
            <w:tcMar>
              <w:top w:w="100" w:type="dxa"/>
              <w:left w:w="80" w:type="dxa"/>
              <w:bottom w:w="100" w:type="dxa"/>
              <w:right w:w="80" w:type="dxa"/>
            </w:tcMar>
          </w:tcPr>
          <w:p w14:paraId="4F78B8C1" w14:textId="77777777" w:rsidR="00974106" w:rsidRDefault="00974106">
            <w:pPr>
              <w:spacing w:before="120" w:after="120"/>
              <w:rPr>
                <w:rFonts w:ascii="Calibri" w:eastAsia="Calibri" w:hAnsi="Calibri" w:cs="Calibri"/>
                <w:color w:val="FFFFFF"/>
                <w:sz w:val="20"/>
                <w:szCs w:val="20"/>
              </w:rPr>
            </w:pPr>
          </w:p>
        </w:tc>
      </w:tr>
      <w:tr w:rsidR="00974106" w14:paraId="68DAEFC8" w14:textId="77777777" w:rsidTr="004211F2">
        <w:trPr>
          <w:trHeight w:val="453"/>
        </w:trPr>
        <w:tc>
          <w:tcPr>
            <w:tcW w:w="2561"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785F40C7" w14:textId="7340156D" w:rsidR="00974106" w:rsidRDefault="004211F2">
            <w:pPr>
              <w:jc w:val="right"/>
              <w:rPr>
                <w:color w:val="FFFFFF"/>
              </w:rPr>
            </w:pPr>
            <w:r w:rsidRPr="00224F1C">
              <w:rPr>
                <w:color w:val="FFFFFF"/>
                <w:lang w:val="fr-FR"/>
              </w:rPr>
              <w:t>Le modèle de données actuel est adéquat pour les besoins opérationnels de base, mais présente une limitation importante : un étudiant ne peut être associé qu'à une seule formation</w:t>
            </w:r>
            <w:r w:rsidR="00E1331E" w:rsidRPr="00E1331E">
              <w:rPr>
                <w:color w:val="FFFFFF"/>
              </w:rPr>
              <w:t>.</w:t>
            </w:r>
          </w:p>
        </w:tc>
        <w:tc>
          <w:tcPr>
            <w:tcW w:w="6568"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79450B99" w14:textId="54A7FF2E" w:rsidR="00974106" w:rsidRPr="00E1331E" w:rsidRDefault="00E1331E">
            <w:pPr>
              <w:rPr>
                <w:i/>
                <w:color w:val="002060"/>
              </w:rPr>
            </w:pPr>
            <w:r w:rsidRPr="00E1331E">
              <w:rPr>
                <w:i/>
                <w:color w:val="002060"/>
              </w:rPr>
              <w:t>Créer des processus automatisés pour l'inscription des étudiants aux formations et l'attribution de mentors.</w:t>
            </w:r>
          </w:p>
        </w:tc>
      </w:tr>
      <w:tr w:rsidR="00974106" w14:paraId="734ED586" w14:textId="77777777" w:rsidTr="004211F2">
        <w:trPr>
          <w:trHeight w:val="453"/>
        </w:trPr>
        <w:tc>
          <w:tcPr>
            <w:tcW w:w="2561"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322DA798" w14:textId="42886B26" w:rsidR="00974106" w:rsidRDefault="004211F2">
            <w:pPr>
              <w:jc w:val="right"/>
              <w:rPr>
                <w:color w:val="FFFFFF"/>
              </w:rPr>
            </w:pPr>
            <w:r w:rsidRPr="004211F2">
              <w:rPr>
                <w:color w:val="FFFFFF"/>
              </w:rPr>
              <w:t>Les utilisateurs clés, en particulier les commerciaux, rencontrent des difficultés dans le suivi des étudiants, mentors, formations et anciens clients.</w:t>
            </w:r>
          </w:p>
        </w:tc>
        <w:tc>
          <w:tcPr>
            <w:tcW w:w="6568"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1C834731" w14:textId="6D7C240D" w:rsidR="00974106" w:rsidRPr="00E1331E" w:rsidRDefault="00E1331E">
            <w:pPr>
              <w:rPr>
                <w:i/>
                <w:color w:val="002060"/>
              </w:rPr>
            </w:pPr>
            <w:r w:rsidRPr="00E1331E">
              <w:rPr>
                <w:i/>
                <w:color w:val="002060"/>
              </w:rPr>
              <w:t>Mettre en place un système de suivi des anciens clients pour évaluer la satisfaction et encourager la fidélité</w:t>
            </w:r>
          </w:p>
        </w:tc>
      </w:tr>
      <w:tr w:rsidR="00974106" w14:paraId="14B60382" w14:textId="77777777" w:rsidTr="004211F2">
        <w:trPr>
          <w:trHeight w:val="798"/>
        </w:trPr>
        <w:tc>
          <w:tcPr>
            <w:tcW w:w="2561"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4DFF65F9" w14:textId="018E4DAF" w:rsidR="00974106" w:rsidRPr="00E1331E" w:rsidRDefault="004211F2">
            <w:pPr>
              <w:jc w:val="right"/>
              <w:rPr>
                <w:iCs/>
                <w:color w:val="FFFFFF"/>
              </w:rPr>
            </w:pPr>
            <w:r w:rsidRPr="00224F1C">
              <w:rPr>
                <w:iCs/>
                <w:color w:val="FFFFFF"/>
                <w:lang w:val="fr-FR"/>
              </w:rPr>
              <w:t>Les demandes spécifiques en matière de rapports et de métriques ne sont pas complètement satisfaites, entraînant une lacune dans la prise de décision basée sur les données.</w:t>
            </w:r>
          </w:p>
        </w:tc>
        <w:tc>
          <w:tcPr>
            <w:tcW w:w="6568"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59F7DBBF" w14:textId="6E2F2AFF" w:rsidR="00974106" w:rsidRDefault="00E1331E">
            <w:pPr>
              <w:rPr>
                <w:i/>
                <w:color w:val="002060"/>
              </w:rPr>
            </w:pPr>
            <w:r w:rsidRPr="00E1331E">
              <w:rPr>
                <w:i/>
                <w:color w:val="002060"/>
              </w:rPr>
              <w:t>Mettre en place un processus de suivi et de révision des formations pour assurer leur pertinence.</w:t>
            </w:r>
          </w:p>
        </w:tc>
      </w:tr>
      <w:tr w:rsidR="00974106" w14:paraId="38EB5BCE" w14:textId="77777777" w:rsidTr="004211F2">
        <w:trPr>
          <w:trHeight w:val="1270"/>
        </w:trPr>
        <w:tc>
          <w:tcPr>
            <w:tcW w:w="2561"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25B152E4" w14:textId="77777777" w:rsidR="00974106" w:rsidRDefault="00974106">
            <w:pPr>
              <w:spacing w:line="240" w:lineRule="auto"/>
              <w:rPr>
                <w:rFonts w:ascii="Calibri" w:eastAsia="Calibri" w:hAnsi="Calibri" w:cs="Calibri"/>
                <w:sz w:val="24"/>
                <w:szCs w:val="24"/>
              </w:rPr>
            </w:pPr>
          </w:p>
          <w:p w14:paraId="1EC5C54E" w14:textId="77777777" w:rsidR="00974106" w:rsidRDefault="00974106">
            <w:pPr>
              <w:jc w:val="right"/>
              <w:rPr>
                <w:color w:val="FFFFFF"/>
              </w:rPr>
            </w:pPr>
          </w:p>
        </w:tc>
        <w:tc>
          <w:tcPr>
            <w:tcW w:w="6568"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242EF7F6" w14:textId="77777777" w:rsidR="00974106" w:rsidRDefault="00974106">
            <w:pPr>
              <w:rPr>
                <w:i/>
                <w:color w:val="002060"/>
              </w:rPr>
            </w:pPr>
          </w:p>
        </w:tc>
      </w:tr>
      <w:tr w:rsidR="00974106" w14:paraId="278D3203" w14:textId="77777777" w:rsidTr="004211F2">
        <w:trPr>
          <w:trHeight w:val="1270"/>
        </w:trPr>
        <w:tc>
          <w:tcPr>
            <w:tcW w:w="2561" w:type="dxa"/>
            <w:tcBorders>
              <w:top w:val="nil"/>
              <w:left w:val="single" w:sz="8" w:space="0" w:color="A6A6A6"/>
              <w:bottom w:val="single" w:sz="8" w:space="0" w:color="FFFFFF"/>
              <w:right w:val="single" w:sz="8" w:space="0" w:color="FFFFFF"/>
            </w:tcBorders>
            <w:shd w:val="clear" w:color="auto" w:fill="9FC5E8"/>
            <w:tcMar>
              <w:top w:w="100" w:type="dxa"/>
              <w:left w:w="80" w:type="dxa"/>
              <w:bottom w:w="100" w:type="dxa"/>
              <w:right w:w="80" w:type="dxa"/>
            </w:tcMar>
          </w:tcPr>
          <w:p w14:paraId="382DB398" w14:textId="77777777" w:rsidR="00974106" w:rsidRDefault="00974106">
            <w:pPr>
              <w:spacing w:line="240" w:lineRule="auto"/>
              <w:rPr>
                <w:color w:val="FFFFFF"/>
              </w:rPr>
            </w:pPr>
          </w:p>
        </w:tc>
        <w:tc>
          <w:tcPr>
            <w:tcW w:w="6568" w:type="dxa"/>
            <w:gridSpan w:val="4"/>
            <w:tcBorders>
              <w:top w:val="nil"/>
              <w:left w:val="nil"/>
              <w:bottom w:val="single" w:sz="8" w:space="0" w:color="A6A6A6"/>
              <w:right w:val="single" w:sz="8" w:space="0" w:color="A6A6A6"/>
            </w:tcBorders>
            <w:shd w:val="clear" w:color="auto" w:fill="auto"/>
            <w:tcMar>
              <w:top w:w="100" w:type="dxa"/>
              <w:left w:w="80" w:type="dxa"/>
              <w:bottom w:w="100" w:type="dxa"/>
              <w:right w:w="80" w:type="dxa"/>
            </w:tcMar>
          </w:tcPr>
          <w:p w14:paraId="4C4FAC2E" w14:textId="77777777" w:rsidR="00974106" w:rsidRDefault="00974106">
            <w:pPr>
              <w:rPr>
                <w:i/>
                <w:color w:val="002060"/>
              </w:rPr>
            </w:pPr>
          </w:p>
        </w:tc>
      </w:tr>
      <w:tr w:rsidR="00974106" w14:paraId="31C67880" w14:textId="77777777" w:rsidTr="004211F2">
        <w:trPr>
          <w:trHeight w:val="181"/>
        </w:trPr>
        <w:tc>
          <w:tcPr>
            <w:tcW w:w="2561" w:type="dxa"/>
            <w:tcBorders>
              <w:top w:val="nil"/>
              <w:left w:val="nil"/>
              <w:bottom w:val="nil"/>
              <w:right w:val="nil"/>
            </w:tcBorders>
            <w:shd w:val="clear" w:color="auto" w:fill="auto"/>
            <w:tcMar>
              <w:top w:w="100" w:type="dxa"/>
              <w:left w:w="100" w:type="dxa"/>
              <w:bottom w:w="100" w:type="dxa"/>
              <w:right w:w="100" w:type="dxa"/>
            </w:tcMar>
          </w:tcPr>
          <w:p w14:paraId="6EC453A3" w14:textId="77777777" w:rsidR="00974106" w:rsidRDefault="00974106"/>
        </w:tc>
        <w:tc>
          <w:tcPr>
            <w:tcW w:w="1672" w:type="dxa"/>
            <w:tcBorders>
              <w:top w:val="nil"/>
              <w:left w:val="nil"/>
              <w:bottom w:val="nil"/>
              <w:right w:val="nil"/>
            </w:tcBorders>
            <w:shd w:val="clear" w:color="auto" w:fill="auto"/>
            <w:tcMar>
              <w:top w:w="100" w:type="dxa"/>
              <w:left w:w="100" w:type="dxa"/>
              <w:bottom w:w="100" w:type="dxa"/>
              <w:right w:w="100" w:type="dxa"/>
            </w:tcMar>
          </w:tcPr>
          <w:p w14:paraId="7CC9770B" w14:textId="77777777" w:rsidR="00974106" w:rsidRDefault="00974106"/>
        </w:tc>
        <w:tc>
          <w:tcPr>
            <w:tcW w:w="2789" w:type="dxa"/>
            <w:tcBorders>
              <w:top w:val="nil"/>
              <w:left w:val="nil"/>
              <w:bottom w:val="nil"/>
              <w:right w:val="nil"/>
            </w:tcBorders>
            <w:shd w:val="clear" w:color="auto" w:fill="auto"/>
            <w:tcMar>
              <w:top w:w="100" w:type="dxa"/>
              <w:left w:w="100" w:type="dxa"/>
              <w:bottom w:w="100" w:type="dxa"/>
              <w:right w:w="100" w:type="dxa"/>
            </w:tcMar>
          </w:tcPr>
          <w:p w14:paraId="57E8D150" w14:textId="77777777" w:rsidR="00974106" w:rsidRDefault="00974106"/>
        </w:tc>
        <w:tc>
          <w:tcPr>
            <w:tcW w:w="315" w:type="dxa"/>
            <w:tcBorders>
              <w:top w:val="nil"/>
              <w:left w:val="nil"/>
              <w:bottom w:val="nil"/>
              <w:right w:val="nil"/>
            </w:tcBorders>
            <w:shd w:val="clear" w:color="auto" w:fill="auto"/>
            <w:tcMar>
              <w:top w:w="100" w:type="dxa"/>
              <w:left w:w="100" w:type="dxa"/>
              <w:bottom w:w="100" w:type="dxa"/>
              <w:right w:w="100" w:type="dxa"/>
            </w:tcMar>
          </w:tcPr>
          <w:p w14:paraId="19B2CEB2" w14:textId="77777777" w:rsidR="00974106" w:rsidRDefault="00974106"/>
        </w:tc>
        <w:tc>
          <w:tcPr>
            <w:tcW w:w="1791" w:type="dxa"/>
            <w:tcBorders>
              <w:top w:val="nil"/>
              <w:left w:val="nil"/>
              <w:bottom w:val="nil"/>
              <w:right w:val="nil"/>
            </w:tcBorders>
            <w:shd w:val="clear" w:color="auto" w:fill="auto"/>
            <w:tcMar>
              <w:top w:w="100" w:type="dxa"/>
              <w:left w:w="100" w:type="dxa"/>
              <w:bottom w:w="100" w:type="dxa"/>
              <w:right w:w="100" w:type="dxa"/>
            </w:tcMar>
          </w:tcPr>
          <w:p w14:paraId="7BB033F7" w14:textId="77777777" w:rsidR="00974106" w:rsidRDefault="00974106"/>
        </w:tc>
      </w:tr>
    </w:tbl>
    <w:p w14:paraId="2609A463" w14:textId="77777777" w:rsidR="00974106" w:rsidRDefault="00974106"/>
    <w:p w14:paraId="4A17F615" w14:textId="77777777" w:rsidR="00224F1C" w:rsidRDefault="00224F1C"/>
    <w:p w14:paraId="372B16C9" w14:textId="77777777" w:rsidR="00224F1C" w:rsidRDefault="00224F1C"/>
    <w:p w14:paraId="61538E22" w14:textId="77777777" w:rsidR="00224F1C" w:rsidRDefault="00224F1C"/>
    <w:p w14:paraId="26F59179" w14:textId="77777777" w:rsidR="00224F1C" w:rsidRDefault="00224F1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071"/>
        <w:gridCol w:w="4298"/>
      </w:tblGrid>
      <w:tr w:rsidR="00224F1C" w:rsidRPr="00224F1C" w14:paraId="09653DBB" w14:textId="77777777" w:rsidTr="00224F1C">
        <w:trPr>
          <w:tblHeader/>
          <w:tblCellSpacing w:w="15" w:type="dxa"/>
        </w:trPr>
        <w:tc>
          <w:tcPr>
            <w:tcW w:w="0" w:type="auto"/>
            <w:vAlign w:val="center"/>
            <w:hideMark/>
          </w:tcPr>
          <w:p w14:paraId="42D2C186" w14:textId="77777777" w:rsidR="00224F1C" w:rsidRPr="00224F1C" w:rsidRDefault="00224F1C" w:rsidP="00224F1C">
            <w:pPr>
              <w:spacing w:line="240" w:lineRule="auto"/>
              <w:jc w:val="center"/>
              <w:rPr>
                <w:rFonts w:ascii="Times New Roman" w:eastAsia="Times New Roman" w:hAnsi="Times New Roman" w:cs="Times New Roman"/>
                <w:b/>
                <w:bCs/>
                <w:sz w:val="24"/>
                <w:szCs w:val="24"/>
                <w:lang w:val="fr-FR"/>
              </w:rPr>
            </w:pPr>
            <w:r w:rsidRPr="00224F1C">
              <w:rPr>
                <w:rFonts w:ascii="Times New Roman" w:eastAsia="Times New Roman" w:hAnsi="Times New Roman" w:cs="Times New Roman"/>
                <w:b/>
                <w:bCs/>
                <w:sz w:val="24"/>
                <w:szCs w:val="24"/>
                <w:lang w:val="fr-FR"/>
              </w:rPr>
              <w:t>Objectif d'Audit</w:t>
            </w:r>
          </w:p>
        </w:tc>
        <w:tc>
          <w:tcPr>
            <w:tcW w:w="0" w:type="auto"/>
            <w:vAlign w:val="center"/>
            <w:hideMark/>
          </w:tcPr>
          <w:p w14:paraId="2A56F80A" w14:textId="77777777" w:rsidR="00224F1C" w:rsidRPr="00224F1C" w:rsidRDefault="00224F1C" w:rsidP="00224F1C">
            <w:pPr>
              <w:spacing w:line="240" w:lineRule="auto"/>
              <w:jc w:val="center"/>
              <w:rPr>
                <w:rFonts w:ascii="Times New Roman" w:eastAsia="Times New Roman" w:hAnsi="Times New Roman" w:cs="Times New Roman"/>
                <w:b/>
                <w:bCs/>
                <w:sz w:val="24"/>
                <w:szCs w:val="24"/>
                <w:lang w:val="fr-FR"/>
              </w:rPr>
            </w:pPr>
            <w:r w:rsidRPr="00224F1C">
              <w:rPr>
                <w:rFonts w:ascii="Times New Roman" w:eastAsia="Times New Roman" w:hAnsi="Times New Roman" w:cs="Times New Roman"/>
                <w:b/>
                <w:bCs/>
                <w:sz w:val="24"/>
                <w:szCs w:val="24"/>
                <w:lang w:val="fr-FR"/>
              </w:rPr>
              <w:t>Constat</w:t>
            </w:r>
          </w:p>
        </w:tc>
        <w:tc>
          <w:tcPr>
            <w:tcW w:w="0" w:type="auto"/>
            <w:vAlign w:val="center"/>
            <w:hideMark/>
          </w:tcPr>
          <w:p w14:paraId="6576609C" w14:textId="77777777" w:rsidR="00224F1C" w:rsidRPr="00224F1C" w:rsidRDefault="00224F1C" w:rsidP="00224F1C">
            <w:pPr>
              <w:spacing w:line="240" w:lineRule="auto"/>
              <w:jc w:val="center"/>
              <w:rPr>
                <w:rFonts w:ascii="Times New Roman" w:eastAsia="Times New Roman" w:hAnsi="Times New Roman" w:cs="Times New Roman"/>
                <w:b/>
                <w:bCs/>
                <w:sz w:val="24"/>
                <w:szCs w:val="24"/>
                <w:lang w:val="fr-FR"/>
              </w:rPr>
            </w:pPr>
            <w:r w:rsidRPr="00224F1C">
              <w:rPr>
                <w:rFonts w:ascii="Times New Roman" w:eastAsia="Times New Roman" w:hAnsi="Times New Roman" w:cs="Times New Roman"/>
                <w:b/>
                <w:bCs/>
                <w:sz w:val="24"/>
                <w:szCs w:val="24"/>
                <w:lang w:val="fr-FR"/>
              </w:rPr>
              <w:t>Recommandations</w:t>
            </w:r>
          </w:p>
        </w:tc>
      </w:tr>
      <w:tr w:rsidR="00224F1C" w:rsidRPr="00224F1C" w14:paraId="7EB51012" w14:textId="77777777" w:rsidTr="00224F1C">
        <w:trPr>
          <w:tblCellSpacing w:w="15" w:type="dxa"/>
        </w:trPr>
        <w:tc>
          <w:tcPr>
            <w:tcW w:w="0" w:type="auto"/>
            <w:vAlign w:val="center"/>
            <w:hideMark/>
          </w:tcPr>
          <w:p w14:paraId="0BFDE87B" w14:textId="77777777" w:rsidR="00224F1C" w:rsidRPr="00224F1C" w:rsidRDefault="00224F1C" w:rsidP="00224F1C">
            <w:pPr>
              <w:spacing w:line="240" w:lineRule="auto"/>
              <w:rPr>
                <w:rFonts w:ascii="Times New Roman" w:eastAsia="Times New Roman" w:hAnsi="Times New Roman" w:cs="Times New Roman"/>
                <w:sz w:val="24"/>
                <w:szCs w:val="24"/>
                <w:lang w:val="fr-FR"/>
              </w:rPr>
            </w:pPr>
            <w:r w:rsidRPr="00224F1C">
              <w:rPr>
                <w:rFonts w:ascii="Times New Roman" w:eastAsia="Times New Roman" w:hAnsi="Times New Roman" w:cs="Times New Roman"/>
                <w:b/>
                <w:bCs/>
                <w:sz w:val="24"/>
                <w:szCs w:val="24"/>
                <w:lang w:val="fr-FR"/>
              </w:rPr>
              <w:t>Adaptation du Modèle de Données</w:t>
            </w:r>
          </w:p>
        </w:tc>
        <w:tc>
          <w:tcPr>
            <w:tcW w:w="0" w:type="auto"/>
            <w:vAlign w:val="center"/>
            <w:hideMark/>
          </w:tcPr>
          <w:p w14:paraId="26CC7D58" w14:textId="77777777" w:rsidR="00224F1C" w:rsidRPr="00224F1C" w:rsidRDefault="00224F1C" w:rsidP="00224F1C">
            <w:pPr>
              <w:spacing w:line="240" w:lineRule="auto"/>
              <w:rPr>
                <w:rFonts w:ascii="Times New Roman" w:eastAsia="Times New Roman" w:hAnsi="Times New Roman" w:cs="Times New Roman"/>
                <w:sz w:val="24"/>
                <w:szCs w:val="24"/>
                <w:lang w:val="fr-FR"/>
              </w:rPr>
            </w:pPr>
            <w:r w:rsidRPr="00224F1C">
              <w:rPr>
                <w:rFonts w:ascii="Times New Roman" w:eastAsia="Times New Roman" w:hAnsi="Times New Roman" w:cs="Times New Roman"/>
                <w:sz w:val="24"/>
                <w:szCs w:val="24"/>
                <w:lang w:val="fr-FR"/>
              </w:rPr>
              <w:t>Le modèle de données actuel est adéquat pour les besoins opérationnels de base, mais présente une limitation importante : un étudiant ne peut être associé qu'à une seule formation.</w:t>
            </w:r>
          </w:p>
        </w:tc>
        <w:tc>
          <w:tcPr>
            <w:tcW w:w="0" w:type="auto"/>
            <w:vAlign w:val="center"/>
            <w:hideMark/>
          </w:tcPr>
          <w:p w14:paraId="0DF15776" w14:textId="77777777" w:rsidR="00224F1C" w:rsidRPr="00224F1C" w:rsidRDefault="00224F1C" w:rsidP="00224F1C">
            <w:pPr>
              <w:spacing w:line="240" w:lineRule="auto"/>
              <w:rPr>
                <w:rFonts w:ascii="Times New Roman" w:eastAsia="Times New Roman" w:hAnsi="Times New Roman" w:cs="Times New Roman"/>
                <w:sz w:val="24"/>
                <w:szCs w:val="24"/>
                <w:lang w:val="fr-FR"/>
              </w:rPr>
            </w:pPr>
            <w:r w:rsidRPr="00224F1C">
              <w:rPr>
                <w:rFonts w:ascii="Times New Roman" w:eastAsia="Times New Roman" w:hAnsi="Times New Roman" w:cs="Times New Roman"/>
                <w:sz w:val="24"/>
                <w:szCs w:val="24"/>
                <w:lang w:val="fr-FR"/>
              </w:rPr>
              <w:t>Ajuster le modèle de données pour permettre à un étudiant d'être associé à plusieurs formations, répondant ainsi à la demande des utilisateurs et améliorant l'efficacité des processus.</w:t>
            </w:r>
          </w:p>
        </w:tc>
      </w:tr>
      <w:tr w:rsidR="00224F1C" w:rsidRPr="00224F1C" w14:paraId="7417F4CA" w14:textId="77777777" w:rsidTr="00224F1C">
        <w:trPr>
          <w:tblCellSpacing w:w="15" w:type="dxa"/>
        </w:trPr>
        <w:tc>
          <w:tcPr>
            <w:tcW w:w="0" w:type="auto"/>
            <w:vAlign w:val="center"/>
            <w:hideMark/>
          </w:tcPr>
          <w:p w14:paraId="03368A50" w14:textId="77777777" w:rsidR="00224F1C" w:rsidRPr="00224F1C" w:rsidRDefault="00224F1C" w:rsidP="00224F1C">
            <w:pPr>
              <w:spacing w:line="240" w:lineRule="auto"/>
              <w:rPr>
                <w:rFonts w:ascii="Times New Roman" w:eastAsia="Times New Roman" w:hAnsi="Times New Roman" w:cs="Times New Roman"/>
                <w:sz w:val="24"/>
                <w:szCs w:val="24"/>
                <w:lang w:val="fr-FR"/>
              </w:rPr>
            </w:pPr>
            <w:r w:rsidRPr="00224F1C">
              <w:rPr>
                <w:rFonts w:ascii="Times New Roman" w:eastAsia="Times New Roman" w:hAnsi="Times New Roman" w:cs="Times New Roman"/>
                <w:b/>
                <w:bCs/>
                <w:sz w:val="24"/>
                <w:szCs w:val="24"/>
                <w:lang w:val="fr-FR"/>
              </w:rPr>
              <w:t>Amélioration des Processus</w:t>
            </w:r>
          </w:p>
        </w:tc>
        <w:tc>
          <w:tcPr>
            <w:tcW w:w="0" w:type="auto"/>
            <w:vAlign w:val="center"/>
            <w:hideMark/>
          </w:tcPr>
          <w:p w14:paraId="5E64D7A2" w14:textId="77777777" w:rsidR="00224F1C" w:rsidRPr="00224F1C" w:rsidRDefault="00224F1C" w:rsidP="00224F1C">
            <w:pPr>
              <w:spacing w:line="240" w:lineRule="auto"/>
              <w:rPr>
                <w:rFonts w:ascii="Times New Roman" w:eastAsia="Times New Roman" w:hAnsi="Times New Roman" w:cs="Times New Roman"/>
                <w:sz w:val="24"/>
                <w:szCs w:val="24"/>
                <w:lang w:val="fr-FR"/>
              </w:rPr>
            </w:pPr>
            <w:r w:rsidRPr="00224F1C">
              <w:rPr>
                <w:rFonts w:ascii="Times New Roman" w:eastAsia="Times New Roman" w:hAnsi="Times New Roman" w:cs="Times New Roman"/>
                <w:sz w:val="24"/>
                <w:szCs w:val="24"/>
                <w:lang w:val="fr-FR"/>
              </w:rPr>
              <w:t>Les utilisateurs clés, en particulier les commerciaux, rencontrent des difficultés dans le suivi des étudiants, mentors, formations et anciens clients.</w:t>
            </w:r>
          </w:p>
        </w:tc>
        <w:tc>
          <w:tcPr>
            <w:tcW w:w="0" w:type="auto"/>
            <w:vAlign w:val="center"/>
            <w:hideMark/>
          </w:tcPr>
          <w:p w14:paraId="5DB14103" w14:textId="77777777" w:rsidR="00224F1C" w:rsidRPr="00224F1C" w:rsidRDefault="00224F1C" w:rsidP="00224F1C">
            <w:pPr>
              <w:spacing w:line="240" w:lineRule="auto"/>
              <w:rPr>
                <w:rFonts w:ascii="Times New Roman" w:eastAsia="Times New Roman" w:hAnsi="Times New Roman" w:cs="Times New Roman"/>
                <w:sz w:val="24"/>
                <w:szCs w:val="24"/>
                <w:lang w:val="fr-FR"/>
              </w:rPr>
            </w:pPr>
            <w:r w:rsidRPr="00224F1C">
              <w:rPr>
                <w:rFonts w:ascii="Times New Roman" w:eastAsia="Times New Roman" w:hAnsi="Times New Roman" w:cs="Times New Roman"/>
                <w:sz w:val="24"/>
                <w:szCs w:val="24"/>
                <w:lang w:val="fr-FR"/>
              </w:rPr>
              <w:t>Créer des processus automatisés pour l'inscription des étudiants aux formations et l'attribution de mentors, faciliter le suivi des anciens clients avec un système dédié, et mettre en place un suivi et une révision des formations pour assurer leur pertinence.</w:t>
            </w:r>
          </w:p>
        </w:tc>
      </w:tr>
      <w:tr w:rsidR="00224F1C" w:rsidRPr="00224F1C" w14:paraId="3B197266" w14:textId="77777777" w:rsidTr="00224F1C">
        <w:trPr>
          <w:tblCellSpacing w:w="15" w:type="dxa"/>
        </w:trPr>
        <w:tc>
          <w:tcPr>
            <w:tcW w:w="0" w:type="auto"/>
            <w:vAlign w:val="center"/>
            <w:hideMark/>
          </w:tcPr>
          <w:p w14:paraId="5616EE61" w14:textId="77777777" w:rsidR="00224F1C" w:rsidRPr="00224F1C" w:rsidRDefault="00224F1C" w:rsidP="00224F1C">
            <w:pPr>
              <w:spacing w:line="240" w:lineRule="auto"/>
              <w:rPr>
                <w:rFonts w:ascii="Times New Roman" w:eastAsia="Times New Roman" w:hAnsi="Times New Roman" w:cs="Times New Roman"/>
                <w:sz w:val="24"/>
                <w:szCs w:val="24"/>
                <w:lang w:val="fr-FR"/>
              </w:rPr>
            </w:pPr>
            <w:r w:rsidRPr="00224F1C">
              <w:rPr>
                <w:rFonts w:ascii="Times New Roman" w:eastAsia="Times New Roman" w:hAnsi="Times New Roman" w:cs="Times New Roman"/>
                <w:b/>
                <w:bCs/>
                <w:sz w:val="24"/>
                <w:szCs w:val="24"/>
                <w:lang w:val="fr-FR"/>
              </w:rPr>
              <w:t>Rapports et Métriques</w:t>
            </w:r>
          </w:p>
        </w:tc>
        <w:tc>
          <w:tcPr>
            <w:tcW w:w="0" w:type="auto"/>
            <w:vAlign w:val="center"/>
            <w:hideMark/>
          </w:tcPr>
          <w:p w14:paraId="48C3E8F6" w14:textId="77777777" w:rsidR="00224F1C" w:rsidRPr="00224F1C" w:rsidRDefault="00224F1C" w:rsidP="00224F1C">
            <w:pPr>
              <w:spacing w:line="240" w:lineRule="auto"/>
              <w:rPr>
                <w:rFonts w:ascii="Times New Roman" w:eastAsia="Times New Roman" w:hAnsi="Times New Roman" w:cs="Times New Roman"/>
                <w:sz w:val="24"/>
                <w:szCs w:val="24"/>
                <w:lang w:val="fr-FR"/>
              </w:rPr>
            </w:pPr>
            <w:r w:rsidRPr="00224F1C">
              <w:rPr>
                <w:rFonts w:ascii="Times New Roman" w:eastAsia="Times New Roman" w:hAnsi="Times New Roman" w:cs="Times New Roman"/>
                <w:sz w:val="24"/>
                <w:szCs w:val="24"/>
                <w:lang w:val="fr-FR"/>
              </w:rPr>
              <w:t>Les demandes spécifiques en matière de rapports et de métriques ne sont pas complètement satisfaites, entraînant une lacune dans la prise de décision basée sur les données.</w:t>
            </w:r>
          </w:p>
        </w:tc>
        <w:tc>
          <w:tcPr>
            <w:tcW w:w="0" w:type="auto"/>
            <w:vAlign w:val="center"/>
            <w:hideMark/>
          </w:tcPr>
          <w:p w14:paraId="1ECD0A86" w14:textId="77777777" w:rsidR="00224F1C" w:rsidRPr="00224F1C" w:rsidRDefault="00224F1C" w:rsidP="00224F1C">
            <w:pPr>
              <w:spacing w:line="240" w:lineRule="auto"/>
              <w:rPr>
                <w:rFonts w:ascii="Times New Roman" w:eastAsia="Times New Roman" w:hAnsi="Times New Roman" w:cs="Times New Roman"/>
                <w:sz w:val="24"/>
                <w:szCs w:val="24"/>
                <w:lang w:val="fr-FR"/>
              </w:rPr>
            </w:pPr>
            <w:r w:rsidRPr="00224F1C">
              <w:rPr>
                <w:rFonts w:ascii="Times New Roman" w:eastAsia="Times New Roman" w:hAnsi="Times New Roman" w:cs="Times New Roman"/>
                <w:sz w:val="24"/>
                <w:szCs w:val="24"/>
                <w:lang w:val="fr-FR"/>
              </w:rPr>
              <w:t>Ajouter des rapports dans Salesforce pour répondre aux besoins, notamment un rapport sur les formations avec les places disponibles, un rapport groupant les étudiants par statut, et un rapport comparatif du taux de transformation prospect en client actif.</w:t>
            </w:r>
          </w:p>
        </w:tc>
      </w:tr>
    </w:tbl>
    <w:p w14:paraId="20792C8F" w14:textId="77777777" w:rsidR="00224F1C" w:rsidRDefault="00224F1C"/>
    <w:sectPr w:rsidR="00224F1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32706"/>
    <w:multiLevelType w:val="multilevel"/>
    <w:tmpl w:val="7984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E207A"/>
    <w:multiLevelType w:val="multilevel"/>
    <w:tmpl w:val="65DC1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795AE4"/>
    <w:multiLevelType w:val="multilevel"/>
    <w:tmpl w:val="35DE1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6078964">
    <w:abstractNumId w:val="1"/>
  </w:num>
  <w:num w:numId="2" w16cid:durableId="1843428080">
    <w:abstractNumId w:val="2"/>
  </w:num>
  <w:num w:numId="3" w16cid:durableId="62640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106"/>
    <w:rsid w:val="00224F1C"/>
    <w:rsid w:val="004211F2"/>
    <w:rsid w:val="00974106"/>
    <w:rsid w:val="00AC6149"/>
    <w:rsid w:val="00AD30B9"/>
    <w:rsid w:val="00B0655A"/>
    <w:rsid w:val="00D148DB"/>
    <w:rsid w:val="00E133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70247"/>
  <w15:docId w15:val="{57FE584E-1282-45CC-9D78-833C4DEF7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lev">
    <w:name w:val="Strong"/>
    <w:basedOn w:val="Policepardfaut"/>
    <w:uiPriority w:val="22"/>
    <w:qFormat/>
    <w:rsid w:val="00224F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4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3</Pages>
  <Words>505</Words>
  <Characters>2782</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Aïcha Imène</dc:creator>
  <cp:lastModifiedBy>Aïcha Dahoumane</cp:lastModifiedBy>
  <cp:revision>4</cp:revision>
  <dcterms:created xsi:type="dcterms:W3CDTF">2023-11-09T15:43:00Z</dcterms:created>
  <dcterms:modified xsi:type="dcterms:W3CDTF">2023-11-17T09:22:00Z</dcterms:modified>
</cp:coreProperties>
</file>