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36"/>
        </w:rPr>
        <w:t>COMSATS UNIVERSITY ISLAMABAD</w:t>
      </w:r>
    </w:p>
    <w:p>
      <w:pPr>
        <w:spacing w:after="400"/>
        <w:jc w:val="center"/>
      </w:pPr>
      <w:r>
        <w:drawing>
          <wp:inline xmlns:a="http://schemas.openxmlformats.org/drawingml/2006/main" xmlns:pic="http://schemas.openxmlformats.org/drawingml/2006/picture">
            <wp:extent cx="1508760" cy="1506801"/>
            <wp:docPr id="1" name="Picture 1"/>
            <wp:cNvGraphicFramePr>
              <a:graphicFrameLocks noChangeAspect="1"/>
            </wp:cNvGraphicFramePr>
            <a:graphic>
              <a:graphicData uri="http://schemas.openxmlformats.org/drawingml/2006/picture">
                <pic:pic>
                  <pic:nvPicPr>
                    <pic:cNvPr id="0" name="final_0_0.PNG"/>
                    <pic:cNvPicPr/>
                  </pic:nvPicPr>
                  <pic:blipFill>
                    <a:blip r:embed="rId9"/>
                    <a:stretch>
                      <a:fillRect/>
                    </a:stretch>
                  </pic:blipFill>
                  <pic:spPr>
                    <a:xfrm>
                      <a:off x="0" y="0"/>
                      <a:ext cx="1508760" cy="1506801"/>
                    </a:xfrm>
                    <a:prstGeom prst="rect"/>
                  </pic:spPr>
                </pic:pic>
              </a:graphicData>
            </a:graphic>
          </wp:inline>
        </w:drawing>
      </w:r>
    </w:p>
    <w:p>
      <w:pPr>
        <w:spacing w:after="360"/>
        <w:jc w:val="center"/>
      </w:pPr>
      <w:r>
        <w:rPr>
          <w:b/>
          <w:sz w:val="24"/>
        </w:rPr>
        <w:t>PROJECT PROPOSAL</w:t>
      </w:r>
    </w:p>
    <w:p>
      <w:pPr>
        <w:spacing w:after="140"/>
        <w:jc w:val="center"/>
      </w:pPr>
      <w:r>
        <w:rPr>
          <w:b/>
          <w:color w:val="17365D"/>
          <w:sz w:val="68"/>
        </w:rPr>
        <w:t>NovaWorks</w:t>
      </w:r>
    </w:p>
    <w:p>
      <w:pPr>
        <w:spacing w:after="160"/>
        <w:jc w:val="center"/>
      </w:pPr>
      <w:r>
        <w:rPr>
          <w:b w:val="0"/>
          <w:sz w:val="34"/>
        </w:rPr>
        <w:t>Meeting-to-Execution Workspace</w:t>
      </w:r>
    </w:p>
    <w:p>
      <w:pPr>
        <w:spacing w:after="600"/>
        <w:jc w:val="center"/>
      </w:pPr>
      <w:r>
        <w:rPr>
          <w:b w:val="0"/>
          <w:sz w:val="24"/>
        </w:rPr>
        <w:t>Frontend Design and Development</w:t>
      </w:r>
    </w:p>
    <w:p>
      <w:pPr>
        <w:spacing w:after="240"/>
        <w:jc w:val="center"/>
      </w:pPr>
      <w:r>
        <w:rPr>
          <w:b/>
          <w:sz w:val="22"/>
        </w:rPr>
        <w:t>SUBMITTED BY</w:t>
      </w:r>
    </w:p>
    <w:p>
      <w:pPr>
        <w:spacing w:after="40"/>
        <w:jc w:val="center"/>
      </w:pPr>
      <w:r>
        <w:rPr>
          <w:b/>
          <w:sz w:val="28"/>
        </w:rPr>
        <w:t>AIZAZ NOOR</w:t>
      </w:r>
    </w:p>
    <w:p>
      <w:pPr>
        <w:spacing w:after="280"/>
        <w:jc w:val="center"/>
      </w:pPr>
      <w:r>
        <w:rPr>
          <w:b w:val="0"/>
          <w:sz w:val="24"/>
        </w:rPr>
        <w:t>SP25-BSE-013</w:t>
      </w:r>
    </w:p>
    <w:p>
      <w:pPr>
        <w:spacing w:after="40"/>
        <w:jc w:val="center"/>
      </w:pPr>
      <w:r>
        <w:rPr>
          <w:b/>
          <w:sz w:val="28"/>
        </w:rPr>
        <w:t>ABDUL BASIT SHAHID</w:t>
      </w:r>
    </w:p>
    <w:p>
      <w:pPr>
        <w:spacing w:after="560"/>
        <w:jc w:val="center"/>
      </w:pPr>
      <w:r>
        <w:rPr>
          <w:b w:val="0"/>
          <w:sz w:val="24"/>
        </w:rPr>
        <w:t>SP25-BSE-001</w:t>
      </w:r>
    </w:p>
    <w:p>
      <w:pPr>
        <w:spacing w:after="160"/>
        <w:jc w:val="center"/>
      </w:pPr>
      <w:r>
        <w:rPr>
          <w:b/>
          <w:sz w:val="22"/>
        </w:rPr>
        <w:t>SUBMITTED TO</w:t>
      </w:r>
    </w:p>
    <w:p>
      <w:pPr>
        <w:spacing w:after="560"/>
        <w:jc w:val="center"/>
      </w:pPr>
      <w:r>
        <w:rPr>
          <w:b/>
          <w:sz w:val="32"/>
        </w:rPr>
        <w:t>Sir Asif Shahzad</w:t>
      </w:r>
    </w:p>
    <w:p>
      <w:pPr>
        <w:spacing w:after="120"/>
        <w:jc w:val="center"/>
      </w:pPr>
      <w:r>
        <w:rPr>
          <w:b w:val="0"/>
          <w:sz w:val="20"/>
        </w:rPr>
        <w:t>2 members  •  16 proposed dynamic interfaces  •  8 interfaces per member</w:t>
      </w:r>
    </w:p>
    <w:p>
      <w:r>
        <w:br w:type="page"/>
      </w:r>
    </w:p>
    <w:p>
      <w:pPr>
        <w:spacing w:after="200"/>
      </w:pPr>
      <w:r>
        <w:rPr>
          <w:b/>
          <w:sz w:val="34"/>
        </w:rPr>
        <w:t>NovaWorks | Frontend Project Proposal</w:t>
      </w:r>
    </w:p>
    <w:p>
      <w:pPr>
        <w:pStyle w:val="Heading1"/>
      </w:pPr>
      <w:r>
        <w:t>1. Purpose and project boundary</w:t>
      </w:r>
    </w:p>
    <w:p>
      <w:r>
        <w:t>NovaWorks is a meeting-to-execution workspace for service teams. It connects meeting decisions, customer relationships, sales opportunities, projects, assigned tasks, recorded time and invoices. Administrators coordinate company work, managers supervise permitted projects and tasks, and team members inspect assignments and record their work.</w:t>
      </w:r>
    </w:p>
    <w:p>
      <w:r>
        <w:t>This academic project covers frontend design and interaction using React 19, Vite, JavaScript, HTML and CSS. The frontend consumes existing APIs for permitted records and workflow actions. Backend services, database administration and AI model development are outside the members’ frontend responsibility. The interface allocation comprises 16 substantial functional units, eight per member.</w:t>
      </w:r>
    </w:p>
    <w:p>
      <w:pPr>
        <w:pStyle w:val="Heading1"/>
      </w:pPr>
      <w:r>
        <w:t>2. Frontend interfaces and interaction</w:t>
      </w:r>
    </w:p>
    <w:tbl>
      <w:tblPr>
        <w:tblW w:type="auto" w:w="0"/>
        <w:tblLayout w:type="fixed"/>
        <w:tblLook w:firstColumn="1" w:firstRow="1" w:lastColumn="0" w:lastRow="0" w:noHBand="0" w:noVBand="1" w:val="04A0"/>
      </w:tblPr>
      <w:tblGrid>
        <w:gridCol w:w="2909"/>
        <w:gridCol w:w="6811"/>
      </w:tblGrid>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Interface area</w:t>
            </w:r>
          </w:p>
        </w:tc>
        <w:tc>
          <w:tcPr>
            <w:tcW w:type="dxa" w:w="6811"/>
            <w:tcMar>
              <w:top w:w="65" w:type="dxa"/>
              <w:bottom w:w="65" w:type="dxa"/>
              <w:left w:w="60" w:type="dxa"/>
              <w:right w:w="60" w:type="dxa"/>
            </w:tcMar>
          </w:tcPr>
          <w:p>
            <w:pPr>
              <w:spacing w:after="40" w:before="40" w:line="252" w:lineRule="auto"/>
            </w:pPr>
            <w:r>
              <w:rPr>
                <w:rFonts w:ascii="Calibri" w:hAnsi="Calibri"/>
                <w:b/>
                <w:sz w:val="18"/>
              </w:rPr>
              <w:t>Frontend behaviour</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Account access and overview</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Sign-in and session feedback; company selection; role-aware navigation and a company overview of permitted work.</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Projects and project details</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Project search and status filters; client, scope, manager and deadline information; project status and milestone controls.</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Tasks and task details</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Assigned work, status filters, owners, deadlines and estimated hours; task description, discussion and attachments.</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Team directory and member controls</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Member information and role visibility; company membership and access controls for authorized users.</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Meeting submission, review and history</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Transcript entry and queueing; processing feedback; editable draft review and approval; saved meeting statuses and creation summaries.</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Customers and sales pipeline</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Customer records and contacts; lead qualification, deals and sales stages; links between won opportunities and delivery projects.</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Quotes, orders and invoices</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Quote preparation and acceptance; sales orders; invoice details, PDF export and recorded payment evidence.</w:t>
            </w:r>
          </w:p>
        </w:tc>
      </w:tr>
      <w:tr>
        <w:trPr>
          <w:cantSplit/>
        </w:trPr>
        <w:tc>
          <w:tcPr>
            <w:tcW w:type="dxa" w:w="2909"/>
            <w:tcMar>
              <w:top w:w="65" w:type="dxa"/>
              <w:bottom w:w="65" w:type="dxa"/>
              <w:left w:w="60" w:type="dxa"/>
              <w:right w:w="60" w:type="dxa"/>
            </w:tcMar>
          </w:tcPr>
          <w:p>
            <w:pPr>
              <w:spacing w:after="40" w:before="40" w:line="252" w:lineRule="auto"/>
            </w:pPr>
            <w:r>
              <w:rPr>
                <w:rFonts w:ascii="Calibri" w:hAnsi="Calibri"/>
                <w:b/>
                <w:sz w:val="18"/>
              </w:rPr>
              <w:t>Timesheets and reports</w:t>
            </w:r>
          </w:p>
        </w:tc>
        <w:tc>
          <w:tcPr>
            <w:tcW w:type="dxa" w:w="6811"/>
            <w:tcMar>
              <w:top w:w="65" w:type="dxa"/>
              <w:bottom w:w="65" w:type="dxa"/>
              <w:left w:w="60" w:type="dxa"/>
              <w:right w:w="60" w:type="dxa"/>
            </w:tcMar>
          </w:tcPr>
          <w:p>
            <w:pPr>
              <w:spacing w:after="40" w:before="40" w:line="252" w:lineRule="auto"/>
            </w:pPr>
            <w:r>
              <w:rPr>
                <w:rFonts w:ascii="Calibri" w:hAnsi="Calibri"/>
                <w:b w:val="0"/>
                <w:sz w:val="18"/>
              </w:rPr>
              <w:t>Time entry and independent approval; date/status filters; delivery, sales and invoice summaries with permission-aware access.</w:t>
            </w:r>
          </w:p>
        </w:tc>
      </w:tr>
    </w:tbl>
    <w:p>
      <w:pPr>
        <w:pStyle w:val="Heading1"/>
      </w:pPr>
      <w:r>
        <w:t>3. Workflow and meaningful information</w:t>
      </w:r>
    </w:p>
    <w:p>
      <w:r>
        <w:t>Meeting workflow: Sign in → select company → enter meeting transcript → queue and process → review or correct the draft → approve → inspect the resulting projects and tasks. Saved meeting records provide status and result information.</w:t>
      </w:r>
    </w:p>
    <w:p>
      <w:r>
        <w:t>Business workflow: Lead → customer and deal → quote → sales order → project and assigned tasks → recorded and approved time → invoice → reports. Members use their permitted assignments; managers review permitted delivery work; owners and administrators access company controls.</w:t>
      </w:r>
    </w:p>
    <w:p>
      <w:r>
        <w:t>Owners identify responsibility, deadlines identify delivery dates and estimated hours describe planned effort. Timesheets record actual minutes separately. Quote and invoice amounts retain their currency, and payment entries record external receipts.</w:t>
      </w:r>
    </w:p>
    <w:p>
      <w:r>
        <w:br w:type="page"/>
      </w:r>
    </w:p>
    <w:p>
      <w:pPr>
        <w:spacing w:after="200"/>
      </w:pPr>
      <w:r>
        <w:rPr>
          <w:b/>
          <w:sz w:val="34"/>
        </w:rPr>
        <w:t>Scope, Responsibilities and Delivery</w:t>
      </w:r>
    </w:p>
    <w:p>
      <w:pPr>
        <w:pStyle w:val="Heading1"/>
      </w:pPr>
      <w:r>
        <w:t>4. Two-member allocation — 16 interface units</w:t>
      </w:r>
    </w:p>
    <w:p>
      <w:r>
        <w:t>Each member is responsible for eight frontend interface units. A unit may be a screen or a substantial interactive panel with a distinct purpose. Responsive layouts, role variants, filters and loading states remain part of their parent interface.</w:t>
      </w:r>
    </w:p>
    <w:tbl>
      <w:tblPr>
        <w:tblW w:type="auto" w:w="0"/>
        <w:tblLayout w:type="fixed"/>
        <w:tblLook w:firstColumn="1" w:firstRow="1" w:lastColumn="0" w:lastRow="0" w:noHBand="0" w:noVBand="1" w:val="04A0"/>
        <w:tblBorders>
          <w:top w:val="single" w:sz="6" w:color="4472C4"/>
          <w:bottom w:val="single" w:sz="6" w:color="4472C4"/>
        </w:tblBorders>
      </w:tblPr>
      <w:tblGrid>
        <w:gridCol w:w="4860"/>
        <w:gridCol w:w="4860"/>
      </w:tblGrid>
      <w:tr>
        <w:trPr>
          <w:cantSplit/>
        </w:trPr>
        <w:tc>
          <w:tcPr>
            <w:tcW w:type="dxa" w:w="4860"/>
            <w:tcMar>
              <w:top w:w="65" w:type="dxa"/>
              <w:bottom w:w="65" w:type="dxa"/>
              <w:left w:w="60" w:type="dxa"/>
              <w:right w:w="60" w:type="dxa"/>
            </w:tcMar>
          </w:tcPr>
          <w:p>
            <w:pPr>
              <w:spacing w:after="40" w:before="40" w:line="252" w:lineRule="auto"/>
            </w:pPr>
            <w:r>
              <w:rPr>
                <w:rFonts w:ascii="Calibri" w:hAnsi="Calibri"/>
                <w:b/>
                <w:sz w:val="18"/>
              </w:rPr>
              <w:t>AIZAZ NOOR | SP25-BSE-013</w:t>
            </w:r>
          </w:p>
        </w:tc>
        <w:tc>
          <w:tcPr>
            <w:tcW w:type="dxa" w:w="4860"/>
            <w:tcMar>
              <w:top w:w="65" w:type="dxa"/>
              <w:bottom w:w="65" w:type="dxa"/>
              <w:left w:w="60" w:type="dxa"/>
              <w:right w:w="60" w:type="dxa"/>
            </w:tcMar>
          </w:tcPr>
          <w:p>
            <w:pPr>
              <w:spacing w:after="40" w:before="40" w:line="252" w:lineRule="auto"/>
            </w:pPr>
            <w:r>
              <w:rPr>
                <w:rFonts w:ascii="Calibri" w:hAnsi="Calibri"/>
                <w:b/>
                <w:sz w:val="18"/>
              </w:rPr>
              <w:t>ABDUL BASIT SHAHID | SP25-BSE-001</w:t>
            </w:r>
          </w:p>
        </w:tc>
      </w:tr>
      <w:tr>
        <w:trPr>
          <w:cantSplit/>
        </w:trPr>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1. Sign-in and session feedback: account entry, demo access and sign-out.</w:t>
            </w:r>
          </w:p>
        </w:tc>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1. My Tasks and company tasks: assignments, status filters and project context.</w:t>
            </w:r>
          </w:p>
        </w:tc>
      </w:tr>
      <w:tr>
        <w:trPr>
          <w:cantSplit/>
        </w:trPr>
        <w:tc>
          <w:tcPr>
            <w:tcW w:type="dxa" w:w="4860"/>
            <w:tcMar>
              <w:top w:w="65" w:type="dxa"/>
              <w:bottom w:w="65" w:type="dxa"/>
              <w:left w:w="60" w:type="dxa"/>
              <w:right w:w="60" w:type="dxa"/>
            </w:tcMar>
          </w:tcPr>
          <w:p>
            <w:pPr>
              <w:spacing w:after="40" w:before="40" w:line="252" w:lineRule="auto"/>
            </w:pPr>
            <w:r>
              <w:rPr>
                <w:rFonts w:ascii="Calibri" w:hAnsi="Calibri"/>
                <w:b w:val="0"/>
                <w:sz w:val="18"/>
              </w:rPr>
              <w:t>2. Project directory: search, filters and navigation to permitted projects.</w:t>
            </w:r>
          </w:p>
        </w:tc>
        <w:tc>
          <w:tcPr>
            <w:tcW w:type="dxa" w:w="4860"/>
            <w:tcMar>
              <w:top w:w="65" w:type="dxa"/>
              <w:bottom w:w="65" w:type="dxa"/>
              <w:left w:w="60" w:type="dxa"/>
              <w:right w:w="60" w:type="dxa"/>
            </w:tcMar>
          </w:tcPr>
          <w:p>
            <w:pPr>
              <w:spacing w:after="40" w:before="40" w:line="252" w:lineRule="auto"/>
            </w:pPr>
            <w:r>
              <w:rPr>
                <w:rFonts w:ascii="Calibri" w:hAnsi="Calibri"/>
                <w:b w:val="0"/>
                <w:sz w:val="18"/>
              </w:rPr>
              <w:t>2. Task details and discussion: full scope, comments and attachments.</w:t>
            </w:r>
          </w:p>
        </w:tc>
      </w:tr>
      <w:tr>
        <w:trPr>
          <w:cantSplit/>
        </w:trPr>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3. Project details: scope, manager, deadlines, status and milestones.</w:t>
            </w:r>
          </w:p>
        </w:tc>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3. Team directory and member controls: people, roles and company access.</w:t>
            </w:r>
          </w:p>
        </w:tc>
      </w:tr>
      <w:tr>
        <w:trPr>
          <w:cantSplit/>
        </w:trPr>
        <w:tc>
          <w:tcPr>
            <w:tcW w:type="dxa" w:w="4860"/>
            <w:tcMar>
              <w:top w:w="65" w:type="dxa"/>
              <w:bottom w:w="65" w:type="dxa"/>
              <w:left w:w="60" w:type="dxa"/>
              <w:right w:w="60" w:type="dxa"/>
            </w:tcMar>
          </w:tcPr>
          <w:p>
            <w:pPr>
              <w:spacing w:after="40" w:before="40" w:line="252" w:lineRule="auto"/>
            </w:pPr>
            <w:r>
              <w:rPr>
                <w:rFonts w:ascii="Calibri" w:hAnsi="Calibri"/>
                <w:b w:val="0"/>
                <w:sz w:val="18"/>
              </w:rPr>
              <w:t>4. Meeting submission: transcript entry, queueing and processing feedback.</w:t>
            </w:r>
          </w:p>
        </w:tc>
        <w:tc>
          <w:tcPr>
            <w:tcW w:type="dxa" w:w="4860"/>
            <w:tcMar>
              <w:top w:w="65" w:type="dxa"/>
              <w:bottom w:w="65" w:type="dxa"/>
              <w:left w:w="60" w:type="dxa"/>
              <w:right w:w="60" w:type="dxa"/>
            </w:tcMar>
          </w:tcPr>
          <w:p>
            <w:pPr>
              <w:spacing w:after="40" w:before="40" w:line="252" w:lineRule="auto"/>
            </w:pPr>
            <w:r>
              <w:rPr>
                <w:rFonts w:ascii="Calibri" w:hAnsi="Calibri"/>
                <w:b w:val="0"/>
                <w:sz w:val="18"/>
              </w:rPr>
              <w:t>4. Company overview: permitted project, task, time and finance summaries.</w:t>
            </w:r>
          </w:p>
        </w:tc>
      </w:tr>
      <w:tr>
        <w:trPr>
          <w:cantSplit/>
        </w:trPr>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5. Draft review and correction: project/task fields, assignments and approval.</w:t>
            </w:r>
          </w:p>
        </w:tc>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5. Timesheets: work logs, date/status filters and independent time review.</w:t>
            </w:r>
          </w:p>
        </w:tc>
      </w:tr>
      <w:tr>
        <w:trPr>
          <w:cantSplit/>
        </w:trPr>
        <w:tc>
          <w:tcPr>
            <w:tcW w:type="dxa" w:w="4860"/>
            <w:tcMar>
              <w:top w:w="65" w:type="dxa"/>
              <w:bottom w:w="65" w:type="dxa"/>
              <w:left w:w="60" w:type="dxa"/>
              <w:right w:w="60" w:type="dxa"/>
            </w:tcMar>
          </w:tcPr>
          <w:p>
            <w:pPr>
              <w:spacing w:after="40" w:before="40" w:line="252" w:lineRule="auto"/>
            </w:pPr>
            <w:r>
              <w:rPr>
                <w:rFonts w:ascii="Calibri" w:hAnsi="Calibri"/>
                <w:b w:val="0"/>
                <w:sz w:val="18"/>
              </w:rPr>
              <w:t>6. Meeting history and results: saved statuses, meeting review and creation summaries.</w:t>
            </w:r>
          </w:p>
        </w:tc>
        <w:tc>
          <w:tcPr>
            <w:tcW w:type="dxa" w:w="4860"/>
            <w:tcMar>
              <w:top w:w="65" w:type="dxa"/>
              <w:bottom w:w="65" w:type="dxa"/>
              <w:left w:w="60" w:type="dxa"/>
              <w:right w:w="60" w:type="dxa"/>
            </w:tcMar>
          </w:tcPr>
          <w:p>
            <w:pPr>
              <w:spacing w:after="40" w:before="40" w:line="252" w:lineRule="auto"/>
            </w:pPr>
            <w:r>
              <w:rPr>
                <w:rFonts w:ascii="Calibri" w:hAnsi="Calibri"/>
                <w:b w:val="0"/>
                <w:sz w:val="18"/>
              </w:rPr>
              <w:t>6. Quotes and sales orders: quote details, acceptance and order context.</w:t>
            </w:r>
          </w:p>
        </w:tc>
      </w:tr>
      <w:tr>
        <w:trPr>
          <w:cantSplit/>
        </w:trPr>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7. Customer workspace: customer records, contacts and activity context.</w:t>
            </w:r>
          </w:p>
        </w:tc>
        <w:tc>
          <w:tcPr>
            <w:tcW w:type="dxa" w:w="4860"/>
            <w:shd w:fill="D4DFEF"/>
            <w:tcMar>
              <w:top w:w="65" w:type="dxa"/>
              <w:bottom w:w="65" w:type="dxa"/>
              <w:left w:w="60" w:type="dxa"/>
              <w:right w:w="60" w:type="dxa"/>
            </w:tcMar>
          </w:tcPr>
          <w:p>
            <w:pPr>
              <w:spacing w:after="40" w:before="40" w:line="252" w:lineRule="auto"/>
            </w:pPr>
            <w:r>
              <w:rPr>
                <w:rFonts w:ascii="Calibri" w:hAnsi="Calibri"/>
                <w:b w:val="0"/>
                <w:sz w:val="18"/>
              </w:rPr>
              <w:t>7. Invoices: invoice records, PDF export and payment evidence.</w:t>
            </w:r>
          </w:p>
        </w:tc>
      </w:tr>
      <w:tr>
        <w:trPr>
          <w:cantSplit/>
        </w:trPr>
        <w:tc>
          <w:tcPr>
            <w:tcW w:type="dxa" w:w="4860"/>
            <w:tcMar>
              <w:top w:w="65" w:type="dxa"/>
              <w:bottom w:w="65" w:type="dxa"/>
              <w:left w:w="60" w:type="dxa"/>
              <w:right w:w="60" w:type="dxa"/>
            </w:tcMar>
          </w:tcPr>
          <w:p>
            <w:pPr>
              <w:spacing w:after="40" w:before="40" w:line="252" w:lineRule="auto"/>
            </w:pPr>
            <w:r>
              <w:rPr>
                <w:rFonts w:ascii="Calibri" w:hAnsi="Calibri"/>
                <w:b w:val="0"/>
                <w:sz w:val="18"/>
              </w:rPr>
              <w:t>8. Sales pipeline: leads, deals, stage controls and delivery links.</w:t>
            </w:r>
          </w:p>
        </w:tc>
        <w:tc>
          <w:tcPr>
            <w:tcW w:type="dxa" w:w="4860"/>
            <w:tcMar>
              <w:top w:w="65" w:type="dxa"/>
              <w:bottom w:w="65" w:type="dxa"/>
              <w:left w:w="60" w:type="dxa"/>
              <w:right w:w="60" w:type="dxa"/>
            </w:tcMar>
          </w:tcPr>
          <w:p>
            <w:pPr>
              <w:spacing w:after="40" w:before="40" w:line="252" w:lineRule="auto"/>
            </w:pPr>
            <w:r>
              <w:rPr>
                <w:rFonts w:ascii="Calibri" w:hAnsi="Calibri"/>
                <w:b w:val="0"/>
                <w:sz w:val="18"/>
              </w:rPr>
              <w:t>8. Reports: delivery, sales and invoice summaries with currency-aware values.</w:t>
            </w:r>
          </w:p>
        </w:tc>
      </w:tr>
    </w:tbl>
    <w:p>
      <w:pPr>
        <w:pStyle w:val="Heading1"/>
      </w:pPr>
      <w:r>
        <w:t>5. Workflow integration and shared responsibilities</w:t>
      </w:r>
    </w:p>
    <w:p>
      <w:r>
        <w:t>Both members coordinate shared navigation, reusable components, form labels, validation, loading states, error recovery and responsive styling. Each member integrates the interfaces assigned above with the existing services and maintains consistent company and role context.</w:t>
      </w:r>
    </w:p>
    <w:p>
      <w:r>
        <w:t>Meeting processing requires a configured extraction service. The review interface permits correction before approval creates delivery records. Demonstration or fixture data is labelled wherever used. Search, paging and visible actions follow the data and permissions available to the signed-in user.</w:t>
      </w:r>
    </w:p>
    <w:p>
      <w:r>
        <w:t>Frontend validation supports clear input and feedback; existing services enforce saved-record and access rules. Estimated effort and actual time remain separate. Invoice payment entries record receipts; the application does not process money transfers.</w:t>
      </w:r>
    </w:p>
    <w:p>
      <w:pPr>
        <w:pStyle w:val="Heading1"/>
      </w:pPr>
      <w:r>
        <w:t>6. Delivery and quality criteria</w:t>
      </w:r>
    </w:p>
    <w:p>
      <w:r>
        <w:t>Delivery comprises the frontend source, navigable interfaces, individual screenshots and a brief project explanation. Checks cover sign-in, permitted navigation, project/task context, meaningful form actions, input feedback, empty states, keyboard focus and desktop/mobile layouts. The frontend production build must pass.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NovaWorks - Frontend Project Proposal</dc:title>
  <dc:subject>Frontend scope and member responsibilities</dc:subject>
  <dc:creator>Aizaz Noor; Abdul Basit Shahid</dc:creator>
  <cp:keywords/>
  <dc:description/>
  <cp:lastModifiedBy/>
  <cp:revision>1</cp:revision>
  <dcterms:created xsi:type="dcterms:W3CDTF">2013-12-23T23:15:00Z</dcterms:created>
  <dcterms:modified xsi:type="dcterms:W3CDTF">2013-12-23T23:15:00Z</dcterms:modified>
  <cp:category/>
</cp:coreProperties>
</file>