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bmp" ContentType="image/x-ms-bmp"/>
  <Override PartName="/word/media/rId26.bmp" ContentType="image/x-ms-bmp"/>
  <Override PartName="/word/media/rId33.bmp" ContentType="image/x-ms-bmp"/>
  <Override PartName="/word/media/rId23.bmp" ContentType="image/x-ms-bmp"/>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w:t>
      </w:r>
      <w:r>
        <w:t xml:space="preserve"> </w:t>
      </w:r>
      <w:r>
        <w:t xml:space="preserve">3</w:t>
      </w:r>
    </w:p>
    <w:p>
      <w:pPr>
        <w:pStyle w:val="Subtitle"/>
      </w:pPr>
      <w:r>
        <w:t xml:space="preserve">Модель</w:t>
      </w:r>
      <w:r>
        <w:t xml:space="preserve"> </w:t>
      </w:r>
      <w:r>
        <w:t xml:space="preserve">боевых</w:t>
      </w:r>
      <w:r>
        <w:t xml:space="preserve"> </w:t>
      </w:r>
      <w:r>
        <w:t xml:space="preserve">действий</w:t>
      </w:r>
    </w:p>
    <w:p>
      <w:pPr>
        <w:pStyle w:val="Author"/>
      </w:pPr>
      <w:r>
        <w:t xml:space="preserve">Хамдамова</w:t>
      </w:r>
      <w:r>
        <w:t xml:space="preserve"> </w:t>
      </w:r>
      <w:r>
        <w:t xml:space="preserve">Айжана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Построить модель боевых действий на языке прогаммирования Julia.</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Вариант 40</w:t>
      </w:r>
      <w:r>
        <w:t xml:space="preserve"> </w:t>
      </w:r>
      <w:r>
        <w:t xml:space="preserve">Между страной</w:t>
      </w:r>
      <w:r>
        <w:t xml:space="preserve"> </w:t>
      </w:r>
      <m:oMath>
        <m:r>
          <m:t>X</m:t>
        </m:r>
      </m:oMath>
      <w:r>
        <w:t xml:space="preserve"> </w:t>
      </w:r>
      <w:r>
        <w:t xml:space="preserve">и страной</w:t>
      </w:r>
      <w:r>
        <w:t xml:space="preserve"> </w:t>
      </w:r>
      <m:oMath>
        <m:r>
          <m:t>Y</m:t>
        </m:r>
      </m:oMath>
      <w:r>
        <w:t xml:space="preserve"> </w:t>
      </w:r>
      <w:r>
        <w:t xml:space="preserve">идет война. Численность состава войск</w:t>
      </w:r>
      <w:r>
        <w:t xml:space="preserve"> </w:t>
      </w:r>
      <w:r>
        <w:t xml:space="preserve">исчисляется от начала войны, и являются временными функциями</w:t>
      </w:r>
      <w:r>
        <w:t xml:space="preserve"> </w:t>
      </w:r>
      <m:oMath>
        <m:r>
          <m:t>x</m:t>
        </m:r>
        <m:d>
          <m:dPr>
            <m:begChr m:val="("/>
            <m:endChr m:val=")"/>
            <m:sepChr m:val=""/>
            <m:grow/>
          </m:dPr>
          <m:e>
            <m:r>
              <m:t>t</m:t>
            </m:r>
          </m:e>
        </m:d>
      </m:oMath>
      <w:r>
        <w:t xml:space="preserve"> </w:t>
      </w:r>
      <w:r>
        <w:t xml:space="preserve">и</w:t>
      </w:r>
      <w:r>
        <w:t xml:space="preserve"> </w:t>
      </w:r>
      <m:oMath>
        <m:r>
          <m:t>y</m:t>
        </m:r>
        <m:d>
          <m:dPr>
            <m:begChr m:val="("/>
            <m:endChr m:val=")"/>
            <m:sepChr m:val=""/>
            <m:grow/>
          </m:dPr>
          <m:e>
            <m:r>
              <m:t>t</m:t>
            </m:r>
          </m:e>
        </m:d>
      </m:oMath>
      <w:r>
        <w:t xml:space="preserve">. В</w:t>
      </w:r>
      <w:r>
        <w:t xml:space="preserve"> </w:t>
      </w:r>
      <w:r>
        <w:t xml:space="preserve">начальный момент времени страна</w:t>
      </w:r>
      <w:r>
        <w:t xml:space="preserve"> </w:t>
      </w:r>
      <m:oMath>
        <m:r>
          <m:t>X</m:t>
        </m:r>
      </m:oMath>
      <w:r>
        <w:t xml:space="preserve"> </w:t>
      </w:r>
      <w:r>
        <w:t xml:space="preserve">имеет армию численностью 30 030 человек,</w:t>
      </w:r>
      <w:r>
        <w:t xml:space="preserve"> </w:t>
      </w:r>
      <w:r>
        <w:t xml:space="preserve">а в распоряжении страны</w:t>
      </w:r>
      <w:r>
        <w:t xml:space="preserve"> </w:t>
      </w:r>
      <m:oMath>
        <m:r>
          <m:t>Y</m:t>
        </m:r>
      </m:oMath>
      <w:r>
        <w:t xml:space="preserve"> </w:t>
      </w:r>
      <w:r>
        <w:t xml:space="preserve">армия численностью в 59 010 человек. Для упрощения</w:t>
      </w:r>
      <w:r>
        <w:t xml:space="preserve"> </w:t>
      </w:r>
      <w:r>
        <w:t xml:space="preserve">модели считаем, что коэффициенты</w:t>
      </w:r>
      <w:r>
        <w:t xml:space="preserve"> </w:t>
      </w:r>
      <m:oMath>
        <m:r>
          <m:t>a</m:t>
        </m:r>
        <m:r>
          <m:rPr>
            <m:sty m:val="p"/>
          </m:rPr>
          <m:t>,</m:t>
        </m:r>
        <m:r>
          <m:t>b</m:t>
        </m:r>
        <m:r>
          <m:rPr>
            <m:sty m:val="p"/>
          </m:rPr>
          <m:t>,</m:t>
        </m:r>
        <m:r>
          <m:t>c</m:t>
        </m:r>
        <m:r>
          <m:rPr>
            <m:sty m:val="p"/>
          </m:rPr>
          <m:t>,</m:t>
        </m:r>
        <m:r>
          <m:t>h</m:t>
        </m:r>
      </m:oMath>
      <w:r>
        <w:t xml:space="preserve"> </w:t>
      </w:r>
      <w:r>
        <w:t xml:space="preserve">постоянны. Также считаем</w:t>
      </w:r>
      <w:r>
        <w:t xml:space="preserve"> </w:t>
      </w:r>
      <m:oMath>
        <m:r>
          <m:t>P</m:t>
        </m:r>
        <m:d>
          <m:dPr>
            <m:begChr m:val="("/>
            <m:endChr m:val=")"/>
            <m:sepChr m:val=""/>
            <m:grow/>
          </m:dPr>
          <m:e>
            <m:r>
              <m:t>t</m:t>
            </m:r>
          </m:e>
        </m:d>
      </m:oMath>
      <w:r>
        <w:t xml:space="preserve"> </w:t>
      </w:r>
      <w:r>
        <w:t xml:space="preserve">и</w:t>
      </w:r>
      <w:r>
        <w:t xml:space="preserve"> </w:t>
      </w:r>
      <m:oMath>
        <m:r>
          <m:t>Q</m:t>
        </m:r>
        <m:d>
          <m:dPr>
            <m:begChr m:val="("/>
            <m:endChr m:val=")"/>
            <m:sepChr m:val=""/>
            <m:grow/>
          </m:dPr>
          <m:e>
            <m:r>
              <m:t>t</m:t>
            </m:r>
          </m:e>
        </m:d>
      </m:oMath>
      <w:r>
        <w:t xml:space="preserve"> </w:t>
      </w:r>
      <w:r>
        <w:t xml:space="preserve">непрерывные функции.</w:t>
      </w:r>
    </w:p>
    <w:p>
      <w:pPr>
        <w:pStyle w:val="BodyText"/>
      </w:pPr>
      <w:r>
        <w:t xml:space="preserve">Построить графики изменения численности войск армии</w:t>
      </w:r>
      <w:r>
        <w:t xml:space="preserve"> </w:t>
      </w:r>
      <m:oMath>
        <m:r>
          <m:t>X</m:t>
        </m:r>
      </m:oMath>
      <w:r>
        <w:t xml:space="preserve"> </w:t>
      </w:r>
      <w:r>
        <w:t xml:space="preserve">и армии</w:t>
      </w:r>
      <w:r>
        <w:t xml:space="preserve"> </w:t>
      </w:r>
      <m:oMath>
        <m:r>
          <m:t>Y</m:t>
        </m:r>
      </m:oMath>
      <w:r>
        <w:t xml:space="preserve"> </w:t>
      </w:r>
      <w:r>
        <w:t xml:space="preserve">для следующих случаев:</w:t>
      </w:r>
    </w:p>
    <w:p>
      <w:pPr>
        <w:pStyle w:val="Compact"/>
        <w:numPr>
          <w:ilvl w:val="0"/>
          <w:numId w:val="1001"/>
        </w:numPr>
      </w:pPr>
      <w:r>
        <w:t xml:space="preserve">Модель боевых действий между регулярными войсками</w:t>
      </w:r>
    </w:p>
    <w:p>
      <w:pPr>
        <w:pStyle w:val="FirstParagraph"/>
      </w:pPr>
      <m:oMathPara>
        <m:oMathParaPr>
          <m:jc m:val="center"/>
        </m:oMathParaPr>
        <m:oMath>
          <m:d>
            <m:dPr>
              <m:begChr m:val="{"/>
              <m:endChr m:val=""/>
              <m:sep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0.46</m:t>
                    </m:r>
                    <m:r>
                      <m:t>x</m:t>
                    </m:r>
                    <m:d>
                      <m:dPr>
                        <m:begChr m:val="("/>
                        <m:endChr m:val=")"/>
                        <m:sepChr m:val=""/>
                        <m:grow/>
                      </m:dPr>
                      <m:e>
                        <m:r>
                          <m:t>t</m:t>
                        </m:r>
                      </m:e>
                    </m:d>
                    <m:r>
                      <m:rPr>
                        <m:sty m:val="p"/>
                      </m:rPr>
                      <m:t>−</m:t>
                    </m:r>
                    <m:r>
                      <m:t>0.58</m:t>
                    </m:r>
                    <m:r>
                      <m:t>y</m:t>
                    </m:r>
                    <m:d>
                      <m:dPr>
                        <m:begChr m:val="("/>
                        <m:endChr m:val=")"/>
                        <m:sepChr m:val=""/>
                        <m:grow/>
                      </m:dPr>
                      <m:e>
                        <m:r>
                          <m:t>t</m:t>
                        </m:r>
                      </m:e>
                    </m:d>
                    <m:r>
                      <m:rPr>
                        <m:sty m:val="p"/>
                      </m:rPr>
                      <m:t>+</m:t>
                    </m:r>
                    <m:d>
                      <m:dPr>
                        <m:begChr m:val="|"/>
                        <m:endChr m:val="|"/>
                        <m:sepChr m:val=""/>
                        <m:grow/>
                      </m:dPr>
                      <m:e>
                        <m:r>
                          <m:t>s</m:t>
                        </m:r>
                        <m:r>
                          <m:t>i</m:t>
                        </m:r>
                        <m:r>
                          <m:t>n</m:t>
                        </m:r>
                        <m:d>
                          <m:dPr>
                            <m:begChr m:val="("/>
                            <m:endChr m:val=")"/>
                            <m:sepChr m:val=""/>
                            <m:grow/>
                          </m:dPr>
                          <m:e>
                            <m:r>
                              <m:t>2</m:t>
                            </m:r>
                            <m:r>
                              <m:t>t</m:t>
                            </m:r>
                          </m:e>
                        </m:d>
                        <m:r>
                          <m:rPr>
                            <m:sty m:val="p"/>
                          </m:rPr>
                          <m:t>+</m:t>
                        </m:r>
                        <m:r>
                          <m:t>1</m:t>
                        </m:r>
                      </m:e>
                    </m:d>
                  </m:e>
                </m:mr>
                <m:mr>
                  <m:e>
                    <m:f>
                      <m:fPr>
                        <m:type m:val="bar"/>
                      </m:fPr>
                      <m:num>
                        <m:r>
                          <m:t>d</m:t>
                        </m:r>
                        <m:r>
                          <m:t>y</m:t>
                        </m:r>
                      </m:num>
                      <m:den>
                        <m:r>
                          <m:t>d</m:t>
                        </m:r>
                        <m:r>
                          <m:t>t</m:t>
                        </m:r>
                      </m:den>
                    </m:f>
                    <m:r>
                      <m:rPr>
                        <m:sty m:val="p"/>
                      </m:rPr>
                      <m:t>=</m:t>
                    </m:r>
                    <m:r>
                      <m:rPr>
                        <m:sty m:val="p"/>
                      </m:rPr>
                      <m:t>−</m:t>
                    </m:r>
                    <m:r>
                      <m:t>0.69</m:t>
                    </m:r>
                    <m:r>
                      <m:t>x</m:t>
                    </m:r>
                    <m:d>
                      <m:dPr>
                        <m:begChr m:val="("/>
                        <m:endChr m:val=")"/>
                        <m:sepChr m:val=""/>
                        <m:grow/>
                      </m:dPr>
                      <m:e>
                        <m:r>
                          <m:t>t</m:t>
                        </m:r>
                      </m:e>
                    </m:d>
                    <m:r>
                      <m:rPr>
                        <m:sty m:val="p"/>
                      </m:rPr>
                      <m:t>−</m:t>
                    </m:r>
                    <m:r>
                      <m:t>0.23</m:t>
                    </m:r>
                    <m:r>
                      <m:t>y</m:t>
                    </m:r>
                    <m:d>
                      <m:dPr>
                        <m:begChr m:val="("/>
                        <m:endChr m:val=")"/>
                        <m:sepChr m:val=""/>
                        <m:grow/>
                      </m:dPr>
                      <m:e>
                        <m:r>
                          <m:t>t</m:t>
                        </m:r>
                      </m:e>
                    </m:d>
                    <m:r>
                      <m:rPr>
                        <m:sty m:val="p"/>
                      </m:rPr>
                      <m:t>+</m:t>
                    </m:r>
                    <m:d>
                      <m:dPr>
                        <m:begChr m:val="|"/>
                        <m:endChr m:val="|"/>
                        <m:sepChr m:val=""/>
                        <m:grow/>
                      </m:dPr>
                      <m:e>
                        <m:r>
                          <m:t>c</m:t>
                        </m:r>
                        <m:r>
                          <m:t>o</m:t>
                        </m:r>
                        <m:r>
                          <m:t>s</m:t>
                        </m:r>
                        <m:d>
                          <m:dPr>
                            <m:begChr m:val="("/>
                            <m:endChr m:val=")"/>
                            <m:sepChr m:val=""/>
                            <m:grow/>
                          </m:dPr>
                          <m:e>
                            <m:r>
                              <m:t>t</m:t>
                            </m:r>
                          </m:e>
                        </m:d>
                        <m:r>
                          <m:rPr>
                            <m:sty m:val="p"/>
                          </m:rPr>
                          <m:t>+</m:t>
                        </m:r>
                        <m:r>
                          <m:t>1</m:t>
                        </m:r>
                      </m:e>
                    </m:d>
                  </m:e>
                </m:mr>
              </m:m>
            </m:e>
          </m:d>
        </m:oMath>
      </m:oMathPara>
    </w:p>
    <w:p>
      <w:pPr>
        <w:pStyle w:val="FirstParagraph"/>
      </w:pPr>
      <w:r>
        <w:t xml:space="preserve">Потери, не связанные с боевыми действиями, описывают члены</w:t>
      </w:r>
      <w:r>
        <w:t xml:space="preserve"> </w:t>
      </w:r>
      <m:oMath>
        <m:r>
          <m:rPr>
            <m:sty m:val="p"/>
          </m:rPr>
          <m:t>−</m:t>
        </m:r>
        <m:r>
          <m:t>0.46</m:t>
        </m:r>
        <m:r>
          <m:t>x</m:t>
        </m:r>
        <m:d>
          <m:dPr>
            <m:begChr m:val="("/>
            <m:endChr m:val=")"/>
            <m:sepChr m:val=""/>
            <m:grow/>
          </m:dPr>
          <m:e>
            <m:r>
              <m:t>t</m:t>
            </m:r>
          </m:e>
        </m:d>
      </m:oMath>
      <w:r>
        <w:t xml:space="preserve"> </w:t>
      </w:r>
      <w:r>
        <w:t xml:space="preserve">и</w:t>
      </w:r>
      <w:r>
        <w:t xml:space="preserve"> </w:t>
      </w:r>
      <m:oMath>
        <m:r>
          <m:rPr>
            <m:sty m:val="p"/>
          </m:rPr>
          <m:t>−</m:t>
        </m:r>
        <m:r>
          <m:t>0.23</m:t>
        </m:r>
        <m:r>
          <m:t>y</m:t>
        </m:r>
        <m:d>
          <m:dPr>
            <m:begChr m:val="("/>
            <m:endChr m:val=")"/>
            <m:sepChr m:val=""/>
            <m:grow/>
          </m:dPr>
          <m:e>
            <m:r>
              <m:t>t</m:t>
            </m:r>
          </m:e>
        </m:d>
      </m:oMath>
      <w:r>
        <w:t xml:space="preserve"> </w:t>
      </w:r>
      <w:r>
        <w:t xml:space="preserve">(коэффиценты при</w:t>
      </w:r>
      <w:r>
        <w:t xml:space="preserve"> </w:t>
      </w:r>
      <m:oMath>
        <m:r>
          <m:t>x</m:t>
        </m:r>
      </m:oMath>
      <w:r>
        <w:t xml:space="preserve"> </w:t>
      </w:r>
      <w:r>
        <w:t xml:space="preserve">и</w:t>
      </w:r>
      <w:r>
        <w:t xml:space="preserve"> </w:t>
      </w:r>
      <m:oMath>
        <m:r>
          <m:t>y</m:t>
        </m:r>
      </m:oMath>
      <w:r>
        <w:t xml:space="preserve"> </w:t>
      </w:r>
      <w:r>
        <w:t xml:space="preserve">- это величины, характеризующие степень влияния различных факторов на потери), члены</w:t>
      </w:r>
      <w:r>
        <w:t xml:space="preserve"> </w:t>
      </w:r>
      <m:oMath>
        <m:r>
          <m:rPr>
            <m:sty m:val="p"/>
          </m:rPr>
          <m:t>−</m:t>
        </m:r>
        <m:r>
          <m:t>058</m:t>
        </m:r>
        <m:r>
          <m:rPr>
            <m:sty m:val="p"/>
          </m:rPr>
          <m:t>.</m:t>
        </m:r>
        <m:r>
          <m:t>y</m:t>
        </m:r>
        <m:d>
          <m:dPr>
            <m:begChr m:val="("/>
            <m:endChr m:val=")"/>
            <m:sepChr m:val=""/>
            <m:grow/>
          </m:dPr>
          <m:e>
            <m:r>
              <m:t>t</m:t>
            </m:r>
          </m:e>
        </m:d>
      </m:oMath>
      <w:r>
        <w:t xml:space="preserve"> </w:t>
      </w:r>
      <w:r>
        <w:t xml:space="preserve">и</w:t>
      </w:r>
      <w:r>
        <w:t xml:space="preserve"> </w:t>
      </w:r>
      <m:oMath>
        <m:r>
          <m:rPr>
            <m:sty m:val="p"/>
          </m:rPr>
          <m:t>−</m:t>
        </m:r>
        <m:r>
          <m:t>0.69</m:t>
        </m:r>
        <m:r>
          <m:t>x</m:t>
        </m:r>
        <m:d>
          <m:dPr>
            <m:begChr m:val="("/>
            <m:endChr m:val=")"/>
            <m:sepChr m:val=""/>
            <m:grow/>
          </m:dPr>
          <m:e>
            <m:r>
              <m:t>t</m:t>
            </m:r>
          </m:e>
        </m:d>
      </m:oMath>
      <w:r>
        <w:t xml:space="preserve"> </w:t>
      </w:r>
      <w:r>
        <w:t xml:space="preserve">отражают потери на поле боя (коэффиценты при</w:t>
      </w:r>
      <w:r>
        <w:t xml:space="preserve"> </w:t>
      </w:r>
      <m:oMath>
        <m:r>
          <m:t>x</m:t>
        </m:r>
      </m:oMath>
      <w:r>
        <w:t xml:space="preserve"> </w:t>
      </w:r>
      <w:r>
        <w:t xml:space="preserve">и</w:t>
      </w:r>
      <w:r>
        <w:t xml:space="preserve"> </w:t>
      </w:r>
      <m:oMath>
        <m:r>
          <m:t>y</m:t>
        </m:r>
      </m:oMath>
      <w:r>
        <w:t xml:space="preserve"> </w:t>
      </w:r>
      <w:r>
        <w:t xml:space="preserve">указывают на эффективность боевых действий со стороны у и х соответственно). Функции P(t) = |sin(2t)+1|, Q(t) = |cos(t)+1| учитывают</w:t>
      </w:r>
      <w:r>
        <w:t xml:space="preserve"> </w:t>
      </w:r>
      <w:r>
        <w:t xml:space="preserve">возможность подхода подкрепления к войскам Х и У в течение одного дня.</w:t>
      </w:r>
    </w:p>
    <w:p>
      <w:pPr>
        <w:pStyle w:val="Compact"/>
        <w:numPr>
          <w:ilvl w:val="0"/>
          <w:numId w:val="1002"/>
        </w:numPr>
      </w:pPr>
      <w:r>
        <w:t xml:space="preserve">Модель ведение боевых действий с участием регулярных войск и партизанских отрядов</w:t>
      </w:r>
    </w:p>
    <w:p>
      <w:pPr>
        <w:pStyle w:val="FirstParagraph"/>
      </w:pPr>
      <m:oMathPara>
        <m:oMathParaPr>
          <m:jc m:val="center"/>
        </m:oMathParaPr>
        <m:oMath>
          <m:d>
            <m:dPr>
              <m:begChr m:val="{"/>
              <m:endChr m:val=""/>
              <m:sep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0.37</m:t>
                    </m:r>
                    <m:r>
                      <m:t>x</m:t>
                    </m:r>
                    <m:d>
                      <m:dPr>
                        <m:begChr m:val="("/>
                        <m:endChr m:val=")"/>
                        <m:sepChr m:val=""/>
                        <m:grow/>
                      </m:dPr>
                      <m:e>
                        <m:r>
                          <m:t>t</m:t>
                        </m:r>
                      </m:e>
                    </m:d>
                    <m:r>
                      <m:rPr>
                        <m:sty m:val="p"/>
                      </m:rPr>
                      <m:t>−</m:t>
                    </m:r>
                    <m:r>
                      <m:t>0.71</m:t>
                    </m:r>
                    <m:r>
                      <m:t>y</m:t>
                    </m:r>
                    <m:d>
                      <m:dPr>
                        <m:begChr m:val="("/>
                        <m:endChr m:val=")"/>
                        <m:sepChr m:val=""/>
                        <m:grow/>
                      </m:dPr>
                      <m:e>
                        <m:r>
                          <m:t>t</m:t>
                        </m:r>
                      </m:e>
                    </m:d>
                    <m:r>
                      <m:rPr>
                        <m:sty m:val="p"/>
                      </m:rPr>
                      <m:t>+</m:t>
                    </m:r>
                    <m:r>
                      <m:t>s</m:t>
                    </m:r>
                    <m:r>
                      <m:t>i</m:t>
                    </m:r>
                    <m:r>
                      <m:t>n</m:t>
                    </m:r>
                    <m:d>
                      <m:dPr>
                        <m:begChr m:val="("/>
                        <m:endChr m:val=")"/>
                        <m:sepChr m:val=""/>
                        <m:grow/>
                      </m:dPr>
                      <m:e>
                        <m:r>
                          <m:t>2</m:t>
                        </m:r>
                        <m:r>
                          <m:t>t</m:t>
                        </m:r>
                      </m:e>
                    </m:d>
                    <m:r>
                      <m:rPr>
                        <m:sty m:val="p"/>
                      </m:rPr>
                      <m:t>+</m:t>
                    </m:r>
                    <m:r>
                      <m:t>1</m:t>
                    </m:r>
                  </m:e>
                </m:mr>
                <m:mr>
                  <m:e>
                    <m:f>
                      <m:fPr>
                        <m:type m:val="bar"/>
                      </m:fPr>
                      <m:num>
                        <m:r>
                          <m:t>d</m:t>
                        </m:r>
                        <m:r>
                          <m:t>y</m:t>
                        </m:r>
                      </m:num>
                      <m:den>
                        <m:r>
                          <m:t>d</m:t>
                        </m:r>
                        <m:r>
                          <m:t>t</m:t>
                        </m:r>
                      </m:den>
                    </m:f>
                    <m:r>
                      <m:rPr>
                        <m:sty m:val="p"/>
                      </m:rPr>
                      <m:t>=</m:t>
                    </m:r>
                    <m:r>
                      <m:rPr>
                        <m:sty m:val="p"/>
                      </m:rPr>
                      <m:t>−</m:t>
                    </m:r>
                    <m:r>
                      <m:t>0.77</m:t>
                    </m:r>
                    <m:r>
                      <m:t>x</m:t>
                    </m:r>
                    <m:d>
                      <m:dPr>
                        <m:begChr m:val="("/>
                        <m:endChr m:val=")"/>
                        <m:sepChr m:val=""/>
                        <m:grow/>
                      </m:dPr>
                      <m:e>
                        <m:r>
                          <m:t>t</m:t>
                        </m:r>
                      </m:e>
                    </m:d>
                    <m:r>
                      <m:t>y</m:t>
                    </m:r>
                    <m:d>
                      <m:dPr>
                        <m:begChr m:val="("/>
                        <m:endChr m:val=")"/>
                        <m:sepChr m:val=""/>
                        <m:grow/>
                      </m:dPr>
                      <m:e>
                        <m:r>
                          <m:t>t</m:t>
                        </m:r>
                      </m:e>
                    </m:d>
                    <m:r>
                      <m:rPr>
                        <m:sty m:val="p"/>
                      </m:rPr>
                      <m:t>−</m:t>
                    </m:r>
                    <m:r>
                      <m:t>0.2</m:t>
                    </m:r>
                    <m:r>
                      <m:t>y</m:t>
                    </m:r>
                    <m:d>
                      <m:dPr>
                        <m:begChr m:val="("/>
                        <m:endChr m:val=")"/>
                        <m:sepChr m:val=""/>
                        <m:grow/>
                      </m:dPr>
                      <m:e>
                        <m:r>
                          <m:t>t</m:t>
                        </m:r>
                      </m:e>
                    </m:d>
                    <m:r>
                      <m:rPr>
                        <m:sty m:val="p"/>
                      </m:rPr>
                      <m:t>+</m:t>
                    </m:r>
                    <m:r>
                      <m:t>c</m:t>
                    </m:r>
                    <m:r>
                      <m:t>o</m:t>
                    </m:r>
                    <m:r>
                      <m:t>s</m:t>
                    </m:r>
                    <m:d>
                      <m:dPr>
                        <m:begChr m:val="("/>
                        <m:endChr m:val=")"/>
                        <m:sepChr m:val=""/>
                        <m:grow/>
                      </m:dPr>
                      <m:e>
                        <m:r>
                          <m:t>t</m:t>
                        </m:r>
                      </m:e>
                    </m:d>
                    <m:r>
                      <m:rPr>
                        <m:sty m:val="p"/>
                      </m:rPr>
                      <m:t>+</m:t>
                    </m:r>
                    <m:r>
                      <m:t>2</m:t>
                    </m:r>
                  </m:e>
                </m:mr>
              </m:m>
            </m:e>
          </m:d>
        </m:oMath>
      </m:oMathPara>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Законы Ланчестера (законы Осипова — Ланчестера) — математическая формула для расчета относительных сил пары сражающихся сторон — подразделений вооруженных сил. В статье «Влияние численности сражающихся сторон на их потери», опубликованной журналом «Военный сборник» в 1915 году, генерал-майор Корпуса военных топографов М. П. Осипов описал математическую модель глобального вооружённого противостояния, практически применяемую в военном деле при описании убыли сражающихся сторон с течением времени и, входящую в математическую теорию исследования операций, на год опередив английского математика Ф. У. Ланчестера. Мировая война, две революции в России не позволили новой власти заявить в установленном в научной среде порядке об открытии царского офицера.</w:t>
      </w:r>
    </w:p>
    <w:p>
      <w:pPr>
        <w:pStyle w:val="BodyText"/>
      </w:pPr>
      <w:r>
        <w:t xml:space="preserve">Уравнения Ланчестера — это дифференциальные уравнения, описывающие зависимость между силами сражающихся сторон A и D как функцию от времени, причем функция зависит только от A и D.</w:t>
      </w:r>
    </w:p>
    <w:p>
      <w:pPr>
        <w:pStyle w:val="BodyText"/>
      </w:pPr>
      <w:r>
        <w:t xml:space="preserve">В 1916 году, в разгар первой мировой войны, Фредерик Ланчестер разработал систему дифференциальных уравнений для демонстрации соотношения между противостоящими силами. Среди них есть так называемые Линейные законы Ланчестера (первого рода или честного боя, для рукопашного боя или неприцельного огня) и Квадратичные законы Ланчестера (для войн начиная с XX века с применением прицельного огня, дальнобойных орудий, огнестрельного оружия). В связи с установленным приоритетом в англоязычной литературе наметилась тенденция перехода от фразы «модель Ланчестера» к «модели Осипова — Ланчестера».</w:t>
      </w:r>
    </w:p>
    <w:bookmarkEnd w:id="22"/>
    <w:bookmarkStart w:id="37"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29" w:name="X37c647783a0d1e0b6274cff853a0d7e99fafdf8"/>
    <w:p>
      <w:pPr>
        <w:pStyle w:val="Heading2"/>
      </w:pPr>
      <w:r>
        <w:rPr>
          <w:rStyle w:val="SectionNumber"/>
        </w:rPr>
        <w:t xml:space="preserve">4.1</w:t>
      </w:r>
      <w:r>
        <w:tab/>
      </w:r>
      <w:r>
        <w:t xml:space="preserve">Модель боевых действий между регулярными войсками</w:t>
      </w:r>
    </w:p>
    <w:p>
      <w:pPr>
        <w:pStyle w:val="FirstParagraph"/>
      </w:pPr>
      <w:r>
        <w:t xml:space="preserve">Построим Модель боевых действий между регулярными войсками с помощью исполтзования библиотек Julia(рис. [??]).</w:t>
      </w:r>
    </w:p>
    <w:p>
      <w:pPr>
        <w:pStyle w:val="CaptionedFigure"/>
      </w:pPr>
      <w:r>
        <w:drawing>
          <wp:inline>
            <wp:extent cx="3733800" cy="2489200"/>
            <wp:effectExtent b="0" l="0" r="0" t="0"/>
            <wp:docPr descr="Модель боевых действий между регулярными войсками" title="fig:" id="24" name="Picture"/>
            <a:graphic>
              <a:graphicData uri="http://schemas.openxmlformats.org/drawingml/2006/picture">
                <pic:pic>
                  <pic:nvPicPr>
                    <pic:cNvPr descr="image/4.bmp"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Модель боевых действий между регулярными войсками</w:t>
      </w:r>
    </w:p>
    <w:p>
      <w:pPr>
        <w:pStyle w:val="BodyText"/>
      </w:pPr>
      <w:r>
        <w:t xml:space="preserve">В результате получаем следующий график (рис. [??]):</w:t>
      </w:r>
    </w:p>
    <w:p>
      <w:pPr>
        <w:pStyle w:val="CaptionedFigure"/>
      </w:pPr>
      <w:r>
        <w:drawing>
          <wp:inline>
            <wp:extent cx="3733800" cy="2489200"/>
            <wp:effectExtent b="0" l="0" r="0" t="0"/>
            <wp:docPr descr="График 1 модели" title="fig:" id="27" name="Picture"/>
            <a:graphic>
              <a:graphicData uri="http://schemas.openxmlformats.org/drawingml/2006/picture">
                <pic:pic>
                  <pic:nvPicPr>
                    <pic:cNvPr descr="image/2.bmp" id="28" name="Picture"/>
                    <pic:cNvPicPr>
                      <a:picLocks noChangeArrowheads="1" noChangeAspect="1"/>
                    </pic:cNvPicPr>
                  </pic:nvPicPr>
                  <pic:blipFill>
                    <a:blip r:embed="rId2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График 1 модели</w:t>
      </w:r>
    </w:p>
    <w:p>
      <w:pPr>
        <w:pStyle w:val="BodyText"/>
      </w:pPr>
      <w:r>
        <w:t xml:space="preserve">Из графика видно, чтол выиграла армия страны Y, поскольку численность армии страны X стала 0, а потом и вообще ушла в отрицательную часть графика.</w:t>
      </w:r>
    </w:p>
    <w:bookmarkEnd w:id="29"/>
    <w:bookmarkStart w:id="36" w:name="Xd3532732049124a2fefbb95ae0940d2e9b64dcc"/>
    <w:p>
      <w:pPr>
        <w:pStyle w:val="Heading2"/>
      </w:pPr>
      <w:r>
        <w:rPr>
          <w:rStyle w:val="SectionNumber"/>
        </w:rPr>
        <w:t xml:space="preserve">4.2</w:t>
      </w:r>
      <w:r>
        <w:tab/>
      </w:r>
      <w:r>
        <w:t xml:space="preserve">Модель ведение боевых действий с участием регулярных войск и партизанских отрядов</w:t>
      </w:r>
    </w:p>
    <w:p>
      <w:pPr>
        <w:pStyle w:val="FirstParagraph"/>
      </w:pPr>
      <w:r>
        <w:t xml:space="preserve">Затем Модель ведение боевых действий с участием регулярных войск и партизанских отрядов(рис. [??])</w:t>
      </w:r>
    </w:p>
    <w:p>
      <w:pPr>
        <w:pStyle w:val="CaptionedFigure"/>
      </w:pPr>
      <w:r>
        <w:drawing>
          <wp:inline>
            <wp:extent cx="3733800" cy="2489200"/>
            <wp:effectExtent b="0" l="0" r="0" t="0"/>
            <wp:docPr descr="с участием регулярных войск и партизанских отрядов" title="fig:" id="31" name="Picture"/>
            <a:graphic>
              <a:graphicData uri="http://schemas.openxmlformats.org/drawingml/2006/picture">
                <pic:pic>
                  <pic:nvPicPr>
                    <pic:cNvPr descr="image/1.bmp" id="32" name="Picture"/>
                    <pic:cNvPicPr>
                      <a:picLocks noChangeArrowheads="1" noChangeAspect="1"/>
                    </pic:cNvPicPr>
                  </pic:nvPicPr>
                  <pic:blipFill>
                    <a:blip r:embed="rId30"/>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с участием регулярных войск и партизанских отрядов</w:t>
      </w:r>
    </w:p>
    <w:p>
      <w:pPr>
        <w:pStyle w:val="BodyText"/>
      </w:pPr>
      <w:r>
        <w:t xml:space="preserve">В результате получаем следующий график:</w:t>
      </w:r>
    </w:p>
    <w:p>
      <w:pPr>
        <w:pStyle w:val="CaptionedFigure"/>
      </w:pPr>
      <w:r>
        <w:drawing>
          <wp:inline>
            <wp:extent cx="3733800" cy="2489200"/>
            <wp:effectExtent b="0" l="0" r="0" t="0"/>
            <wp:docPr descr="График 2 модели" title="fig:" id="34" name="Picture"/>
            <a:graphic>
              <a:graphicData uri="http://schemas.openxmlformats.org/drawingml/2006/picture">
                <pic:pic>
                  <pic:nvPicPr>
                    <pic:cNvPr descr="image/3.bmp" id="35" name="Picture"/>
                    <pic:cNvPicPr>
                      <a:picLocks noChangeArrowheads="1" noChangeAspect="1"/>
                    </pic:cNvPicPr>
                  </pic:nvPicPr>
                  <pic:blipFill>
                    <a:blip r:embed="rId3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График 2 модели</w:t>
      </w:r>
    </w:p>
    <w:p>
      <w:pPr>
        <w:pStyle w:val="BodyText"/>
      </w:pPr>
      <w:r>
        <w:t xml:space="preserve">Здесь видно, что выиграла армия X.(рис. [??])</w:t>
      </w:r>
    </w:p>
    <w:bookmarkEnd w:id="36"/>
    <w:bookmarkEnd w:id="37"/>
    <w:bookmarkStart w:id="38" w:name="выводы"/>
    <w:p>
      <w:pPr>
        <w:pStyle w:val="Heading1"/>
      </w:pPr>
      <w:r>
        <w:rPr>
          <w:rStyle w:val="SectionNumber"/>
        </w:rPr>
        <w:t xml:space="preserve">5</w:t>
      </w:r>
      <w:r>
        <w:tab/>
      </w:r>
      <w:r>
        <w:t xml:space="preserve">Выводы</w:t>
      </w:r>
    </w:p>
    <w:p>
      <w:pPr>
        <w:pStyle w:val="FirstParagraph"/>
      </w:pPr>
      <w:r>
        <w:t xml:space="preserve">В процессе выполнения данной лабораторной работы я построила модель боевых действий на языке прогаммирования Julia.</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bmp" /><Relationship Type="http://schemas.openxmlformats.org/officeDocument/2006/relationships/image" Id="rId26" Target="media/rId26.bmp" /><Relationship Type="http://schemas.openxmlformats.org/officeDocument/2006/relationships/image" Id="rId33" Target="media/rId33.bmp" /><Relationship Type="http://schemas.openxmlformats.org/officeDocument/2006/relationships/image" Id="rId23" Target="media/rId23.bmp"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3</dc:title>
  <dc:creator>Хамдамова Айжана</dc:creator>
  <dc:language>ru-RU</dc:language>
  <cp:keywords/>
  <dcterms:created xsi:type="dcterms:W3CDTF">2025-03-22T11:45:20Z</dcterms:created>
  <dcterms:modified xsi:type="dcterms:W3CDTF">2025-03-22T11:45:20Z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IBM Plex Serif</vt:lpwstr>
  </property>
  <property fmtid="{D5CDD505-2E9C-101B-9397-08002B2CF9AE}" pid="22" name="mainfontoptions">
    <vt:lpwstr>Ligatures=Common,Ligatures=TeX,Scale=0.94</vt:lpwstr>
  </property>
  <property fmtid="{D5CDD505-2E9C-101B-9397-08002B2CF9AE}" pid="23" name="mathfont">
    <vt:lpwstr>STIX Two Math</vt:lpwstr>
  </property>
  <property fmtid="{D5CDD505-2E9C-101B-9397-08002B2CF9AE}" pid="24" name="mathfontoptions">
    <vt:lpwstr/>
  </property>
  <property fmtid="{D5CDD505-2E9C-101B-9397-08002B2CF9AE}" pid="25" name="monofont">
    <vt:lpwstr>IBM Plex Mono</vt:lpwstr>
  </property>
  <property fmtid="{D5CDD505-2E9C-101B-9397-08002B2CF9AE}" pid="26" name="monofontoptions">
    <vt:lpwstr>Scale=MatchLowercase,Scale=0.94,FakeStretch=0.9</vt:lpwstr>
  </property>
  <property fmtid="{D5CDD505-2E9C-101B-9397-08002B2CF9AE}" pid="27" name="papersize">
    <vt:lpwstr>a4</vt:lpwstr>
  </property>
  <property fmtid="{D5CDD505-2E9C-101B-9397-08002B2CF9AE}" pid="28" name="polyglossia-lang">
    <vt:lpwstr/>
  </property>
  <property fmtid="{D5CDD505-2E9C-101B-9397-08002B2CF9AE}" pid="29" name="polyglossia-otherlangs">
    <vt:lpwstr/>
  </property>
  <property fmtid="{D5CDD505-2E9C-101B-9397-08002B2CF9AE}" pid="30" name="romanfont">
    <vt:lpwstr>IBM Plex Serif</vt:lpwstr>
  </property>
  <property fmtid="{D5CDD505-2E9C-101B-9397-08002B2CF9AE}" pid="31" name="romanfontoptions">
    <vt:lpwstr>Ligatures=Common,Ligatures=TeX,Scale=0.94</vt:lpwstr>
  </property>
  <property fmtid="{D5CDD505-2E9C-101B-9397-08002B2CF9AE}" pid="32" name="sansfont">
    <vt:lpwstr>IBM Plex Sans</vt:lpwstr>
  </property>
  <property fmtid="{D5CDD505-2E9C-101B-9397-08002B2CF9AE}" pid="33" name="sansfontoptions">
    <vt:lpwstr>Ligatures=Common,Ligatures=TeX,Scale=MatchLowercase,Scale=0.94</vt:lpwstr>
  </property>
  <property fmtid="{D5CDD505-2E9C-101B-9397-08002B2CF9AE}" pid="34" name="subtitle">
    <vt:lpwstr>Модель боевых действий</vt:lpwstr>
  </property>
  <property fmtid="{D5CDD505-2E9C-101B-9397-08002B2CF9AE}" pid="35" name="tableTitle">
    <vt:lpwstr>Таблица</vt:lpwstr>
  </property>
  <property fmtid="{D5CDD505-2E9C-101B-9397-08002B2CF9AE}" pid="36" name="toc">
    <vt:lpwstr>True</vt:lpwstr>
  </property>
  <property fmtid="{D5CDD505-2E9C-101B-9397-08002B2CF9AE}" pid="37" name="toc-depth">
    <vt:lpwstr>2</vt:lpwstr>
  </property>
  <property fmtid="{D5CDD505-2E9C-101B-9397-08002B2CF9AE}" pid="38" name="toc-title">
    <vt:lpwstr>Содержание</vt:lpwstr>
  </property>
</Properties>
</file>