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bmp" ContentType="image/x-ms-bmp"/>
  <Override PartName="/word/media/rId26.bmp" ContentType="image/x-ms-bmp"/>
  <Override PartName="/word/media/rId29.bmp" ContentType="image/x-ms-bmp"/>
  <Override PartName="/word/media/rId32.bmp" ContentType="image/x-ms-bmp"/>
  <Override PartName="/word/media/rId35.bmp" ContentType="image/x-ms-bmp"/>
  <Override PartName="/word/media/rId38.bmp" ContentType="image/x-ms-bmp"/>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w:t>
      </w:r>
      <w:r>
        <w:t xml:space="preserve"> </w:t>
      </w:r>
      <w:r>
        <w:t xml:space="preserve">7</w:t>
      </w:r>
    </w:p>
    <w:p>
      <w:pPr>
        <w:pStyle w:val="Subtitle"/>
      </w:pPr>
      <w:r>
        <w:t xml:space="preserve">Эффективность</w:t>
      </w:r>
      <w:r>
        <w:t xml:space="preserve"> </w:t>
      </w:r>
      <w:r>
        <w:t xml:space="preserve">рекламы</w:t>
      </w:r>
    </w:p>
    <w:p>
      <w:pPr>
        <w:pStyle w:val="Author"/>
      </w:pPr>
      <w:r>
        <w:t xml:space="preserve">Хамдамова</w:t>
      </w:r>
      <w:r>
        <w:t xml:space="preserve"> </w:t>
      </w:r>
      <w:r>
        <w:t xml:space="preserve">Айжана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эффективности рекламы.</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Построить график распространения рекламы, математическая модель которой описывается</w:t>
      </w:r>
      <w:r>
        <w:t xml:space="preserve"> </w:t>
      </w:r>
      <w:r>
        <w:t xml:space="preserve">следующим уравнением:</w:t>
      </w:r>
    </w:p>
    <w:p>
      <w:pPr>
        <w:numPr>
          <w:ilvl w:val="0"/>
          <w:numId w:val="1001"/>
        </w:numPr>
      </w:pPr>
      <m:oMath>
        <m:f>
          <m:fPr>
            <m:type m:val="bar"/>
          </m:fPr>
          <m:num>
            <m:r>
              <m:t>d</m:t>
            </m:r>
            <m:r>
              <m:t>n</m:t>
            </m:r>
          </m:num>
          <m:den>
            <m:r>
              <m:t>d</m:t>
            </m:r>
            <m:r>
              <m:t>t</m:t>
            </m:r>
          </m:den>
        </m:f>
        <m:r>
          <m:rPr>
            <m:sty m:val="p"/>
          </m:rPr>
          <m:t>=</m:t>
        </m:r>
        <m:d>
          <m:dPr>
            <m:begChr m:val="("/>
            <m:endChr m:val=")"/>
            <m:sepChr m:val=""/>
            <m:grow/>
          </m:dPr>
          <m:e>
            <m:r>
              <m:t>0.12</m:t>
            </m:r>
            <m:r>
              <m:rPr>
                <m:sty m:val="p"/>
              </m:rPr>
              <m:t>+</m:t>
            </m:r>
            <m:r>
              <m:t>0.000039</m:t>
            </m:r>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numPr>
          <w:ilvl w:val="0"/>
          <w:numId w:val="1001"/>
        </w:numPr>
      </w:pPr>
      <m:oMath>
        <m:f>
          <m:fPr>
            <m:type m:val="bar"/>
          </m:fPr>
          <m:num>
            <m:r>
              <m:t>d</m:t>
            </m:r>
            <m:r>
              <m:t>n</m:t>
            </m:r>
          </m:num>
          <m:den>
            <m:r>
              <m:t>d</m:t>
            </m:r>
            <m:r>
              <m:t>t</m:t>
            </m:r>
          </m:den>
        </m:f>
        <m:r>
          <m:rPr>
            <m:sty m:val="p"/>
          </m:rPr>
          <m:t>=</m:t>
        </m:r>
        <m:d>
          <m:dPr>
            <m:begChr m:val="("/>
            <m:endChr m:val=")"/>
            <m:sepChr m:val=""/>
            <m:grow/>
          </m:dPr>
          <m:e>
            <m:r>
              <m:t>0.000012</m:t>
            </m:r>
            <m:r>
              <m:rPr>
                <m:sty m:val="p"/>
              </m:rPr>
              <m:t>+</m:t>
            </m:r>
            <m:r>
              <m:t>0.29</m:t>
            </m:r>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numPr>
          <w:ilvl w:val="0"/>
          <w:numId w:val="1001"/>
        </w:numPr>
      </w:pPr>
      <m:oMath>
        <m:f>
          <m:fPr>
            <m:type m:val="bar"/>
          </m:fPr>
          <m:num>
            <m:r>
              <m:t>d</m:t>
            </m:r>
            <m:r>
              <m:t>n</m:t>
            </m:r>
          </m:num>
          <m:den>
            <m:r>
              <m:t>d</m:t>
            </m:r>
            <m:r>
              <m:t>t</m:t>
            </m:r>
          </m:den>
        </m:f>
        <m:r>
          <m:rPr>
            <m:sty m:val="p"/>
          </m:rPr>
          <m:t>=</m:t>
        </m:r>
        <m:d>
          <m:dPr>
            <m:begChr m:val="("/>
            <m:endChr m:val=")"/>
            <m:sepChr m:val=""/>
            <m:grow/>
          </m:dPr>
          <m:e>
            <m:r>
              <m:t>0.12</m:t>
            </m:r>
            <m:r>
              <m:t>c</m:t>
            </m:r>
            <m:r>
              <m:t>o</m:t>
            </m:r>
            <m:r>
              <m:t>s</m:t>
            </m:r>
            <m:d>
              <m:dPr>
                <m:begChr m:val="("/>
                <m:endChr m:val=")"/>
                <m:sepChr m:val=""/>
                <m:grow/>
              </m:dPr>
              <m:e>
                <m:r>
                  <m:t>t</m:t>
                </m:r>
              </m:e>
            </m:d>
            <m:r>
              <m:rPr>
                <m:sty m:val="p"/>
              </m:rPr>
              <m:t>+</m:t>
            </m:r>
            <m:r>
              <m:t>0.29</m:t>
            </m:r>
            <m:r>
              <m:t>c</m:t>
            </m:r>
            <m:r>
              <m:t>o</m:t>
            </m:r>
            <m:r>
              <m:t>s</m:t>
            </m:r>
            <m:d>
              <m:dPr>
                <m:begChr m:val="("/>
                <m:endChr m:val=")"/>
                <m:sepChr m:val=""/>
                <m:grow/>
              </m:dPr>
              <m:e>
                <m:r>
                  <m:t>t</m:t>
                </m:r>
              </m:e>
            </m:d>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pStyle w:val="FirstParagraph"/>
      </w:pPr>
      <w:r>
        <w:t xml:space="preserve">При этом объем аудитории</w:t>
      </w:r>
      <w:r>
        <w:t xml:space="preserve"> </w:t>
      </w:r>
      <m:oMath>
        <m:r>
          <m:t>N</m:t>
        </m:r>
        <m:r>
          <m:rPr>
            <m:sty m:val="p"/>
          </m:rPr>
          <m:t>=</m:t>
        </m:r>
        <m:r>
          <m:t>1600</m:t>
        </m:r>
      </m:oMath>
      <w:r>
        <w:t xml:space="preserve">, в начальный момент о товаре знает 13 человек. Для случая 2 определить в какой момент времени скорость распространения рекламы будет</w:t>
      </w:r>
      <w:r>
        <w:t xml:space="preserve"> </w:t>
      </w:r>
      <w:r>
        <w:t xml:space="preserve">иметь максимальное значение.</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Пусть некая фирма начинает рекламировать новый товар. Необходимо, чтобы прибыль от будущих продаж покрывала издержки на дорогостоящую кампанию. Ясно, что вначале расходы могут превышать прибыль, поскольку лишь малая часть потенциальных покупателей будет информирована о новом товаре. Затем, при увеличении числа продаж, уже возможно рассчитывать на заметную прибыль, и, наконец, наступит момент, когда рынок насытится, и рекламировать товар далее станет бессмысленно.</w:t>
      </w:r>
    </w:p>
    <w:p>
      <w:pPr>
        <w:pStyle w:val="BodyText"/>
      </w:pPr>
      <w:r>
        <w:t xml:space="preserve">Модель рекламной кампании основывается на следующих основных предположениях. Считается, что величина</w:t>
      </w:r>
      <w:r>
        <w:t xml:space="preserve"> </w:t>
      </w:r>
      <m:oMath>
        <m:f>
          <m:fPr>
            <m:type m:val="bar"/>
          </m:fPr>
          <m:num>
            <m:r>
              <m:t>d</m:t>
            </m:r>
            <m:r>
              <m:t>N</m:t>
            </m:r>
          </m:num>
          <m:den>
            <m:r>
              <m:t>d</m:t>
            </m:r>
            <m:r>
              <m:t>t</m:t>
            </m:r>
          </m:den>
        </m:f>
      </m:oMath>
      <w:r>
        <w:t xml:space="preserve"> </w:t>
      </w:r>
      <w:r>
        <w:t xml:space="preserve">— скорость изменения со временем числа потребителей, узнавших о товаре и готовых купить его (</w:t>
      </w:r>
      <m:oMath>
        <m:r>
          <m:t>t</m:t>
        </m:r>
      </m:oMath>
      <w:r>
        <w:t xml:space="preserve"> </w:t>
      </w:r>
      <w:r>
        <w:t xml:space="preserve">— время, прошедшее с начала рекламной кампании,</w:t>
      </w:r>
      <w:r>
        <w:t xml:space="preserve"> </w:t>
      </w:r>
      <m:oMath>
        <m:r>
          <m:t>N</m:t>
        </m:r>
        <m:d>
          <m:dPr>
            <m:begChr m:val="("/>
            <m:endChr m:val=")"/>
            <m:sepChr m:val=""/>
            <m:grow/>
          </m:dPr>
          <m:e>
            <m:r>
              <m:t>t</m:t>
            </m:r>
          </m:e>
        </m:d>
      </m:oMath>
      <w:r>
        <w:t xml:space="preserve"> </w:t>
      </w:r>
      <w:r>
        <w:t xml:space="preserve">– число уже информированных клиентов), — пропорциональна числу покупателей, еще не знающих о нем, т. е. величине</w:t>
      </w:r>
      <w:r>
        <w:t xml:space="preserve"> </w:t>
      </w:r>
      <m:oMath>
        <m:sSub>
          <m:e>
            <m:r>
              <m:t>α</m:t>
            </m:r>
          </m:e>
          <m:sub>
            <m:r>
              <m:t>1</m:t>
            </m:r>
          </m:sub>
        </m:sSub>
        <m:d>
          <m:dPr>
            <m:begChr m:val="("/>
            <m:endChr m:val=")"/>
            <m:sepChr m:val=""/>
            <m:grow/>
          </m:dPr>
          <m:e>
            <m:r>
              <m:t>t</m:t>
            </m:r>
          </m:e>
        </m:d>
        <m:d>
          <m:dPr>
            <m:begChr m:val="("/>
            <m:endChr m:val=")"/>
            <m:sepChr m:val=""/>
            <m:grow/>
          </m:dPr>
          <m:e>
            <m:sSub>
              <m:e>
                <m:r>
                  <m:t>N</m:t>
                </m:r>
              </m:e>
              <m:sub>
                <m:r>
                  <m:t>0</m:t>
                </m:r>
              </m:sub>
            </m:sSub>
            <m:r>
              <m:rPr>
                <m:sty m:val="p"/>
              </m:rPr>
              <m:t>−</m:t>
            </m:r>
            <m:r>
              <m:t>N</m:t>
            </m:r>
            <m:d>
              <m:dPr>
                <m:begChr m:val="("/>
                <m:endChr m:val=")"/>
                <m:sepChr m:val=""/>
                <m:grow/>
              </m:dPr>
              <m:e>
                <m:r>
                  <m:t>t</m:t>
                </m:r>
              </m:e>
            </m:d>
          </m:e>
        </m:d>
      </m:oMath>
      <w:r>
        <w:t xml:space="preserve">, где</w:t>
      </w:r>
      <w:r>
        <w:t xml:space="preserve"> </w:t>
      </w:r>
      <m:oMath>
        <m:sSub>
          <m:e>
            <m:r>
              <m:t>N</m:t>
            </m:r>
          </m:e>
          <m:sub>
            <m:r>
              <m:t>0</m:t>
            </m:r>
          </m:sub>
        </m:sSub>
      </m:oMath>
      <w:r>
        <w:t xml:space="preserve"> </w:t>
      </w:r>
      <w:r>
        <w:t xml:space="preserve">- общее число покупателей (емкость рынка),характеризует интенсивность рекламной кампании. Предполагается также, что узнавшие о товаре потребители распространяют полученную информацию среди неосведомленных, выступая как бы в роли дополнительных рекламных агентов фирмы. Их вклад равен величине</w:t>
      </w:r>
      <w:r>
        <w:t xml:space="preserve"> </w:t>
      </w:r>
      <m:oMath>
        <m:sSub>
          <m:e>
            <m:r>
              <m:t>α</m:t>
            </m:r>
          </m:e>
          <m:sub>
            <m:r>
              <m:t>2</m:t>
            </m:r>
          </m:sub>
        </m:sSub>
        <m:d>
          <m:dPr>
            <m:begChr m:val="("/>
            <m:endChr m:val=")"/>
            <m:sepChr m:val=""/>
            <m:grow/>
          </m:dPr>
          <m:e>
            <m:r>
              <m:t>t</m:t>
            </m:r>
          </m:e>
        </m:d>
        <m:r>
          <m:t>N</m:t>
        </m:r>
        <m:d>
          <m:dPr>
            <m:begChr m:val="("/>
            <m:endChr m:val=")"/>
            <m:sepChr m:val=""/>
            <m:grow/>
          </m:dPr>
          <m:e>
            <m:r>
              <m:t>t</m:t>
            </m:r>
          </m:e>
        </m:d>
        <m:d>
          <m:dPr>
            <m:begChr m:val="("/>
            <m:endChr m:val=")"/>
            <m:sepChr m:val=""/>
            <m:grow/>
          </m:dPr>
          <m:e>
            <m:sSub>
              <m:e>
                <m:r>
                  <m:t>N</m:t>
                </m:r>
              </m:e>
              <m:sub>
                <m:r>
                  <m:t>0</m:t>
                </m:r>
              </m:sub>
            </m:sSub>
            <m:r>
              <m:rPr>
                <m:sty m:val="p"/>
              </m:rPr>
              <m:t>−</m:t>
            </m:r>
            <m:r>
              <m:t>N</m:t>
            </m:r>
            <m:d>
              <m:dPr>
                <m:begChr m:val="("/>
                <m:endChr m:val=")"/>
                <m:sepChr m:val=""/>
                <m:grow/>
              </m:dPr>
              <m:e>
                <m:r>
                  <m:t>t</m:t>
                </m:r>
              </m:e>
            </m:d>
          </m:e>
        </m:d>
      </m:oMath>
      <w:r>
        <w:t xml:space="preserve">, которая тем больше, чем больше число агентов. Величина</w:t>
      </w:r>
      <w:r>
        <w:t xml:space="preserve"> </w:t>
      </w:r>
      <m:oMath>
        <m:sSub>
          <m:e>
            <m:r>
              <m:t>α</m:t>
            </m:r>
          </m:e>
          <m:sub>
            <m:r>
              <m:t>2</m:t>
            </m:r>
          </m:sub>
        </m:sSub>
      </m:oMath>
      <w:r>
        <w:t xml:space="preserve"> </w:t>
      </w:r>
      <w:r>
        <w:t xml:space="preserve">характеризует степень общения покупателей между собой</w:t>
      </w:r>
      <w:r>
        <w:t xml:space="preserve"> </w:t>
      </w:r>
      <w:r>
        <w:t xml:space="preserve">[</w:t>
      </w:r>
      <w:r>
        <w:rPr>
          <w:b/>
          <w:bCs/>
        </w:rPr>
        <w:t xml:space="preserve">stud?</w:t>
      </w:r>
      <w:r>
        <w:t xml:space="preserve">]</w:t>
      </w:r>
      <w:r>
        <w:t xml:space="preserve">.</w:t>
      </w:r>
    </w:p>
    <w:p>
      <w:pPr>
        <w:pStyle w:val="BodyText"/>
      </w:pPr>
      <w:r>
        <w:t xml:space="preserve">В итоге получаем уравнение</w:t>
      </w:r>
    </w:p>
    <w:p>
      <w:pPr>
        <w:pStyle w:val="BodyText"/>
      </w:pPr>
      <m:oMathPara>
        <m:oMathParaPr>
          <m:jc m:val="center"/>
        </m:oMathParaPr>
        <m:oMath>
          <m:f>
            <m:fPr>
              <m:type m:val="bar"/>
            </m:fPr>
            <m:num>
              <m:r>
                <m:t>d</m:t>
              </m:r>
              <m:r>
                <m:t>n</m:t>
              </m:r>
            </m:num>
            <m:den>
              <m:r>
                <m:t>d</m:t>
              </m:r>
              <m:r>
                <m:t>t</m:t>
              </m:r>
            </m:den>
          </m:f>
          <m:r>
            <m:rPr>
              <m:sty m:val="p"/>
            </m:rPr>
            <m:t>=</m:t>
          </m:r>
          <m:d>
            <m:dPr>
              <m:begChr m:val="("/>
              <m:endChr m:val=")"/>
              <m:sepChr m:val=""/>
              <m:grow/>
            </m:dPr>
            <m:e>
              <m:sSub>
                <m:e>
                  <m:r>
                    <m:t>α</m:t>
                  </m:r>
                </m:e>
                <m:sub>
                  <m:r>
                    <m:t>1</m:t>
                  </m:r>
                </m:sub>
              </m:sSub>
              <m:r>
                <m:rPr>
                  <m:sty m:val="p"/>
                </m:rPr>
                <m:t>+</m:t>
              </m:r>
              <m:sSub>
                <m:e>
                  <m:r>
                    <m:t>α</m:t>
                  </m:r>
                </m:e>
                <m:sub>
                  <m:r>
                    <m:t>2</m:t>
                  </m:r>
                </m:sub>
              </m:sSub>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m:oMathPara>
    </w:p>
    <w:bookmarkEnd w:id="22"/>
    <w:bookmarkStart w:id="41"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FirstParagraph"/>
      </w:pPr>
      <w:r>
        <w:t xml:space="preserve">Подключаем нужные библиотеки для решения ДУ и для отрисовки графиков. Задаем само дифференциальное уравнение, а также начальные условия и параметры. Определяем</w:t>
      </w:r>
      <w:r>
        <w:t xml:space="preserve"> </w:t>
      </w:r>
      <w:r>
        <w:rPr>
          <w:rStyle w:val="VerbatimChar"/>
        </w:rPr>
        <w:t xml:space="preserve">ODEProblem</w:t>
      </w:r>
      <w:r>
        <w:t xml:space="preserve">.</w:t>
      </w:r>
      <w:r>
        <w:t xml:space="preserve"> </w:t>
      </w:r>
      <w:r>
        <w:t xml:space="preserve">Когда задача определена, можем ее решить методом</w:t>
      </w:r>
      <w:r>
        <w:t xml:space="preserve"> </w:t>
      </w:r>
      <w:r>
        <w:rPr>
          <w:rStyle w:val="VerbatimChar"/>
        </w:rPr>
        <w:t xml:space="preserve">solve()</w:t>
      </w:r>
      <w:r>
        <w:t xml:space="preserve"> </w:t>
      </w:r>
      <w:r>
        <w:t xml:space="preserve">и нарисовать график с помощью</w:t>
      </w:r>
      <w:r>
        <w:t xml:space="preserve"> </w:t>
      </w:r>
      <w:r>
        <w:rPr>
          <w:rStyle w:val="VerbatimChar"/>
        </w:rPr>
        <w:t xml:space="preserve">plot()</w:t>
      </w:r>
      <w:r>
        <w:t xml:space="preserve">.(рис. [??])</w:t>
      </w:r>
    </w:p>
    <w:p>
      <w:pPr>
        <w:pStyle w:val="CaptionedFigure"/>
      </w:pPr>
      <w:r>
        <w:drawing>
          <wp:inline>
            <wp:extent cx="3733800" cy="2489200"/>
            <wp:effectExtent b="0" l="0" r="0" t="0"/>
            <wp:docPr descr="Код для 1 случая" title="fig:" id="24" name="Picture"/>
            <a:graphic>
              <a:graphicData uri="http://schemas.openxmlformats.org/drawingml/2006/picture">
                <pic:pic>
                  <pic:nvPicPr>
                    <pic:cNvPr descr="image/1.bmp"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Код для 1 случая</w:t>
      </w:r>
    </w:p>
    <w:p>
      <w:pPr>
        <w:pStyle w:val="BodyText"/>
      </w:pPr>
      <w:r>
        <w:t xml:space="preserve">В результате получаем следующий график (рис. [??]).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1230 - рынок насытился, и дальше реклама бесполезна.</w:t>
      </w:r>
    </w:p>
    <w:p>
      <w:pPr>
        <w:pStyle w:val="CaptionedFigure"/>
      </w:pPr>
      <w:r>
        <w:drawing>
          <wp:inline>
            <wp:extent cx="3733800" cy="2489200"/>
            <wp:effectExtent b="0" l="0" r="0" t="0"/>
            <wp:docPr descr="График распространения рекламы для случая 1" title="fig:" id="27" name="Picture"/>
            <a:graphic>
              <a:graphicData uri="http://schemas.openxmlformats.org/drawingml/2006/picture">
                <pic:pic>
                  <pic:nvPicPr>
                    <pic:cNvPr descr="image/2.bmp" id="28" name="Picture"/>
                    <pic:cNvPicPr>
                      <a:picLocks noChangeArrowheads="1" noChangeAspect="1"/>
                    </pic:cNvPicPr>
                  </pic:nvPicPr>
                  <pic:blipFill>
                    <a:blip r:embed="rId2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График распространения рекламы для случая 1</w:t>
      </w:r>
    </w:p>
    <w:p>
      <w:pPr>
        <w:pStyle w:val="BodyText"/>
      </w:pPr>
      <w:r>
        <w:t xml:space="preserve">Теперь решим ДУ для второго случая и построим график.(рис. [??])</w:t>
      </w:r>
    </w:p>
    <w:p>
      <w:pPr>
        <w:pStyle w:val="BodyText"/>
      </w:pPr>
      <w:r>
        <w:t xml:space="preserve">Нам требуется найти момент времени, в который скорость распространения рекламы имеет максимальное значение. Первая производная - показатель скорости, поэтому нам просто надо найти максимальное значение</w:t>
      </w:r>
      <w:r>
        <w:t xml:space="preserve"> </w:t>
      </w:r>
      <m:oMath>
        <m:f>
          <m:fPr>
            <m:type m:val="bar"/>
          </m:fPr>
          <m:num>
            <m:r>
              <m:t>d</m:t>
            </m:r>
            <m:r>
              <m:t>n</m:t>
            </m:r>
          </m:num>
          <m:den>
            <m:r>
              <m:t>d</m:t>
            </m:r>
            <m:r>
              <m:t>t</m:t>
            </m:r>
          </m:den>
        </m:f>
      </m:oMath>
      <w:r>
        <w:t xml:space="preserve"> </w:t>
      </w:r>
      <w:r>
        <w:t xml:space="preserve">на заданном промежутке времени.</w:t>
      </w:r>
    </w:p>
    <w:p>
      <w:pPr>
        <w:pStyle w:val="BodyText"/>
      </w:pPr>
      <w:r>
        <w:t xml:space="preserve">Для начала просто вычислим все производные на</w:t>
      </w:r>
      <w:r>
        <w:t xml:space="preserve"> </w:t>
      </w:r>
      <m:oMath>
        <m:r>
          <m:t>t</m:t>
        </m:r>
        <m:r>
          <m:rPr>
            <m:sty m:val="p"/>
          </m:rPr>
          <m:t>∈</m:t>
        </m:r>
        <m:d>
          <m:dPr>
            <m:begChr m:val="["/>
            <m:endChr m:val="]"/>
            <m:sepChr m:val=""/>
            <m:grow/>
          </m:dPr>
          <m:e>
            <m:r>
              <m:t>0</m:t>
            </m:r>
            <m:r>
              <m:rPr>
                <m:sty m:val="p"/>
              </m:rPr>
              <m:t>,</m:t>
            </m:r>
            <m:r>
              <m:t>0.2</m:t>
            </m:r>
          </m:e>
        </m:d>
      </m:oMath>
      <w:r>
        <w:t xml:space="preserve"> </w:t>
      </w:r>
      <w:r>
        <w:t xml:space="preserve">с шагом 0.0001, получим вектор значений. С помощью команды</w:t>
      </w:r>
      <w:r>
        <w:t xml:space="preserve"> </w:t>
      </w:r>
      <w:r>
        <w:rPr>
          <w:rStyle w:val="VerbatimChar"/>
        </w:rPr>
        <w:t xml:space="preserve">maximum()</w:t>
      </w:r>
      <w:r>
        <w:t xml:space="preserve"> </w:t>
      </w:r>
      <w:r>
        <w:t xml:space="preserve">найдем максимальный элемент из этого вектора:</w:t>
      </w:r>
    </w:p>
    <w:p>
      <w:pPr>
        <w:pStyle w:val="BodyText"/>
      </w:pPr>
      <w:r>
        <w:t xml:space="preserve">Поскольку шаг и интервал времени, на котором мы вычисляли производные, равны шагу и интервалу времени, на котором мы решали ДУ, то индексы в векторе</w:t>
      </w:r>
      <w:r>
        <w:t xml:space="preserve"> </w:t>
      </w:r>
      <w:r>
        <w:rPr>
          <w:rStyle w:val="VerbatimChar"/>
        </w:rPr>
        <w:t xml:space="preserve">dev</w:t>
      </w:r>
      <w:r>
        <w:t xml:space="preserve"> </w:t>
      </w:r>
      <w:r>
        <w:t xml:space="preserve">совпадают с индексами в векторе</w:t>
      </w:r>
      <w:r>
        <w:t xml:space="preserve"> </w:t>
      </w:r>
      <w:r>
        <w:rPr>
          <w:rStyle w:val="VerbatimChar"/>
        </w:rPr>
        <w:t xml:space="preserve">sol.t</w:t>
      </w:r>
      <w:r>
        <w:t xml:space="preserve"> </w:t>
      </w:r>
      <w:r>
        <w:t xml:space="preserve">и</w:t>
      </w:r>
      <w:r>
        <w:t xml:space="preserve"> </w:t>
      </w:r>
      <w:r>
        <w:rPr>
          <w:rStyle w:val="VerbatimChar"/>
        </w:rPr>
        <w:t xml:space="preserve">sol.u</w:t>
      </w:r>
      <w:r>
        <w:t xml:space="preserve">. То есть мы можем найти момент времени и значение N(t), когда скорость распространения рекламы максимальна. Для наглядности отразим это на графике (рис. [??]).</w:t>
      </w:r>
    </w:p>
    <w:p>
      <w:pPr>
        <w:pStyle w:val="CaptionedFigure"/>
      </w:pPr>
      <w:r>
        <w:drawing>
          <wp:inline>
            <wp:extent cx="3733800" cy="2489200"/>
            <wp:effectExtent b="0" l="0" r="0" t="0"/>
            <wp:docPr descr="Код для 2 случая" title="fig:" id="30" name="Picture"/>
            <a:graphic>
              <a:graphicData uri="http://schemas.openxmlformats.org/drawingml/2006/picture">
                <pic:pic>
                  <pic:nvPicPr>
                    <pic:cNvPr descr="image/3.bmp" id="31" name="Picture"/>
                    <pic:cNvPicPr>
                      <a:picLocks noChangeArrowheads="1" noChangeAspect="1"/>
                    </pic:cNvPicPr>
                  </pic:nvPicPr>
                  <pic:blipFill>
                    <a:blip r:embed="rId29"/>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Код для 2 случая</w:t>
      </w:r>
    </w:p>
    <w:p>
      <w:pPr>
        <w:pStyle w:val="BodyText"/>
      </w:pPr>
      <w:r>
        <w:t xml:space="preserve">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p>
      <w:pPr>
        <w:pStyle w:val="CaptionedFigure"/>
      </w:pPr>
      <w:r>
        <w:drawing>
          <wp:inline>
            <wp:extent cx="3733800" cy="2489200"/>
            <wp:effectExtent b="0" l="0" r="0" t="0"/>
            <wp:docPr descr="График распространения рекламы для случая 2" title="fig:" id="33" name="Picture"/>
            <a:graphic>
              <a:graphicData uri="http://schemas.openxmlformats.org/drawingml/2006/picture">
                <pic:pic>
                  <pic:nvPicPr>
                    <pic:cNvPr descr="image/4.bmp" id="34" name="Picture"/>
                    <pic:cNvPicPr>
                      <a:picLocks noChangeArrowheads="1" noChangeAspect="1"/>
                    </pic:cNvPicPr>
                  </pic:nvPicPr>
                  <pic:blipFill>
                    <a:blip r:embed="rId3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График распространения рекламы для случая 2</w:t>
      </w:r>
    </w:p>
    <w:p>
      <w:pPr>
        <w:pStyle w:val="BodyText"/>
      </w:pPr>
      <w:r>
        <w:t xml:space="preserve">Для случая 3 задание ДУ и его решение выглядит так:(рис. [??])</w:t>
      </w:r>
    </w:p>
    <w:p>
      <w:pPr>
        <w:pStyle w:val="CaptionedFigure"/>
      </w:pPr>
      <w:r>
        <w:drawing>
          <wp:inline>
            <wp:extent cx="3733800" cy="2489200"/>
            <wp:effectExtent b="0" l="0" r="0" t="0"/>
            <wp:docPr descr="Код для 3 случая" title="fig:" id="36" name="Picture"/>
            <a:graphic>
              <a:graphicData uri="http://schemas.openxmlformats.org/drawingml/2006/picture">
                <pic:pic>
                  <pic:nvPicPr>
                    <pic:cNvPr descr="image/5.bmp" id="37" name="Picture"/>
                    <pic:cNvPicPr>
                      <a:picLocks noChangeArrowheads="1" noChangeAspect="1"/>
                    </pic:cNvPicPr>
                  </pic:nvPicPr>
                  <pic:blipFill>
                    <a:blip r:embed="rId35"/>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Код для 3 случая</w:t>
      </w:r>
    </w:p>
    <w:p>
      <w:pPr>
        <w:pStyle w:val="BodyText"/>
      </w:pPr>
      <w:r>
        <w:t xml:space="preserve">В результате получаем следующий график (рис. [??]).</w:t>
      </w:r>
    </w:p>
    <w:p>
      <w:pPr>
        <w:pStyle w:val="CaptionedFigure"/>
      </w:pPr>
      <w:r>
        <w:drawing>
          <wp:inline>
            <wp:extent cx="3733800" cy="2489200"/>
            <wp:effectExtent b="0" l="0" r="0" t="0"/>
            <wp:docPr descr="График распространения рекламы для случая 3" title="fig:" id="39" name="Picture"/>
            <a:graphic>
              <a:graphicData uri="http://schemas.openxmlformats.org/drawingml/2006/picture">
                <pic:pic>
                  <pic:nvPicPr>
                    <pic:cNvPr descr="image/6.bmp" id="40" name="Picture"/>
                    <pic:cNvPicPr>
                      <a:picLocks noChangeArrowheads="1" noChangeAspect="1"/>
                    </pic:cNvPicPr>
                  </pic:nvPicPr>
                  <pic:blipFill>
                    <a:blip r:embed="rId3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График распространения рекламы для случая 3</w:t>
      </w:r>
    </w:p>
    <w:bookmarkEnd w:id="41"/>
    <w:bookmarkStart w:id="42" w:name="выводы"/>
    <w:p>
      <w:pPr>
        <w:pStyle w:val="Heading1"/>
      </w:pPr>
      <w:r>
        <w:rPr>
          <w:rStyle w:val="SectionNumber"/>
        </w:rPr>
        <w:t xml:space="preserve">5</w:t>
      </w:r>
      <w:r>
        <w:tab/>
      </w:r>
      <w:r>
        <w:t xml:space="preserve">Выводы</w:t>
      </w:r>
    </w:p>
    <w:p>
      <w:pPr>
        <w:pStyle w:val="FirstParagraph"/>
      </w:pPr>
      <w:r>
        <w:t xml:space="preserve">В результате выполнения данной лабораторной работы была исследована модель эффективности рекламы.</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bmp" /><Relationship Type="http://schemas.openxmlformats.org/officeDocument/2006/relationships/image" Id="rId26" Target="media/rId26.bmp" /><Relationship Type="http://schemas.openxmlformats.org/officeDocument/2006/relationships/image" Id="rId29" Target="media/rId29.bmp" /><Relationship Type="http://schemas.openxmlformats.org/officeDocument/2006/relationships/image" Id="rId32" Target="media/rId32.bmp" /><Relationship Type="http://schemas.openxmlformats.org/officeDocument/2006/relationships/image" Id="rId35" Target="media/rId35.bmp" /><Relationship Type="http://schemas.openxmlformats.org/officeDocument/2006/relationships/image" Id="rId38" Target="media/rId38.bmp"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7</dc:title>
  <dc:creator>Хамдамова Айжана</dc:creator>
  <dc:language>ru-RU</dc:language>
  <cp:keywords/>
  <dcterms:created xsi:type="dcterms:W3CDTF">2025-04-11T21:36:59Z</dcterms:created>
  <dcterms:modified xsi:type="dcterms:W3CDTF">2025-04-11T21:36:59Z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IBM Plex Serif</vt:lpwstr>
  </property>
  <property fmtid="{D5CDD505-2E9C-101B-9397-08002B2CF9AE}" pid="22" name="mainfontoptions">
    <vt:lpwstr>Ligatures=Common,Ligatures=TeX,Scale=0.94</vt:lpwstr>
  </property>
  <property fmtid="{D5CDD505-2E9C-101B-9397-08002B2CF9AE}" pid="23" name="mathfont">
    <vt:lpwstr>STIX Two Math</vt:lpwstr>
  </property>
  <property fmtid="{D5CDD505-2E9C-101B-9397-08002B2CF9AE}" pid="24" name="mathfontoptions">
    <vt:lpwstr/>
  </property>
  <property fmtid="{D5CDD505-2E9C-101B-9397-08002B2CF9AE}" pid="25" name="monofont">
    <vt:lpwstr>IBM Plex Mono</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
    <vt:lpwstr>IBM Plex Serif</vt:lpwstr>
  </property>
  <property fmtid="{D5CDD505-2E9C-101B-9397-08002B2CF9AE}" pid="31" name="romanfontoptions">
    <vt:lpwstr>Ligatures=Common,Ligatures=TeX,Scale=0.94</vt:lpwstr>
  </property>
  <property fmtid="{D5CDD505-2E9C-101B-9397-08002B2CF9AE}" pid="32" name="sansfont">
    <vt:lpwstr>IBM Plex Sans</vt:lpwstr>
  </property>
  <property fmtid="{D5CDD505-2E9C-101B-9397-08002B2CF9AE}" pid="33" name="sansfontoptions">
    <vt:lpwstr>Ligatures=Common,Ligatures=TeX,Scale=MatchLowercase,Scale=0.94</vt:lpwstr>
  </property>
  <property fmtid="{D5CDD505-2E9C-101B-9397-08002B2CF9AE}" pid="34" name="subtitle">
    <vt:lpwstr>Эффективность рекламы</vt:lpwstr>
  </property>
  <property fmtid="{D5CDD505-2E9C-101B-9397-08002B2CF9AE}" pid="35" name="tableTitle">
    <vt:lpwstr>Таблица</vt:lpwstr>
  </property>
  <property fmtid="{D5CDD505-2E9C-101B-9397-08002B2CF9AE}" pid="36" name="toc">
    <vt:lpwstr>True</vt:lpwstr>
  </property>
  <property fmtid="{D5CDD505-2E9C-101B-9397-08002B2CF9AE}" pid="37" name="toc-depth">
    <vt:lpwstr>2</vt:lpwstr>
  </property>
  <property fmtid="{D5CDD505-2E9C-101B-9397-08002B2CF9AE}" pid="38" name="toc-title">
    <vt:lpwstr>Содержание</vt:lpwstr>
  </property>
</Properties>
</file>