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w:t>
      </w:r>
      <w:r>
        <w:t xml:space="preserve"> </w:t>
      </w:r>
      <w:r>
        <w:t xml:space="preserve">15.</w:t>
      </w:r>
    </w:p>
    <w:p>
      <w:pPr>
        <w:pStyle w:val="Subtitle"/>
      </w:pPr>
      <w:r>
        <w:t xml:space="preserve">Модели</w:t>
      </w:r>
      <w:r>
        <w:t xml:space="preserve"> </w:t>
      </w:r>
      <w:r>
        <w:t xml:space="preserve">обслуживания</w:t>
      </w:r>
      <w:r>
        <w:t xml:space="preserve"> </w:t>
      </w:r>
      <w:r>
        <w:t xml:space="preserve">с</w:t>
      </w:r>
      <w:r>
        <w:t xml:space="preserve"> </w:t>
      </w:r>
      <w:r>
        <w:t xml:space="preserve">приоритетами</w:t>
      </w:r>
    </w:p>
    <w:p>
      <w:pPr>
        <w:pStyle w:val="Author"/>
      </w:pPr>
      <w:r>
        <w:t xml:space="preserve">Хамдамова</w:t>
      </w:r>
      <w:r>
        <w:t xml:space="preserve"> </w:t>
      </w:r>
      <w:r>
        <w:t xml:space="preserve">Айжана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Реализовать модели обслуживания с приоритетами и провести анализ результатов.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Реализовать с помощью gpss:</w:t>
      </w:r>
    </w:p>
    <w:p>
      <w:pPr>
        <w:pStyle w:val="Compact"/>
        <w:numPr>
          <w:ilvl w:val="0"/>
          <w:numId w:val="1001"/>
        </w:numPr>
      </w:pPr>
      <w:r>
        <w:t xml:space="preserve">Модель обслуживания механиков на складе</w:t>
      </w:r>
    </w:p>
    <w:p>
      <w:pPr>
        <w:pStyle w:val="Compact"/>
        <w:numPr>
          <w:ilvl w:val="0"/>
          <w:numId w:val="1001"/>
        </w:numPr>
      </w:pPr>
      <w:r>
        <w:t xml:space="preserve">Модель обслуживания в порту судов двух типов</w:t>
      </w:r>
    </w:p>
    <w:bookmarkEnd w:id="21"/>
    <w:bookmarkStart w:id="39"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28" w:name="модель-обслуживания-механиков-на-складе"/>
    <w:p>
      <w:pPr>
        <w:pStyle w:val="Heading2"/>
      </w:pPr>
      <w:r>
        <w:rPr>
          <w:rStyle w:val="SectionNumber"/>
        </w:rPr>
        <w:t xml:space="preserve">3.1</w:t>
      </w:r>
      <w:r>
        <w:tab/>
      </w:r>
      <w:r>
        <w:t xml:space="preserve">Модель обслуживания механиков на складе</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части.Запросы бывают двух категорий. Для первой</w:t>
      </w:r>
      <w:r>
        <w:t xml:space="preserve"> </w:t>
      </w:r>
      <w:r>
        <w:t xml:space="preserve">категории интервалы времени прихода механиков</w:t>
      </w:r>
      <w:r>
        <w:t xml:space="preserve"> </w:t>
      </w:r>
      <m:oMath>
        <m:r>
          <m:t>420</m:t>
        </m:r>
        <m:r>
          <m:rPr>
            <m:sty m:val="p"/>
          </m:rPr>
          <m:t>±</m:t>
        </m:r>
        <m:r>
          <m:t>360</m:t>
        </m:r>
      </m:oMath>
      <w:r>
        <w:t xml:space="preserve"> </w:t>
      </w:r>
      <w:r>
        <w:t xml:space="preserve">сек., время обслуживания –</w:t>
      </w:r>
      <w:r>
        <w:t xml:space="preserve"> </w:t>
      </w:r>
      <m:oMath>
        <m:r>
          <m:t>300</m:t>
        </m:r>
        <m:r>
          <m:rPr>
            <m:sty m:val="p"/>
          </m:rPr>
          <m:t>±</m:t>
        </m:r>
        <m:r>
          <m:t>90</m:t>
        </m:r>
      </m:oMath>
      <w:r>
        <w:t xml:space="preserve"> </w:t>
      </w:r>
      <w:r>
        <w:t xml:space="preserve">сек. Для второй категории интервалы времени прихода механиков</w:t>
      </w:r>
      <w:r>
        <w:t xml:space="preserve"> </w:t>
      </w:r>
      <m:oMath>
        <m:r>
          <m:t>360</m:t>
        </m:r>
        <m:r>
          <m:rPr>
            <m:sty m:val="p"/>
          </m:rPr>
          <m:t>±</m:t>
        </m:r>
        <m:r>
          <m:t>240</m:t>
        </m:r>
      </m:oMath>
      <w:r>
        <w:t xml:space="preserve"> </w:t>
      </w:r>
      <w:r>
        <w:t xml:space="preserve">сек., время обслуживания –</w:t>
      </w:r>
      <w:r>
        <w:t xml:space="preserve"> </w:t>
      </w:r>
      <m:oMath>
        <m:r>
          <m:t>100</m:t>
        </m:r>
        <m:r>
          <m:rPr>
            <m:sty m:val="p"/>
          </m:rPr>
          <m:t>±</m:t>
        </m:r>
        <m:r>
          <m:t>30</m:t>
        </m:r>
      </m:oMath>
      <w:r>
        <w:t xml:space="preserve"> </w:t>
      </w:r>
      <w:r>
        <w:t xml:space="preserve">сек</w:t>
      </w:r>
      <w:r>
        <w:t xml:space="preserve"> </w:t>
      </w:r>
      <w:r>
        <w:t xml:space="preserve">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w:t>
      </w:r>
      <w:r>
        <w:t xml:space="preserve"> </w:t>
      </w:r>
      <w:r>
        <w:t xml:space="preserve">“</w:t>
      </w:r>
      <w:r>
        <w:t xml:space="preserve">первым пришел – первым обслужился</w:t>
      </w:r>
      <w:r>
        <w:t xml:space="preserve">”</w:t>
      </w:r>
      <w:r>
        <w:t xml:space="preserve">. Необходимо создать модель работы кладовой, моделирование выполнять в течение восьмичасового рабочего дня.</w:t>
      </w:r>
    </w:p>
    <w:p>
      <w:pPr>
        <w:pStyle w:val="BodyText"/>
      </w:pPr>
      <w:r>
        <w:t xml:space="preserve">Есть два различных типа заявок, поступающих на обслуживание к одному устройству. Различаются распределения интервалов приходов и времени обслуживания</w:t>
      </w:r>
      <w:r>
        <w:t xml:space="preserve"> </w:t>
      </w:r>
      <w:r>
        <w:t xml:space="preserve">для этих типов заявок. Приоритеты запросов задаются путем использования для</w:t>
      </w:r>
      <w:r>
        <w:t xml:space="preserve"> </w:t>
      </w:r>
      <w:r>
        <w:t xml:space="preserve">операнда</w:t>
      </w:r>
      <w:r>
        <w:t xml:space="preserve"> </w:t>
      </w:r>
      <w:r>
        <w:rPr>
          <w:rStyle w:val="VerbatimChar"/>
        </w:rPr>
        <w:t xml:space="preserve">E</w:t>
      </w:r>
      <w:r>
        <w:t xml:space="preserve"> </w:t>
      </w:r>
      <w:r>
        <w:t xml:space="preserve">блока</w:t>
      </w:r>
      <w:r>
        <w:t xml:space="preserve"> </w:t>
      </w:r>
      <w:r>
        <w:rPr>
          <w:rStyle w:val="VerbatimChar"/>
        </w:rPr>
        <w:t xml:space="preserve">GENERATE</w:t>
      </w:r>
      <w:r>
        <w:t xml:space="preserve"> </w:t>
      </w:r>
      <w:r>
        <w:t xml:space="preserve">запросов второй категории большего значения, чем для</w:t>
      </w:r>
      <w:r>
        <w:t xml:space="preserve"> </w:t>
      </w:r>
      <w:r>
        <w:t xml:space="preserve">запросов первой категории.</w:t>
      </w:r>
    </w:p>
    <w:p>
      <w:pPr>
        <w:pStyle w:val="BodyText"/>
      </w:pPr>
      <w:r>
        <w:t xml:space="preserve">Таким образом, имеем (рис. [??]).</w:t>
      </w:r>
    </w:p>
    <w:p>
      <w:pPr>
        <w:pStyle w:val="CaptionedFigure"/>
      </w:pPr>
      <w:r>
        <w:drawing>
          <wp:inline>
            <wp:extent cx="3733800" cy="4815260"/>
            <wp:effectExtent b="0" l="0" r="0" t="0"/>
            <wp:docPr descr="Модель обслуживания механиков с приоритетами" title="fig:"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4815260"/>
                    </a:xfrm>
                    <a:prstGeom prst="rect">
                      <a:avLst/>
                    </a:prstGeom>
                    <a:noFill/>
                    <a:ln w="9525">
                      <a:noFill/>
                      <a:headEnd/>
                      <a:tailEnd/>
                    </a:ln>
                  </pic:spPr>
                </pic:pic>
              </a:graphicData>
            </a:graphic>
          </wp:inline>
        </w:drawing>
      </w:r>
    </w:p>
    <w:p>
      <w:pPr>
        <w:pStyle w:val="ImageCaption"/>
      </w:pPr>
      <w:r>
        <w:t xml:space="preserve">Модель обслуживания механиков с приоритетами</w:t>
      </w:r>
    </w:p>
    <w:p>
      <w:pPr>
        <w:pStyle w:val="BodyText"/>
      </w:pPr>
      <w:r>
        <w:t xml:space="preserve">За приоритеты отвечает пятый аргумент генерации заявок.</w:t>
      </w:r>
    </w:p>
    <w:p>
      <w:pPr>
        <w:pStyle w:val="BodyText"/>
      </w:pPr>
      <w:r>
        <w:t xml:space="preserve">После запуска симуляции получаем отчёт (рис. [??]).</w:t>
      </w:r>
    </w:p>
    <w:p>
      <w:pPr>
        <w:pStyle w:val="CaptionedFigure"/>
      </w:pPr>
      <w:r>
        <w:drawing>
          <wp:inline>
            <wp:extent cx="3733800" cy="4532446"/>
            <wp:effectExtent b="0" l="0" r="0" t="0"/>
            <wp:docPr descr="Отчёт по модели обслуживания механиков с приоритетами" title="fig:"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4532446"/>
                    </a:xfrm>
                    <a:prstGeom prst="rect">
                      <a:avLst/>
                    </a:prstGeom>
                    <a:noFill/>
                    <a:ln w="9525">
                      <a:noFill/>
                      <a:headEnd/>
                      <a:tailEnd/>
                    </a:ln>
                  </pic:spPr>
                </pic:pic>
              </a:graphicData>
            </a:graphic>
          </wp:inline>
        </w:drawing>
      </w:r>
    </w:p>
    <w:p>
      <w:pPr>
        <w:pStyle w:val="ImageCaption"/>
      </w:pPr>
      <w:r>
        <w:t xml:space="preserve">Отчёт по модели обслуживания механиков с приоритетами</w:t>
      </w:r>
    </w:p>
    <w:p>
      <w:pPr>
        <w:pStyle w:val="BodyText"/>
      </w:pPr>
      <w:r>
        <w:t xml:space="preserve">Результаты работы модели:</w:t>
      </w:r>
    </w:p>
    <w:p>
      <w:pPr>
        <w:pStyle w:val="Compact"/>
        <w:numPr>
          <w:ilvl w:val="0"/>
          <w:numId w:val="1002"/>
        </w:numPr>
      </w:pPr>
      <w:r>
        <w:t xml:space="preserve">модельное время в начале моделирования:</w:t>
      </w:r>
      <w:r>
        <w:t xml:space="preserve"> </w:t>
      </w:r>
      <w:r>
        <w:rPr>
          <w:rStyle w:val="VerbatimChar"/>
        </w:rPr>
        <w:t xml:space="preserve">START TIME</w:t>
      </w:r>
      <w:r>
        <w:t xml:space="preserve">=0.0;</w:t>
      </w:r>
    </w:p>
    <w:p>
      <w:pPr>
        <w:pStyle w:val="Compact"/>
        <w:numPr>
          <w:ilvl w:val="0"/>
          <w:numId w:val="1002"/>
        </w:numPr>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=28800.0;</w:t>
      </w:r>
    </w:p>
    <w:p>
      <w:pPr>
        <w:pStyle w:val="Compact"/>
        <w:numPr>
          <w:ilvl w:val="0"/>
          <w:numId w:val="1002"/>
        </w:numPr>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=16;</w:t>
      </w:r>
    </w:p>
    <w:p>
      <w:pPr>
        <w:pStyle w:val="Compact"/>
        <w:numPr>
          <w:ilvl w:val="0"/>
          <w:numId w:val="1002"/>
        </w:numPr>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=1;</w:t>
      </w:r>
    </w:p>
    <w:p>
      <w:pPr>
        <w:pStyle w:val="Compact"/>
        <w:numPr>
          <w:ilvl w:val="0"/>
          <w:numId w:val="1002"/>
        </w:numPr>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=0. Имена, используемые в программе модели:</w:t>
      </w:r>
      <w:r>
        <w:t xml:space="preserve"> </w:t>
      </w:r>
      <w:r>
        <w:rPr>
          <w:rStyle w:val="VerbatimChar"/>
        </w:rPr>
        <w:t xml:space="preserve">QS1</w:t>
      </w:r>
      <w:r>
        <w:t xml:space="preserve">(первый тип заявок),</w:t>
      </w:r>
      <w:r>
        <w:t xml:space="preserve"> </w:t>
      </w:r>
      <w:r>
        <w:rPr>
          <w:rStyle w:val="VerbatimChar"/>
        </w:rPr>
        <w:t xml:space="preserve">QS2</w:t>
      </w:r>
      <w:r>
        <w:t xml:space="preserve">(второй тип заявок),</w:t>
      </w:r>
      <w:r>
        <w:t xml:space="preserve"> </w:t>
      </w:r>
      <w:r>
        <w:rPr>
          <w:rStyle w:val="VerbatimChar"/>
        </w:rPr>
        <w:t xml:space="preserve">STOCKMAN</w:t>
      </w:r>
      <w:r>
        <w:t xml:space="preserve">(обработчик заявок).</w:t>
      </w:r>
    </w:p>
    <w:p>
      <w:pPr>
        <w:pStyle w:val="FirstParagraph"/>
      </w:pPr>
      <w:r>
        <w:t xml:space="preserve">Далее идёт информация о блоках текущей модели, в частности,</w:t>
      </w:r>
      <w:r>
        <w:t xml:space="preserve"> </w:t>
      </w:r>
      <w:r>
        <w:rPr>
          <w:rStyle w:val="VerbatimChar"/>
        </w:rPr>
        <w:t xml:space="preserve">ENTRY COUNT</w:t>
      </w:r>
      <w:r>
        <w:t xml:space="preserve"> </w:t>
      </w:r>
      <w:r>
        <w:t xml:space="preserve">– количество транзактов, вошедших в блок с начала процедуры моделирования. Было сгенерировано 71 заявка первого типа и 83 второго, а обработано 64 и 81 соответственно.</w:t>
      </w:r>
    </w:p>
    <w:p>
      <w:pPr>
        <w:pStyle w:val="BodyText"/>
      </w:pPr>
      <w:r>
        <w:t xml:space="preserve">Затем идёт информация об одноканальном устройстве</w:t>
      </w:r>
      <w:r>
        <w:t xml:space="preserve"> </w:t>
      </w:r>
      <w:r>
        <w:rPr>
          <w:rStyle w:val="VerbatimChar"/>
        </w:rPr>
        <w:t xml:space="preserve">FACILITY</w:t>
      </w:r>
      <w:r>
        <w:t xml:space="preserve"> </w:t>
      </w:r>
      <w:r>
        <w:t xml:space="preserve">(оператор, оформляющий заказ), откуда видим, что к оператору на обработку попало всего 146 заказов обоих типов.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очередях:</w:t>
      </w:r>
    </w:p>
    <w:p>
      <w:pPr>
        <w:numPr>
          <w:ilvl w:val="0"/>
          <w:numId w:val="1003"/>
        </w:numPr>
      </w:pPr>
      <w:r>
        <w:rPr>
          <w:rStyle w:val="VerbatimChar"/>
        </w:rPr>
        <w:t xml:space="preserve">QUEUE</w:t>
      </w:r>
      <w:r>
        <w:t xml:space="preserve">=QS1 – имя объекта типа «очередь» для первого типа заявок;</w:t>
      </w:r>
    </w:p>
    <w:p>
      <w:pPr>
        <w:numPr>
          <w:ilvl w:val="0"/>
          <w:numId w:val="1003"/>
        </w:numPr>
      </w:pPr>
      <w:r>
        <w:rPr>
          <w:rStyle w:val="VerbatimChar"/>
        </w:rPr>
        <w:t xml:space="preserve">MAX</w:t>
      </w:r>
      <w:r>
        <w:t xml:space="preserve">=8 – максимальное число ожидающих заявок от клиента в очереди;</w:t>
      </w:r>
    </w:p>
    <w:p>
      <w:pPr>
        <w:numPr>
          <w:ilvl w:val="0"/>
          <w:numId w:val="1003"/>
        </w:numPr>
      </w:pPr>
      <w:r>
        <w:rPr>
          <w:rStyle w:val="VerbatimChar"/>
        </w:rPr>
        <w:t xml:space="preserve">CONT</w:t>
      </w:r>
      <w:r>
        <w:t xml:space="preserve">=6 – количество заявок в очереди на момент завершения моделирования;</w:t>
      </w:r>
    </w:p>
    <w:p>
      <w:pPr>
        <w:numPr>
          <w:ilvl w:val="0"/>
          <w:numId w:val="1003"/>
        </w:numPr>
      </w:pPr>
      <w:r>
        <w:rPr>
          <w:rStyle w:val="VerbatimChar"/>
        </w:rPr>
        <w:t xml:space="preserve">ENTRIES</w:t>
      </w:r>
      <w:r>
        <w:t xml:space="preserve">=71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=4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=2,177 заявок от клиентов в среднем были в очереди;</w:t>
      </w:r>
    </w:p>
    <w:p>
      <w:pPr>
        <w:numPr>
          <w:ilvl w:val="0"/>
          <w:numId w:val="1003"/>
        </w:numPr>
      </w:pPr>
      <w:r>
        <w:rPr>
          <w:rStyle w:val="VerbatimChar"/>
        </w:rPr>
        <w:t xml:space="preserve">AVE.TIME</w:t>
      </w:r>
      <w:r>
        <w:t xml:space="preserve">=883,029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=935,747 минут в среднем заявки от клиентов провели в очереди (без учета «нулевых» входов в очередь).</w:t>
      </w:r>
    </w:p>
    <w:p>
      <w:pPr>
        <w:numPr>
          <w:ilvl w:val="0"/>
          <w:numId w:val="1003"/>
        </w:numPr>
      </w:pPr>
      <w:r>
        <w:rPr>
          <w:rStyle w:val="VerbatimChar"/>
        </w:rPr>
        <w:t xml:space="preserve">QUEUE</w:t>
      </w:r>
      <w:r>
        <w:t xml:space="preserve">=QS2 – имя объекта типа «очередь» для второго типа заявок;</w:t>
      </w:r>
    </w:p>
    <w:p>
      <w:pPr>
        <w:numPr>
          <w:ilvl w:val="0"/>
          <w:numId w:val="1003"/>
        </w:numPr>
      </w:pPr>
      <w:r>
        <w:rPr>
          <w:rStyle w:val="VerbatimChar"/>
        </w:rPr>
        <w:t xml:space="preserve">MAX</w:t>
      </w:r>
      <w:r>
        <w:t xml:space="preserve">=3 – максимальное число ожидающих заявок от клиента в очереди;</w:t>
      </w:r>
    </w:p>
    <w:p>
      <w:pPr>
        <w:numPr>
          <w:ilvl w:val="0"/>
          <w:numId w:val="1003"/>
        </w:numPr>
      </w:pPr>
      <w:r>
        <w:rPr>
          <w:rStyle w:val="VerbatimChar"/>
        </w:rPr>
        <w:t xml:space="preserve">CONT</w:t>
      </w:r>
      <w:r>
        <w:t xml:space="preserve">=2 – количество заявок в очереди на момент завершения моделирования;</w:t>
      </w:r>
    </w:p>
    <w:p>
      <w:pPr>
        <w:numPr>
          <w:ilvl w:val="0"/>
          <w:numId w:val="1003"/>
        </w:numPr>
      </w:pPr>
      <w:r>
        <w:rPr>
          <w:rStyle w:val="VerbatimChar"/>
        </w:rPr>
        <w:t xml:space="preserve">ENTRIES</w:t>
      </w:r>
      <w:r>
        <w:t xml:space="preserve">=83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=2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=0,439 заявок от клиентов в среднем были в очереди;</w:t>
      </w:r>
    </w:p>
    <w:p>
      <w:pPr>
        <w:numPr>
          <w:ilvl w:val="0"/>
          <w:numId w:val="1003"/>
        </w:numPr>
      </w:pPr>
      <w:r>
        <w:rPr>
          <w:rStyle w:val="VerbatimChar"/>
        </w:rPr>
        <w:t xml:space="preserve">AVE.TIME</w:t>
      </w:r>
      <w:r>
        <w:t xml:space="preserve">=152,399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=152,162 минут в среднем заявки от клиентов провели в очереди (без учета «нулевых» входов в очередь).</w:t>
      </w:r>
    </w:p>
    <w:p>
      <w:pPr>
        <w:pStyle w:val="FirstParagraph"/>
      </w:pPr>
      <w:r>
        <w:t xml:space="preserve">В конце отчёта идёт информация о будущих событиях:</w:t>
      </w:r>
    </w:p>
    <w:p>
      <w:pPr>
        <w:pStyle w:val="Compact"/>
        <w:numPr>
          <w:ilvl w:val="0"/>
          <w:numId w:val="1004"/>
        </w:numPr>
      </w:pPr>
      <w:r>
        <w:rPr>
          <w:rStyle w:val="VerbatimChar"/>
        </w:rPr>
        <w:t xml:space="preserve">XN</w:t>
      </w:r>
      <w:r>
        <w:t xml:space="preserve">=141 – порядковый номер заявки от клиента, ожидающей поступления для оформления заказа у оператора;</w:t>
      </w:r>
    </w:p>
    <w:p>
      <w:pPr>
        <w:pStyle w:val="Compact"/>
        <w:numPr>
          <w:ilvl w:val="0"/>
          <w:numId w:val="1004"/>
        </w:numPr>
      </w:pPr>
      <w:r>
        <w:rPr>
          <w:rStyle w:val="VerbatimChar"/>
        </w:rPr>
        <w:t xml:space="preserve">PRI</w:t>
      </w:r>
      <w:r>
        <w:t xml:space="preserve">=1 – следующая заявка с приоритетом 1, то есть первого типа;</w:t>
      </w:r>
    </w:p>
    <w:p>
      <w:pPr>
        <w:pStyle w:val="Compact"/>
        <w:numPr>
          <w:ilvl w:val="0"/>
          <w:numId w:val="1004"/>
        </w:numPr>
      </w:pPr>
      <w:r>
        <w:rPr>
          <w:rStyle w:val="VerbatimChar"/>
        </w:rPr>
        <w:t xml:space="preserve">BDT</w:t>
      </w:r>
      <w:r>
        <w:t xml:space="preserve">=28815,063 – время назначенного события, связанного с данным транзактом;</w:t>
      </w:r>
    </w:p>
    <w:p>
      <w:pPr>
        <w:pStyle w:val="Compact"/>
        <w:numPr>
          <w:ilvl w:val="0"/>
          <w:numId w:val="1004"/>
        </w:numPr>
      </w:pPr>
      <w:r>
        <w:rPr>
          <w:rStyle w:val="VerbatimChar"/>
        </w:rPr>
        <w:t xml:space="preserve">ASSEM</w:t>
      </w:r>
      <w:r>
        <w:t xml:space="preserve">=141 – номер семейства транзактов;</w:t>
      </w:r>
    </w:p>
    <w:p>
      <w:pPr>
        <w:pStyle w:val="Compact"/>
        <w:numPr>
          <w:ilvl w:val="0"/>
          <w:numId w:val="1004"/>
        </w:numPr>
      </w:pPr>
      <w:r>
        <w:rPr>
          <w:rStyle w:val="VerbatimChar"/>
        </w:rPr>
        <w:t xml:space="preserve">CURRENT</w:t>
      </w:r>
      <w:r>
        <w:t xml:space="preserve">=5 – номер блока, в котором находится транзакт;</w:t>
      </w:r>
    </w:p>
    <w:p>
      <w:pPr>
        <w:pStyle w:val="Compact"/>
        <w:numPr>
          <w:ilvl w:val="0"/>
          <w:numId w:val="1004"/>
        </w:numPr>
      </w:pPr>
      <w:r>
        <w:rPr>
          <w:rStyle w:val="VerbatimChar"/>
        </w:rPr>
        <w:t xml:space="preserve">NEXT</w:t>
      </w:r>
      <w:r>
        <w:t xml:space="preserve">=6 – номер блока, в который должен войти транзакт.</w:t>
      </w:r>
    </w:p>
    <w:bookmarkEnd w:id="28"/>
    <w:bookmarkStart w:id="38" w:name="Xf2c53700e2ed52c994f143e6374ea902f84194b"/>
    <w:p>
      <w:pPr>
        <w:pStyle w:val="Heading2"/>
      </w:pPr>
      <w:r>
        <w:rPr>
          <w:rStyle w:val="SectionNumber"/>
        </w:rPr>
        <w:t xml:space="preserve">3.2</w:t>
      </w:r>
      <w:r>
        <w:tab/>
      </w:r>
      <w:r>
        <w:t xml:space="preserve">Модель обслуживания в порту судов двух типов</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Построение модели будет выглядеть следующим образом (рис. [??]).</w:t>
      </w:r>
    </w:p>
    <w:p>
      <w:pPr>
        <w:pStyle w:val="CaptionedFigure"/>
      </w:pPr>
      <w:r>
        <w:drawing>
          <wp:inline>
            <wp:extent cx="3733800" cy="4718657"/>
            <wp:effectExtent b="0" l="0" r="0" t="0"/>
            <wp:docPr descr="Модель обслуживания в порту судов двух типов" title="fig:"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4718657"/>
                    </a:xfrm>
                    <a:prstGeom prst="rect">
                      <a:avLst/>
                    </a:prstGeom>
                    <a:noFill/>
                    <a:ln w="9525">
                      <a:noFill/>
                      <a:headEnd/>
                      <a:tailEnd/>
                    </a:ln>
                  </pic:spPr>
                </pic:pic>
              </a:graphicData>
            </a:graphic>
          </wp:inline>
        </w:drawing>
      </w:r>
    </w:p>
    <w:p>
      <w:pPr>
        <w:pStyle w:val="ImageCaption"/>
      </w:pPr>
      <w:r>
        <w:t xml:space="preserve">Модель обслуживания в порту судов двух типов</w:t>
      </w:r>
    </w:p>
    <w:p>
      <w:pPr>
        <w:pStyle w:val="BodyText"/>
      </w:pPr>
      <w:r>
        <w:t xml:space="preserve">Получим отчет по симуляции (рис. [??], [??]).</w:t>
      </w:r>
    </w:p>
    <w:p>
      <w:pPr>
        <w:pStyle w:val="CaptionedFigure"/>
      </w:pPr>
      <w:r>
        <w:drawing>
          <wp:inline>
            <wp:extent cx="3733800" cy="4485538"/>
            <wp:effectExtent b="0" l="0" r="0" t="0"/>
            <wp:docPr descr="Отчёт по модели обслуживания в порту судов двух типов" title="fig:"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4485538"/>
                    </a:xfrm>
                    <a:prstGeom prst="rect">
                      <a:avLst/>
                    </a:prstGeom>
                    <a:noFill/>
                    <a:ln w="9525">
                      <a:noFill/>
                      <a:headEnd/>
                      <a:tailEnd/>
                    </a:ln>
                  </pic:spPr>
                </pic:pic>
              </a:graphicData>
            </a:graphic>
          </wp:inline>
        </w:drawing>
      </w:r>
    </w:p>
    <w:p>
      <w:pPr>
        <w:pStyle w:val="ImageCaption"/>
      </w:pPr>
      <w:r>
        <w:t xml:space="preserve">Отчёт по модели обслуживания в порту судов двух типов</w:t>
      </w:r>
    </w:p>
    <w:p>
      <w:pPr>
        <w:pStyle w:val="CaptionedFigure"/>
      </w:pPr>
      <w:r>
        <w:drawing>
          <wp:inline>
            <wp:extent cx="3733800" cy="2885209"/>
            <wp:effectExtent b="0" l="0" r="0" t="0"/>
            <wp:docPr descr="Отчёт по модели обслуживания в порту судов двух типов" title="fig:"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2885209"/>
                    </a:xfrm>
                    <a:prstGeom prst="rect">
                      <a:avLst/>
                    </a:prstGeom>
                    <a:noFill/>
                    <a:ln w="9525">
                      <a:noFill/>
                      <a:headEnd/>
                      <a:tailEnd/>
                    </a:ln>
                  </pic:spPr>
                </pic:pic>
              </a:graphicData>
            </a:graphic>
          </wp:inline>
        </w:drawing>
      </w:r>
    </w:p>
    <w:p>
      <w:pPr>
        <w:pStyle w:val="ImageCaption"/>
      </w:pPr>
      <w:r>
        <w:t xml:space="preserve">Отчёт по модели обслуживания в порту судов двух типов</w:t>
      </w:r>
    </w:p>
    <w:p>
      <w:pPr>
        <w:pStyle w:val="BodyText"/>
      </w:pPr>
      <w:r>
        <w:t xml:space="preserve">Результаты работы модели:</w:t>
      </w:r>
    </w:p>
    <w:p>
      <w:pPr>
        <w:pStyle w:val="Compact"/>
        <w:numPr>
          <w:ilvl w:val="0"/>
          <w:numId w:val="1005"/>
        </w:numPr>
      </w:pPr>
      <w:r>
        <w:t xml:space="preserve">модельное время в начале моделирования:</w:t>
      </w:r>
      <w:r>
        <w:t xml:space="preserve"> </w:t>
      </w:r>
      <w:r>
        <w:rPr>
          <w:rStyle w:val="VerbatimChar"/>
        </w:rPr>
        <w:t xml:space="preserve">START TIME</w:t>
      </w:r>
      <w:r>
        <w:t xml:space="preserve">=0.0;</w:t>
      </w:r>
    </w:p>
    <w:p>
      <w:pPr>
        <w:pStyle w:val="Compact"/>
        <w:numPr>
          <w:ilvl w:val="0"/>
          <w:numId w:val="1005"/>
        </w:numPr>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=175200.0;</w:t>
      </w:r>
    </w:p>
    <w:p>
      <w:pPr>
        <w:pStyle w:val="Compact"/>
        <w:numPr>
          <w:ilvl w:val="0"/>
          <w:numId w:val="1005"/>
        </w:numPr>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=28;</w:t>
      </w:r>
    </w:p>
    <w:p>
      <w:pPr>
        <w:pStyle w:val="Compact"/>
        <w:numPr>
          <w:ilvl w:val="0"/>
          <w:numId w:val="1005"/>
        </w:numPr>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=0;</w:t>
      </w:r>
    </w:p>
    <w:p>
      <w:pPr>
        <w:pStyle w:val="Compact"/>
        <w:numPr>
          <w:ilvl w:val="0"/>
          <w:numId w:val="1005"/>
        </w:numPr>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=3. Имена, используемые в программе модели:</w:t>
      </w:r>
      <w:r>
        <w:t xml:space="preserve"> </w:t>
      </w:r>
      <w:r>
        <w:rPr>
          <w:rStyle w:val="VerbatimChar"/>
        </w:rPr>
        <w:t xml:space="preserve">TYPE1</w:t>
      </w:r>
      <w:r>
        <w:t xml:space="preserve">(первый тип судов),</w:t>
      </w:r>
      <w:r>
        <w:t xml:space="preserve"> </w:t>
      </w:r>
      <w:r>
        <w:rPr>
          <w:rStyle w:val="VerbatimChar"/>
        </w:rPr>
        <w:t xml:space="preserve">TYPE2</w:t>
      </w:r>
      <w:r>
        <w:t xml:space="preserve">(второй тип судов),</w:t>
      </w:r>
      <w:r>
        <w:t xml:space="preserve"> </w:t>
      </w:r>
      <w:r>
        <w:rPr>
          <w:rStyle w:val="VerbatimChar"/>
        </w:rPr>
        <w:t xml:space="preserve">PRCH1</w:t>
      </w:r>
      <w:r>
        <w:t xml:space="preserve">(первый тип причала),</w:t>
      </w:r>
      <w:r>
        <w:t xml:space="preserve"> </w:t>
      </w:r>
      <w:r>
        <w:rPr>
          <w:rStyle w:val="VerbatimChar"/>
        </w:rPr>
        <w:t xml:space="preserve">PRCH2</w:t>
      </w:r>
      <w:r>
        <w:t xml:space="preserve">(второй тип причала).</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1345 заявок первого типа и 446 второго, а обработано 1339 и 365 соответственно.</w:t>
      </w:r>
    </w:p>
    <w:p>
      <w:pPr>
        <w:pStyle w:val="BodyText"/>
      </w:pPr>
      <w:r>
        <w:t xml:space="preserve">Далее информация об очередях:</w:t>
      </w:r>
    </w:p>
    <w:p>
      <w:pPr>
        <w:numPr>
          <w:ilvl w:val="0"/>
          <w:numId w:val="1006"/>
        </w:numPr>
      </w:pPr>
      <w:r>
        <w:rPr>
          <w:rStyle w:val="VerbatimChar"/>
        </w:rPr>
        <w:t xml:space="preserve">QUEUE</w:t>
      </w:r>
      <w:r>
        <w:t xml:space="preserve">=TYPE1 – имя объекта типа «очередь» для первого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=0 – на момент завершения моделирования очередь была пуста;</w:t>
      </w:r>
    </w:p>
    <w:p>
      <w:pPr>
        <w:numPr>
          <w:ilvl w:val="0"/>
          <w:numId w:val="1006"/>
        </w:numPr>
      </w:pPr>
      <w:r>
        <w:rPr>
          <w:rStyle w:val="VerbatimChar"/>
        </w:rPr>
        <w:t xml:space="preserve">ENTRIES</w:t>
      </w:r>
      <w:r>
        <w:t xml:space="preserve">=1345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=288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=0,750 заявок от клиентов в среднем были в очереди;</w:t>
      </w:r>
    </w:p>
    <w:p>
      <w:pPr>
        <w:numPr>
          <w:ilvl w:val="0"/>
          <w:numId w:val="1006"/>
        </w:numPr>
      </w:pPr>
      <w:r>
        <w:rPr>
          <w:rStyle w:val="VerbatimChar"/>
        </w:rPr>
        <w:t xml:space="preserve">AVE.TIME</w:t>
      </w:r>
      <w:r>
        <w:t xml:space="preserve">=97.724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=124,351 минут в среднем заявки от клиентов провели в очереди (без учета «нулевых» входов в очередь).</w:t>
      </w:r>
    </w:p>
    <w:p>
      <w:pPr>
        <w:numPr>
          <w:ilvl w:val="0"/>
          <w:numId w:val="1006"/>
        </w:numPr>
      </w:pPr>
      <w:r>
        <w:rPr>
          <w:rStyle w:val="VerbatimChar"/>
        </w:rPr>
        <w:t xml:space="preserve">QUEUE</w:t>
      </w:r>
      <w:r>
        <w:t xml:space="preserve">=TYPE2 – имя объекта типа «очередь» для второго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=2 – количество заявок в очереди на момент завершения моделирования;</w:t>
      </w:r>
    </w:p>
    <w:p>
      <w:pPr>
        <w:numPr>
          <w:ilvl w:val="0"/>
          <w:numId w:val="1006"/>
        </w:numPr>
      </w:pPr>
      <w:r>
        <w:rPr>
          <w:rStyle w:val="VerbatimChar"/>
        </w:rPr>
        <w:t xml:space="preserve">ENTRIES</w:t>
      </w:r>
      <w:r>
        <w:t xml:space="preserve">=446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=35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=0,897 заявок от клиентов в среднем были в очереди;</w:t>
      </w:r>
    </w:p>
    <w:p>
      <w:pPr>
        <w:numPr>
          <w:ilvl w:val="0"/>
          <w:numId w:val="1006"/>
        </w:numPr>
      </w:pPr>
      <w:r>
        <w:rPr>
          <w:rStyle w:val="VerbatimChar"/>
        </w:rPr>
        <w:t xml:space="preserve">AVE.TIME</w:t>
      </w:r>
      <w:r>
        <w:t xml:space="preserve">=352.553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=382,576 минут в среднем заявки от клиентов провели в очереди (без учета «нулевых» входов в очередь).</w:t>
      </w:r>
    </w:p>
    <w:p>
      <w:pPr>
        <w:pStyle w:val="FirstParagraph"/>
      </w:pPr>
      <w:r>
        <w:t xml:space="preserve">Затем идёт информация о многоканальном устройстве</w:t>
      </w:r>
      <w:r>
        <w:t xml:space="preserve"> </w:t>
      </w:r>
      <w:r>
        <w:rPr>
          <w:rStyle w:val="VerbatimChar"/>
        </w:rPr>
        <w:t xml:space="preserve">STORAGE</w:t>
      </w:r>
      <w:r>
        <w:t xml:space="preserve"> </w:t>
      </w:r>
      <w:r>
        <w:t xml:space="preserve">(оператор, оформляющий заказ).</w:t>
      </w:r>
    </w:p>
    <w:p>
      <w:pPr>
        <w:pStyle w:val="BodyText"/>
      </w:pPr>
      <w:r>
        <w:t xml:space="preserve">Видим, что к первому типу причалов на обработку попало всего 1345 судов(первого типа). Полезность работы причалов составила 0,977. При этом среднее время занятости причалов составило 5,863 мин.</w:t>
      </w:r>
    </w:p>
    <w:p>
      <w:pPr>
        <w:pStyle w:val="BodyText"/>
      </w:pPr>
      <w:r>
        <w:t xml:space="preserve">Ко второму типу причалов на обработку попало всего 444 судов(второго типа). Полезность работы причалов составила 0,983. При этом среднее время занятости причалов составило 2,950 мин. Также указано, что причалов первого типа 6, а второго 3.</w:t>
      </w:r>
    </w:p>
    <w:p>
      <w:pPr>
        <w:pStyle w:val="BodyText"/>
      </w:pPr>
      <w:r>
        <w:t xml:space="preserve">Есть два буксира (указано, что минимум работает 1). К ним поступили судна 4454 раз(это судна обоих типов по два раза один буксир для первого типа и по два раза два буксира для второго типа). Полезность работы – 0.786, среднее время занятости – 0.393.</w:t>
      </w:r>
    </w:p>
    <w:p>
      <w:pPr>
        <w:pStyle w:val="BodyText"/>
      </w:pPr>
      <w:r>
        <w:t xml:space="preserve">Далее идёт информация о будущих событиях.</w:t>
      </w:r>
    </w:p>
    <w:bookmarkEnd w:id="38"/>
    <w:bookmarkEnd w:id="39"/>
    <w:bookmarkStart w:id="40"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были реализованы с помощью gpss:</w:t>
      </w:r>
    </w:p>
    <w:p>
      <w:pPr>
        <w:pStyle w:val="Compact"/>
        <w:numPr>
          <w:ilvl w:val="0"/>
          <w:numId w:val="1007"/>
        </w:numPr>
      </w:pPr>
      <w:r>
        <w:t xml:space="preserve">Модель обслуживания механиков на складе;</w:t>
      </w:r>
    </w:p>
    <w:p>
      <w:pPr>
        <w:pStyle w:val="Compact"/>
        <w:numPr>
          <w:ilvl w:val="0"/>
          <w:numId w:val="1007"/>
        </w:numPr>
      </w:pPr>
      <w:r>
        <w:t xml:space="preserve">Модель обслуживания в порту судов двух типов.</w:t>
      </w:r>
    </w:p>
    <w:bookmarkEnd w:id="40"/>
    <w:bookmarkStart w:id="41" w:name="список-литературы"/>
    <w:p>
      <w:pPr>
        <w:pStyle w:val="Heading1"/>
      </w:pPr>
      <w:r>
        <w:t xml:space="preserve">Список литературы</w:t>
      </w:r>
    </w:p>
    <w:p>
      <w:pPr>
        <w:pStyle w:val="Compact"/>
        <w:numPr>
          <w:ilvl w:val="0"/>
          <w:numId w:val="1008"/>
        </w:numPr>
      </w:pPr>
      <w:r>
        <w:t xml:space="preserve">АлтаевА.А.ИмитационноемоделированиенаязыкеGPSS —Улан-Удэ:Изд-во ВСГТУ, 2001. — 122 с.</w:t>
      </w:r>
    </w:p>
    <w:p>
      <w:pPr>
        <w:pStyle w:val="Compact"/>
        <w:numPr>
          <w:ilvl w:val="0"/>
          <w:numId w:val="1008"/>
        </w:numPr>
      </w:pPr>
      <w:r>
        <w:t xml:space="preserve">Советов Б. Я., Яковлев С. А. Моделирование систем. Практикум: учеб. пособие для вузов. — 2-е, перераб. и доп. — М. : Высш. шк., 2003. —295с.</w:t>
      </w:r>
    </w:p>
    <w:p>
      <w:pPr>
        <w:pStyle w:val="Compact"/>
        <w:numPr>
          <w:ilvl w:val="0"/>
          <w:numId w:val="1008"/>
        </w:numPr>
      </w:pPr>
      <w:r>
        <w:t xml:space="preserve">Имитационное и статистическое моделирование / В. И. Лобач, В П. Кирлица, В. И. Малюгин, С. Н. Сталевская. — Мн. : БГУ, 2004.— 189 с.</w:t>
      </w:r>
    </w:p>
    <w:p>
      <w:pPr>
        <w:pStyle w:val="Compact"/>
        <w:numPr>
          <w:ilvl w:val="0"/>
          <w:numId w:val="1008"/>
        </w:numPr>
      </w:pPr>
      <w:r>
        <w:t xml:space="preserve">Шевченко Д. Н., Кравченя И. Н. Имитационное моделирование на GPSS : учеб. метод. пособие для студентов технических специальностей. — Гомель : БелГУТ, 2007. — 97 с.</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15.</dc:title>
  <dc:creator>Хамдамова Айжана</dc:creator>
  <dc:language>ru-RU</dc:language>
  <cp:keywords/>
  <dcterms:created xsi:type="dcterms:W3CDTF">2025-05-17T07:57:17Z</dcterms:created>
  <dcterms:modified xsi:type="dcterms:W3CDTF">2025-05-17T07:57:17Z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Модели обслуживания с приоритетами</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