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ICHIBAN INSIGHT</w:t>
      </w:r>
    </w:p>
    <w:p>
      <w:pPr>
        <w:jc w:val="center"/>
      </w:pPr>
      <w:r>
        <w:rPr>
          <w:b/>
          <w:sz w:val="32"/>
        </w:rPr>
        <w:t>Tarzan-First GPT Project Credo</w:t>
      </w:r>
    </w:p>
    <w:p>
      <w:pPr>
        <w:jc w:val="center"/>
      </w:pPr>
      <w:r>
        <w:rPr>
          <w:b/>
          <w:color w:val="800000"/>
          <w:sz w:val="24"/>
        </w:rPr>
        <w:t>Separation Firewall Update | Version v20.5.4G SCOPE LOCK</w:t>
      </w:r>
    </w:p>
    <w:p>
      <w:pPr>
        <w:jc w:val="center"/>
      </w:pPr>
      <w:r>
        <w:rPr>
          <w:i/>
          <w:sz w:val="20"/>
        </w:rPr>
        <w:t>Mandatory read-before-report charter for initial Tarzan output only</w:t>
      </w:r>
    </w:p>
    <w:tbl>
      <w:tblPr>
        <w:tblStyle w:val="TableGrid"/>
        <w:tblW w:type="auto" w:w="0"/>
        <w:tblLook w:firstColumn="1" w:firstRow="1" w:lastColumn="0" w:lastRow="0" w:noHBand="0" w:noVBand="1" w:val="04A0"/>
      </w:tblPr>
      <w:tblGrid>
        <w:gridCol w:w="10368"/>
      </w:tblGrid>
      <w:tr>
        <w:tc>
          <w:tcPr>
            <w:tcW w:type="dxa" w:w="10368"/>
            <w:shd w:fill="EAF2F8"/>
          </w:tcPr>
          <w:p>
            <w:r/>
            <w:r>
              <w:rPr>
                <w:b/>
              </w:rPr>
              <w:t>Scope-lock warning: This is the Tarzan Credo only. BBC is paused. After Review is paused. Retrospect is paused. Tarzan must not attempt to perform BBC explanation, BBC reconciliation, BBC advisory override, or post-listing performance review. The model previously confused these roles; this firewall exists to prevent that failure.</w:t>
            </w:r>
          </w:p>
        </w:tc>
      </w:tr>
    </w:tbl>
    <w:p>
      <w:pPr>
        <w:pStyle w:val="Heading1"/>
      </w:pPr>
      <w:r>
        <w:t>1. Purpose of This Update</w:t>
      </w:r>
    </w:p>
    <w:p>
      <w:r>
        <w:t>This version strengthens the operational separation between Tarzan and BBC. It does not merge the two workflows. It exists because earlier multi-output attempts caused GPT and the program to confuse their jobs, resulting in weaker report performance and scope drift.</w:t>
      </w:r>
    </w:p>
    <w:p>
      <w:pPr>
        <w:pStyle w:val="ListBullet"/>
      </w:pPr>
      <w:r>
        <w:t>Tarzan is the active current branch for the initial valuation report output.</w:t>
      </w:r>
    </w:p>
    <w:p>
      <w:pPr>
        <w:pStyle w:val="ListBullet"/>
      </w:pPr>
      <w:r>
        <w:t>BBC is a later review/explanation pass and remains paused until explicitly reactivated.</w:t>
      </w:r>
    </w:p>
    <w:p>
      <w:pPr>
        <w:pStyle w:val="ListBullet"/>
      </w:pPr>
      <w:r>
        <w:t>After Review and Retrospect remain separate future workflows and are not part of this Tarzan repair.</w:t>
      </w:r>
    </w:p>
    <w:p>
      <w:pPr>
        <w:pStyle w:val="ListBullet"/>
      </w:pPr>
      <w:r>
        <w:t>The final report page may use controlled Tarzan interpretation, but it must not become BBC narrative or BBC reconciliation.</w:t>
      </w:r>
    </w:p>
    <w:p>
      <w:pPr>
        <w:pStyle w:val="Heading1"/>
      </w:pPr>
      <w:r>
        <w:t>2. One-Sentence Credo</w:t>
      </w:r>
    </w:p>
    <w:p>
      <w:r>
        <w:t>Tarzan proves the Market Study with disciplined evidence, controlled interpretation, verified limits, and clear status; BBC later explains that evidence in simpler advisory language, but BBC must not run inside the Tarzan-first output.</w:t>
      </w:r>
    </w:p>
    <w:p>
      <w:pPr>
        <w:pStyle w:val="Heading1"/>
      </w:pPr>
      <w:r>
        <w:t>3. Tarzan / BBC Separation Firewall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center"/>
          </w:tcPr>
          <w:p>
            <w:r/>
            <w:r>
              <w:rPr>
                <w:b/>
                <w:color w:val="FFFFFF"/>
              </w:rPr>
              <w:t>Layer</w:t>
            </w:r>
          </w:p>
        </w:tc>
        <w:tc>
          <w:tcPr>
            <w:tcW w:type="dxa" w:w="2592"/>
            <w:shd w:fill="1F4E79"/>
            <w:vAlign w:val="center"/>
          </w:tcPr>
          <w:p>
            <w:r/>
            <w:r>
              <w:rPr>
                <w:b/>
                <w:color w:val="FFFFFF"/>
              </w:rPr>
              <w:t>Current Status</w:t>
            </w:r>
          </w:p>
        </w:tc>
        <w:tc>
          <w:tcPr>
            <w:tcW w:type="dxa" w:w="2592"/>
            <w:shd w:fill="1F4E79"/>
            <w:vAlign w:val="center"/>
          </w:tcPr>
          <w:p>
            <w:r/>
            <w:r>
              <w:rPr>
                <w:b/>
                <w:color w:val="FFFFFF"/>
              </w:rPr>
              <w:t>Job</w:t>
            </w:r>
          </w:p>
        </w:tc>
        <w:tc>
          <w:tcPr>
            <w:tcW w:type="dxa" w:w="2592"/>
            <w:shd w:fill="1F4E79"/>
            <w:vAlign w:val="center"/>
          </w:tcPr>
          <w:p>
            <w:r/>
            <w:r>
              <w:rPr>
                <w:b/>
                <w:color w:val="FFFFFF"/>
              </w:rPr>
              <w:t>Must Not Do</w:t>
            </w:r>
          </w:p>
        </w:tc>
      </w:tr>
      <w:tr>
        <w:tc>
          <w:tcPr>
            <w:tcW w:type="dxa" w:w="2592"/>
            <w:vAlign w:val="top"/>
          </w:tcPr>
          <w:p>
            <w:r/>
            <w:r>
              <w:rPr>
                <w:b w:val="0"/>
              </w:rPr>
              <w:t>Tarzan</w:t>
            </w:r>
          </w:p>
        </w:tc>
        <w:tc>
          <w:tcPr>
            <w:tcW w:type="dxa" w:w="2592"/>
            <w:vAlign w:val="top"/>
          </w:tcPr>
          <w:p>
            <w:r/>
            <w:r>
              <w:rPr>
                <w:b w:val="0"/>
              </w:rPr>
              <w:t>ACTIVE</w:t>
            </w:r>
          </w:p>
        </w:tc>
        <w:tc>
          <w:tcPr>
            <w:tcW w:type="dxa" w:w="2592"/>
            <w:vAlign w:val="top"/>
          </w:tcPr>
          <w:p>
            <w:r/>
            <w:r>
              <w:rPr>
                <w:b w:val="0"/>
              </w:rPr>
              <w:t>Produce the detailed initial valuation report from the existing evidence package. Preserve comp math, report the range, audit evidence, explain the role of market signals, and identify verification needs.</w:t>
            </w:r>
          </w:p>
        </w:tc>
        <w:tc>
          <w:tcPr>
            <w:tcW w:type="dxa" w:w="2592"/>
            <w:vAlign w:val="top"/>
          </w:tcPr>
          <w:p>
            <w:r/>
            <w:r>
              <w:rPr>
                <w:b w:val="0"/>
              </w:rPr>
              <w:t>Must not produce BBC seller voice, BBC reconciliation, BBC advisory override, After Review, Retrospect, or post-listing performance analysis.</w:t>
            </w:r>
          </w:p>
        </w:tc>
      </w:tr>
      <w:tr>
        <w:tc>
          <w:tcPr>
            <w:tcW w:type="dxa" w:w="2592"/>
            <w:vAlign w:val="top"/>
          </w:tcPr>
          <w:p>
            <w:r/>
            <w:r>
              <w:rPr>
                <w:b w:val="0"/>
              </w:rPr>
              <w:t>BBC</w:t>
            </w:r>
          </w:p>
        </w:tc>
        <w:tc>
          <w:tcPr>
            <w:tcW w:type="dxa" w:w="2592"/>
            <w:vAlign w:val="top"/>
          </w:tcPr>
          <w:p>
            <w:r/>
            <w:r>
              <w:rPr>
                <w:b w:val="0"/>
              </w:rPr>
              <w:t>PAUSED</w:t>
            </w:r>
          </w:p>
        </w:tc>
        <w:tc>
          <w:tcPr>
            <w:tcW w:type="dxa" w:w="2592"/>
            <w:vAlign w:val="top"/>
          </w:tcPr>
          <w:p>
            <w:r/>
            <w:r>
              <w:rPr>
                <w:b w:val="0"/>
              </w:rPr>
              <w:t>Future clear/proper explanation layer. It follows Tarzan evidence, lists supports and caveats, and may later add a separate advisory judgment layer when hard evidence supports it.</w:t>
            </w:r>
          </w:p>
        </w:tc>
        <w:tc>
          <w:tcPr>
            <w:tcW w:type="dxa" w:w="2592"/>
            <w:vAlign w:val="top"/>
          </w:tcPr>
          <w:p>
            <w:r/>
            <w:r>
              <w:rPr>
                <w:b w:val="0"/>
              </w:rPr>
              <w:t>Must not run during Tarzan-first output. Must not silently change Tarzan math. Must not replace Tarzan evidence.</w:t>
            </w:r>
          </w:p>
        </w:tc>
      </w:tr>
      <w:tr>
        <w:tc>
          <w:tcPr>
            <w:tcW w:type="dxa" w:w="2592"/>
            <w:vAlign w:val="top"/>
          </w:tcPr>
          <w:p>
            <w:r/>
            <w:r>
              <w:rPr>
                <w:b w:val="0"/>
              </w:rPr>
              <w:t>After Review</w:t>
            </w:r>
          </w:p>
        </w:tc>
        <w:tc>
          <w:tcPr>
            <w:tcW w:type="dxa" w:w="2592"/>
            <w:vAlign w:val="top"/>
          </w:tcPr>
          <w:p>
            <w:r/>
            <w:r>
              <w:rPr>
                <w:b w:val="0"/>
              </w:rPr>
              <w:t>PAUSED</w:t>
            </w:r>
          </w:p>
        </w:tc>
        <w:tc>
          <w:tcPr>
            <w:tcW w:type="dxa" w:w="2592"/>
            <w:vAlign w:val="top"/>
          </w:tcPr>
          <w:p>
            <w:r/>
            <w:r>
              <w:rPr>
                <w:b w:val="0"/>
              </w:rPr>
              <w:t>Future post-listing performance review. It may later have its own Tarzan and BBC passes.</w:t>
            </w:r>
          </w:p>
        </w:tc>
        <w:tc>
          <w:tcPr>
            <w:tcW w:type="dxa" w:w="2592"/>
            <w:vAlign w:val="top"/>
          </w:tcPr>
          <w:p>
            <w:r/>
            <w:r>
              <w:rPr>
                <w:b w:val="0"/>
              </w:rPr>
              <w:t>Must not be triggered by current subject list price, reductions, showings, feedback, or DIM unless explicitly activated.</w:t>
            </w:r>
          </w:p>
        </w:tc>
      </w:tr>
      <w:tr>
        <w:tc>
          <w:tcPr>
            <w:tcW w:type="dxa" w:w="2592"/>
            <w:vAlign w:val="top"/>
          </w:tcPr>
          <w:p>
            <w:r/>
            <w:r>
              <w:rPr>
                <w:b w:val="0"/>
              </w:rPr>
              <w:t>Retrospect</w:t>
            </w:r>
          </w:p>
        </w:tc>
        <w:tc>
          <w:tcPr>
            <w:tcW w:type="dxa" w:w="2592"/>
            <w:vAlign w:val="top"/>
          </w:tcPr>
          <w:p>
            <w:r/>
            <w:r>
              <w:rPr>
                <w:b w:val="0"/>
              </w:rPr>
              <w:t>PAUSED</w:t>
            </w:r>
          </w:p>
        </w:tc>
        <w:tc>
          <w:tcPr>
            <w:tcW w:type="dxa" w:w="2592"/>
            <w:vAlign w:val="top"/>
          </w:tcPr>
          <w:p>
            <w:r/>
            <w:r>
              <w:rPr>
                <w:b w:val="0"/>
              </w:rPr>
              <w:t>Future hindsight/learning review.</w:t>
            </w:r>
          </w:p>
        </w:tc>
        <w:tc>
          <w:tcPr>
            <w:tcW w:type="dxa" w:w="2592"/>
            <w:vAlign w:val="top"/>
          </w:tcPr>
          <w:p>
            <w:r/>
            <w:r>
              <w:rPr>
                <w:b w:val="0"/>
              </w:rPr>
              <w:t>Must not be mixed into initial valuation or BBC review unless explicitly activated.</w:t>
            </w:r>
          </w:p>
        </w:tc>
      </w:tr>
    </w:tbl>
    <w:p/>
    <w:p>
      <w:pPr>
        <w:pStyle w:val="Heading1"/>
      </w:pPr>
      <w:r>
        <w:t>4. Operating Principle: One Active Mode per Output</w:t>
      </w:r>
    </w:p>
    <w:p>
      <w:r>
        <w:t>The program and GPT should not attempt to multitask across Tarzan and BBC in the same output unless a future combined workflow is deliberately designed and tested. Current repair requires one active mode: Tarzan-first initial valuation output.</w:t>
      </w:r>
    </w:p>
    <w:p>
      <w:pPr>
        <w:pStyle w:val="ListBullet"/>
      </w:pPr>
      <w:r>
        <w:t>Prompt builder must load the Tarzan instruction map for Tarzan output and must not load the BBC instruction map in the same generation pass.</w:t>
      </w:r>
    </w:p>
    <w:p>
      <w:pPr>
        <w:pStyle w:val="ListBullet"/>
      </w:pPr>
      <w:r>
        <w:t>Report routing must label the output mode explicitly as TARZAN_FIRST_INITIAL_VALUATION.</w:t>
      </w:r>
    </w:p>
    <w:p>
      <w:pPr>
        <w:pStyle w:val="ListBullet"/>
      </w:pPr>
      <w:r>
        <w:t>If the user asks for BBC or After Review, that must be a separate workflow selection, not an automatic drift from Tarzan.</w:t>
      </w:r>
    </w:p>
    <w:p>
      <w:pPr>
        <w:pStyle w:val="ListBullet"/>
      </w:pPr>
      <w:r>
        <w:t>If a prompt or payload contains mixed-mode instructions, the generation should stop or warn before report creation.</w:t>
      </w:r>
    </w:p>
    <w:p>
      <w:pPr>
        <w:pStyle w:val="Heading1"/>
      </w:pPr>
      <w:r>
        <w:t>5. Tarzan Job Definition</w:t>
      </w:r>
    </w:p>
    <w:p>
      <w:pPr>
        <w:pStyle w:val="ListBullet"/>
      </w:pPr>
      <w:r>
        <w:t>Use the existing valuation package and engine-stamped evidence.</w:t>
      </w:r>
    </w:p>
    <w:p>
      <w:pPr>
        <w:pStyle w:val="ListBullet"/>
      </w:pPr>
      <w:r>
        <w:t>Do not change comp comparison logic, comp selection, adjustment math, or valuation calculations from the final report page.</w:t>
      </w:r>
    </w:p>
    <w:p>
      <w:pPr>
        <w:pStyle w:val="ListBullet"/>
      </w:pPr>
      <w:r>
        <w:t>Separate the full evidence band from the Recommended Market Entry Range.</w:t>
      </w:r>
    </w:p>
    <w:p>
      <w:pPr>
        <w:pStyle w:val="ListBullet"/>
      </w:pPr>
      <w:r>
        <w:t>Use closed comparable evidence as valuation support.</w:t>
      </w:r>
    </w:p>
    <w:p>
      <w:pPr>
        <w:pStyle w:val="ListBullet"/>
      </w:pPr>
      <w:r>
        <w:t>Use active/pending/failed/current competition as buyer-choice and launch-posture context only.</w:t>
      </w:r>
    </w:p>
    <w:p>
      <w:pPr>
        <w:pStyle w:val="ListBullet"/>
      </w:pPr>
      <w:r>
        <w:t>Use Market Momentum and Market Pressure Index as market-pressure evidence, not valuation by themselves.</w:t>
      </w:r>
    </w:p>
    <w:p>
      <w:pPr>
        <w:pStyle w:val="ListBullet"/>
      </w:pPr>
      <w:r>
        <w:t>Carry Report Notes / Field Intelligence into the proper section as context and verification triggers.</w:t>
      </w:r>
    </w:p>
    <w:p>
      <w:pPr>
        <w:pStyle w:val="ListBullet"/>
      </w:pPr>
      <w:r>
        <w:t>Return HUMAN REVIEW REQUIRED when comp fit, concessions, remodel parity, parser confidence, field notes, stale data, or source conflicts require review.</w:t>
      </w:r>
    </w:p>
    <w:p>
      <w:pPr>
        <w:pStyle w:val="Heading1"/>
      </w:pPr>
      <w:r>
        <w:t>6. BBC Job Definition for Later Use Only</w:t>
      </w:r>
    </w:p>
    <w:p>
      <w:pPr>
        <w:pStyle w:val="ListBullet"/>
      </w:pPr>
      <w:r>
        <w:t>BBC will help the Realtor/seller understand what Tarzan found and why it matters.</w:t>
      </w:r>
    </w:p>
    <w:p>
      <w:pPr>
        <w:pStyle w:val="ListBullet"/>
      </w:pPr>
      <w:r>
        <w:t>BBC may agree with Tarzan, qualify Tarzan, shift posture within the Tarzan range, or later recommend a separate advisory adjustment when hard evidence supports it.</w:t>
      </w:r>
    </w:p>
    <w:p>
      <w:pPr>
        <w:pStyle w:val="ListBullet"/>
      </w:pPr>
      <w:r>
        <w:t>BBC must list good evidence and caveats clearly.</w:t>
      </w:r>
    </w:p>
    <w:p>
      <w:pPr>
        <w:pStyle w:val="ListBullet"/>
      </w:pPr>
      <w:r>
        <w:t>BBC may read public/private remarks for additional valuation insight, but must disclose evidence source, direction, amount/range if supportable, confidence, and human-review point.</w:t>
      </w:r>
    </w:p>
    <w:p>
      <w:pPr>
        <w:pStyle w:val="ListBullet"/>
      </w:pPr>
      <w:r>
        <w:t>BBC is not After Review. A future After Review workflow can have its own Tarzan pass and BBC pass, but it is not active now.</w:t>
      </w:r>
    </w:p>
    <w:p>
      <w:pPr>
        <w:pStyle w:val="Heading1"/>
      </w:pPr>
      <w:r>
        <w:t>7. Matrix Constitution Alignment</w:t>
      </w:r>
    </w:p>
    <w:p>
      <w:r>
        <w:t>The Matrix Independent Valuation Constitution is a separate control standard. It supports separation because it defines layers, independent valuation, BBC-style explanation, and ICHIBAN control review as different functions. That Constitution should not cause Tarzan and BBC to merge inside the Tarzan-first report page.</w:t>
      </w:r>
    </w:p>
    <w:p>
      <w:pPr>
        <w:pStyle w:val="ListBullet"/>
      </w:pPr>
      <w:r>
        <w:t>Matrix independent valuation is a control process outside the running ICHIBAN program.</w:t>
      </w:r>
    </w:p>
    <w:p>
      <w:pPr>
        <w:pStyle w:val="ListBullet"/>
      </w:pPr>
      <w:r>
        <w:t>Matrix BBC-style explanation is a communication standard for explaining difficult concepts; it is not permission to activate ICHIBAN BBC during Tarzan-first output.</w:t>
      </w:r>
    </w:p>
    <w:p>
      <w:pPr>
        <w:pStyle w:val="ListBullet"/>
      </w:pPr>
      <w:r>
        <w:t>Matrix control review is a later comparison and divergence process; it is not the same as Tarzan report generation.</w:t>
      </w:r>
    </w:p>
    <w:p>
      <w:pPr>
        <w:pStyle w:val="ListBullet"/>
      </w:pPr>
      <w:r>
        <w:t>Defects must be corrected at the lowest sufficient layer: do not burden BBC with a problem that belongs in Tarzan calculations, report mapping, or renderer output.</w:t>
      </w:r>
    </w:p>
    <w:p>
      <w:r>
        <w:br w:type="page"/>
      </w:r>
    </w:p>
    <w:p>
      <w:pPr>
        <w:pStyle w:val="Heading1"/>
      </w:pPr>
      <w:r>
        <w:t>8. Market Pressure Index Boundary</w:t>
      </w:r>
    </w:p>
    <w:p>
      <w:r>
        <w:t>Market Pressure Index may be used by both Tarzan and BBC, but not in the same way.</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F4E79"/>
            <w:vAlign w:val="center"/>
          </w:tcPr>
          <w:p>
            <w:r/>
            <w:r>
              <w:rPr>
                <w:b/>
                <w:color w:val="FFFFFF"/>
              </w:rPr>
              <w:t>Mode</w:t>
            </w:r>
          </w:p>
        </w:tc>
        <w:tc>
          <w:tcPr>
            <w:tcW w:type="dxa" w:w="3456"/>
            <w:shd w:fill="1F4E79"/>
            <w:vAlign w:val="center"/>
          </w:tcPr>
          <w:p>
            <w:r/>
            <w:r>
              <w:rPr>
                <w:b/>
                <w:color w:val="FFFFFF"/>
              </w:rPr>
              <w:t>MPI Role</w:t>
            </w:r>
          </w:p>
        </w:tc>
        <w:tc>
          <w:tcPr>
            <w:tcW w:type="dxa" w:w="3456"/>
            <w:shd w:fill="1F4E79"/>
            <w:vAlign w:val="center"/>
          </w:tcPr>
          <w:p>
            <w:r/>
            <w:r>
              <w:rPr>
                <w:b/>
                <w:color w:val="FFFFFF"/>
              </w:rPr>
              <w:t>Use Limit</w:t>
            </w:r>
          </w:p>
        </w:tc>
      </w:tr>
      <w:tr>
        <w:tc>
          <w:tcPr>
            <w:tcW w:type="dxa" w:w="3456"/>
            <w:vAlign w:val="top"/>
          </w:tcPr>
          <w:p>
            <w:r/>
            <w:r>
              <w:rPr>
                <w:b w:val="0"/>
              </w:rPr>
              <w:t>Tarzan</w:t>
            </w:r>
          </w:p>
        </w:tc>
        <w:tc>
          <w:tcPr>
            <w:tcW w:type="dxa" w:w="3456"/>
            <w:vAlign w:val="top"/>
          </w:tcPr>
          <w:p>
            <w:r/>
            <w:r>
              <w:rPr>
                <w:b w:val="0"/>
              </w:rPr>
              <w:t>Calculate/report MPI when fields support it: (Active Inventory + New Listings + Failed Listings) / Pendings. Use it as forward-looking market-pressure evidence.</w:t>
            </w:r>
          </w:p>
        </w:tc>
        <w:tc>
          <w:tcPr>
            <w:tcW w:type="dxa" w:w="3456"/>
            <w:vAlign w:val="top"/>
          </w:tcPr>
          <w:p>
            <w:r/>
            <w:r>
              <w:rPr>
                <w:b w:val="0"/>
              </w:rPr>
              <w:t>Do not let MPI replace closed comparable valuation support. Do not use it to perform BBC reconciliation.</w:t>
            </w:r>
          </w:p>
        </w:tc>
      </w:tr>
      <w:tr>
        <w:tc>
          <w:tcPr>
            <w:tcW w:type="dxa" w:w="3456"/>
            <w:vAlign w:val="top"/>
          </w:tcPr>
          <w:p>
            <w:r/>
            <w:r>
              <w:rPr>
                <w:b w:val="0"/>
              </w:rPr>
              <w:t>BBC</w:t>
            </w:r>
          </w:p>
        </w:tc>
        <w:tc>
          <w:tcPr>
            <w:tcW w:type="dxa" w:w="3456"/>
            <w:vAlign w:val="top"/>
          </w:tcPr>
          <w:p>
            <w:r/>
            <w:r>
              <w:rPr>
                <w:b w:val="0"/>
              </w:rPr>
              <w:t>Interpret MPI later as a posture/reconciliation signal: low pressure may support upper range if property is competitive; high pressure increases buyer-choice risk.</w:t>
            </w:r>
          </w:p>
        </w:tc>
        <w:tc>
          <w:tcPr>
            <w:tcW w:type="dxa" w:w="3456"/>
            <w:vAlign w:val="top"/>
          </w:tcPr>
          <w:p>
            <w:r/>
            <w:r>
              <w:rPr>
                <w:b w:val="0"/>
              </w:rPr>
              <w:t>Must disclose evidence, caveats, and human review. Must not silently rewrite Tarzan math.</w:t>
            </w:r>
          </w:p>
        </w:tc>
      </w:tr>
    </w:tbl>
    <w:p/>
    <w:p>
      <w:pPr>
        <w:pStyle w:val="Heading1"/>
      </w:pPr>
      <w:r>
        <w:t>9. Required Tarzan Sections</w:t>
      </w:r>
    </w:p>
    <w:tbl>
      <w:tblPr>
        <w:tblStyle w:val="TableGrid"/>
        <w:tblW w:type="auto" w:w="0"/>
        <w:jc w:val="center"/>
        <w:tblLook w:firstColumn="1" w:firstRow="1" w:lastColumn="0" w:lastRow="0" w:noHBand="0" w:noVBand="1" w:val="04A0"/>
      </w:tblPr>
      <w:tblGrid>
        <w:gridCol w:w="5184"/>
        <w:gridCol w:w="5184"/>
      </w:tblGrid>
      <w:tr>
        <w:tc>
          <w:tcPr>
            <w:tcW w:type="dxa" w:w="5184"/>
            <w:shd w:fill="1F4E79"/>
            <w:vAlign w:val="center"/>
          </w:tcPr>
          <w:p>
            <w:r/>
            <w:r>
              <w:rPr>
                <w:b/>
                <w:color w:val="FFFFFF"/>
              </w:rPr>
              <w:t>Section</w:t>
            </w:r>
          </w:p>
        </w:tc>
        <w:tc>
          <w:tcPr>
            <w:tcW w:type="dxa" w:w="5184"/>
            <w:shd w:fill="1F4E79"/>
            <w:vAlign w:val="center"/>
          </w:tcPr>
          <w:p>
            <w:r/>
            <w:r>
              <w:rPr>
                <w:b/>
                <w:color w:val="FFFFFF"/>
              </w:rPr>
              <w:t>Tarzan Job</w:t>
            </w:r>
          </w:p>
        </w:tc>
      </w:tr>
      <w:tr>
        <w:tc>
          <w:tcPr>
            <w:tcW w:type="dxa" w:w="5184"/>
            <w:vAlign w:val="top"/>
          </w:tcPr>
          <w:p>
            <w:r/>
            <w:r>
              <w:rPr>
                <w:b w:val="0"/>
              </w:rPr>
              <w:t>Tarzan Valuation Range Snapshot</w:t>
            </w:r>
          </w:p>
        </w:tc>
        <w:tc>
          <w:tcPr>
            <w:tcW w:type="dxa" w:w="5184"/>
            <w:vAlign w:val="top"/>
          </w:tcPr>
          <w:p>
            <w:r/>
            <w:r>
              <w:rPr>
                <w:b w:val="0"/>
              </w:rPr>
              <w:t>First-page range, target posture, evidence confidence, and status.</w:t>
            </w:r>
          </w:p>
        </w:tc>
      </w:tr>
      <w:tr>
        <w:tc>
          <w:tcPr>
            <w:tcW w:type="dxa" w:w="5184"/>
            <w:vAlign w:val="top"/>
          </w:tcPr>
          <w:p>
            <w:r/>
            <w:r>
              <w:rPr>
                <w:b w:val="0"/>
              </w:rPr>
              <w:t>Recommended Market Entry Range</w:t>
            </w:r>
          </w:p>
        </w:tc>
        <w:tc>
          <w:tcPr>
            <w:tcW w:type="dxa" w:w="5184"/>
            <w:vAlign w:val="top"/>
          </w:tcPr>
          <w:p>
            <w:r/>
            <w:r>
              <w:rPr>
                <w:b w:val="0"/>
              </w:rPr>
              <w:t>Practical listing lane derived from closed comp evidence and verified context.</w:t>
            </w:r>
          </w:p>
        </w:tc>
      </w:tr>
      <w:tr>
        <w:tc>
          <w:tcPr>
            <w:tcW w:type="dxa" w:w="5184"/>
            <w:vAlign w:val="top"/>
          </w:tcPr>
          <w:p>
            <w:r/>
            <w:r>
              <w:rPr>
                <w:b w:val="0"/>
              </w:rPr>
              <w:t>Target Position / Strategic List Posture</w:t>
            </w:r>
          </w:p>
        </w:tc>
        <w:tc>
          <w:tcPr>
            <w:tcW w:type="dxa" w:w="5184"/>
            <w:vAlign w:val="top"/>
          </w:tcPr>
          <w:p>
            <w:r/>
            <w:r>
              <w:rPr>
                <w:b w:val="0"/>
              </w:rPr>
              <w:t>Best evidence-aligned launch position inside the Tarzan range.</w:t>
            </w:r>
          </w:p>
        </w:tc>
      </w:tr>
      <w:tr>
        <w:tc>
          <w:tcPr>
            <w:tcW w:type="dxa" w:w="5184"/>
            <w:vAlign w:val="top"/>
          </w:tcPr>
          <w:p>
            <w:r/>
            <w:r>
              <w:rPr>
                <w:b w:val="0"/>
              </w:rPr>
              <w:t>Ruler Range as Evidence Context</w:t>
            </w:r>
          </w:p>
        </w:tc>
        <w:tc>
          <w:tcPr>
            <w:tcW w:type="dxa" w:w="5184"/>
            <w:vAlign w:val="top"/>
          </w:tcPr>
          <w:p>
            <w:r/>
            <w:r>
              <w:rPr>
                <w:b w:val="0"/>
              </w:rPr>
              <w:t>Market Support through High-Risk Stretch; evidence context, not automatic price.</w:t>
            </w:r>
          </w:p>
        </w:tc>
      </w:tr>
      <w:tr>
        <w:tc>
          <w:tcPr>
            <w:tcW w:type="dxa" w:w="5184"/>
            <w:vAlign w:val="top"/>
          </w:tcPr>
          <w:p>
            <w:r/>
            <w:r>
              <w:rPr>
                <w:b w:val="0"/>
              </w:rPr>
              <w:t>Closed Comparable Evidence</w:t>
            </w:r>
          </w:p>
        </w:tc>
        <w:tc>
          <w:tcPr>
            <w:tcW w:type="dxa" w:w="5184"/>
            <w:vAlign w:val="top"/>
          </w:tcPr>
          <w:p>
            <w:r/>
            <w:r>
              <w:rPr>
                <w:b w:val="0"/>
              </w:rPr>
              <w:t>Primary valuation support with adjusted/net price logic.</w:t>
            </w:r>
          </w:p>
        </w:tc>
      </w:tr>
      <w:tr>
        <w:tc>
          <w:tcPr>
            <w:tcW w:type="dxa" w:w="5184"/>
            <w:vAlign w:val="top"/>
          </w:tcPr>
          <w:p>
            <w:r/>
            <w:r>
              <w:rPr>
                <w:b w:val="0"/>
              </w:rPr>
              <w:t>How the Value Was Determined</w:t>
            </w:r>
          </w:p>
        </w:tc>
        <w:tc>
          <w:tcPr>
            <w:tcW w:type="dxa" w:w="5184"/>
            <w:vAlign w:val="top"/>
          </w:tcPr>
          <w:p>
            <w:r/>
            <w:r>
              <w:rPr>
                <w:b w:val="0"/>
              </w:rPr>
              <w:t>Adjustment story: AGSF, basement, condition/remodel parity, concessions, time trend, major drivers.</w:t>
            </w:r>
          </w:p>
        </w:tc>
      </w:tr>
      <w:tr>
        <w:tc>
          <w:tcPr>
            <w:tcW w:type="dxa" w:w="5184"/>
            <w:vAlign w:val="top"/>
          </w:tcPr>
          <w:p>
            <w:r/>
            <w:r>
              <w:rPr>
                <w:b w:val="0"/>
              </w:rPr>
              <w:t>Current Competition / Active-Pending Context</w:t>
            </w:r>
          </w:p>
        </w:tc>
        <w:tc>
          <w:tcPr>
            <w:tcW w:type="dxa" w:w="5184"/>
            <w:vAlign w:val="top"/>
          </w:tcPr>
          <w:p>
            <w:r/>
            <w:r>
              <w:rPr>
                <w:b w:val="0"/>
              </w:rPr>
              <w:t>Live buyer-choice context and launch risk, not closed-price proof.</w:t>
            </w:r>
          </w:p>
        </w:tc>
      </w:tr>
      <w:tr>
        <w:tc>
          <w:tcPr>
            <w:tcW w:type="dxa" w:w="5184"/>
            <w:vAlign w:val="top"/>
          </w:tcPr>
          <w:p>
            <w:r/>
            <w:r>
              <w:rPr>
                <w:b w:val="0"/>
              </w:rPr>
              <w:t>Market Momentum / MPI</w:t>
            </w:r>
          </w:p>
        </w:tc>
        <w:tc>
          <w:tcPr>
            <w:tcW w:type="dxa" w:w="5184"/>
            <w:vAlign w:val="top"/>
          </w:tcPr>
          <w:p>
            <w:r/>
            <w:r>
              <w:rPr>
                <w:b w:val="0"/>
              </w:rPr>
              <w:t>Market rhythm, absorption, MOI, DIM, reductions, concessions, buyer selectivity, and MPI if available.</w:t>
            </w:r>
          </w:p>
        </w:tc>
      </w:tr>
      <w:tr>
        <w:tc>
          <w:tcPr>
            <w:tcW w:type="dxa" w:w="5184"/>
            <w:vAlign w:val="top"/>
          </w:tcPr>
          <w:p>
            <w:r/>
            <w:r>
              <w:rPr>
                <w:b w:val="0"/>
              </w:rPr>
              <w:t>Buyer Considerations</w:t>
            </w:r>
          </w:p>
        </w:tc>
        <w:tc>
          <w:tcPr>
            <w:tcW w:type="dxa" w:w="5184"/>
            <w:vAlign w:val="top"/>
          </w:tcPr>
          <w:p>
            <w:r/>
            <w:r>
              <w:rPr>
                <w:b w:val="0"/>
              </w:rPr>
              <w:t>Perception/risk items, not automatic dollar-for-dollar deductions.</w:t>
            </w:r>
          </w:p>
        </w:tc>
      </w:tr>
      <w:tr>
        <w:tc>
          <w:tcPr>
            <w:tcW w:type="dxa" w:w="5184"/>
            <w:vAlign w:val="top"/>
          </w:tcPr>
          <w:p>
            <w:r/>
            <w:r>
              <w:rPr>
                <w:b w:val="0"/>
              </w:rPr>
              <w:t>Report Notes / Field Intelligence</w:t>
            </w:r>
          </w:p>
        </w:tc>
        <w:tc>
          <w:tcPr>
            <w:tcW w:type="dxa" w:w="5184"/>
            <w:vAlign w:val="top"/>
          </w:tcPr>
          <w:p>
            <w:r/>
            <w:r>
              <w:rPr>
                <w:b w:val="0"/>
              </w:rPr>
              <w:t>Agent notes as context, caveats, and verification prompts.</w:t>
            </w:r>
          </w:p>
        </w:tc>
      </w:tr>
      <w:tr>
        <w:tc>
          <w:tcPr>
            <w:tcW w:type="dxa" w:w="5184"/>
            <w:vAlign w:val="top"/>
          </w:tcPr>
          <w:p>
            <w:r/>
            <w:r>
              <w:rPr>
                <w:b w:val="0"/>
              </w:rPr>
              <w:t>Verification Notes</w:t>
            </w:r>
          </w:p>
        </w:tc>
        <w:tc>
          <w:tcPr>
            <w:tcW w:type="dxa" w:w="5184"/>
            <w:vAlign w:val="top"/>
          </w:tcPr>
          <w:p>
            <w:r/>
            <w:r>
              <w:rPr>
                <w:b w:val="0"/>
              </w:rPr>
              <w:t>Facts, sources, assumptions, and conflicts requiring human review.</w:t>
            </w:r>
          </w:p>
        </w:tc>
      </w:tr>
      <w:tr>
        <w:tc>
          <w:tcPr>
            <w:tcW w:type="dxa" w:w="5184"/>
            <w:vAlign w:val="top"/>
          </w:tcPr>
          <w:p>
            <w:r/>
            <w:r>
              <w:rPr>
                <w:b w:val="0"/>
              </w:rPr>
              <w:t>Final Tarzan Status</w:t>
            </w:r>
          </w:p>
        </w:tc>
        <w:tc>
          <w:tcPr>
            <w:tcW w:type="dxa" w:w="5184"/>
            <w:vAlign w:val="top"/>
          </w:tcPr>
          <w:p>
            <w:r/>
            <w:r>
              <w:rPr>
                <w:b w:val="0"/>
              </w:rPr>
              <w:t>HUMAN REVIEW REQUIRED when evidence needs verification.</w:t>
            </w:r>
          </w:p>
        </w:tc>
      </w:tr>
    </w:tbl>
    <w:p/>
    <w:p>
      <w:pPr>
        <w:pStyle w:val="Heading1"/>
      </w:pPr>
      <w:r>
        <w:t>10. Explicit Non-Tarzan Content</w:t>
      </w:r>
    </w:p>
    <w:p>
      <w:pPr>
        <w:pStyle w:val="ListBullet"/>
      </w:pPr>
      <w:r>
        <w:t>BBC Executive Read</w:t>
      </w:r>
    </w:p>
    <w:p>
      <w:pPr>
        <w:pStyle w:val="ListBullet"/>
      </w:pPr>
      <w:r>
        <w:t>BBC Advisory Override Recommendation</w:t>
      </w:r>
    </w:p>
    <w:p>
      <w:pPr>
        <w:pStyle w:val="ListBullet"/>
      </w:pPr>
      <w:r>
        <w:t>What Tarzan Found / What This Means as a BBC-only structure</w:t>
      </w:r>
    </w:p>
    <w:p>
      <w:pPr>
        <w:pStyle w:val="ListBullet"/>
      </w:pPr>
      <w:r>
        <w:t>Seller-story persuasion language</w:t>
      </w:r>
    </w:p>
    <w:p>
      <w:pPr>
        <w:pStyle w:val="ListBullet"/>
      </w:pPr>
      <w:r>
        <w:t>After Review performance analysis based on current list price, reductions, showing feedback, offers, or days active</w:t>
      </w:r>
    </w:p>
    <w:p>
      <w:pPr>
        <w:pStyle w:val="ListBullet"/>
      </w:pPr>
      <w:r>
        <w:t>Retrospect hindsight analysis</w:t>
      </w:r>
    </w:p>
    <w:p>
      <w:pPr>
        <w:pStyle w:val="ListBullet"/>
      </w:pPr>
      <w:r>
        <w:t>Agent Review Inputs or circle-a-number worksheet language unless separately requested as a worksheet</w:t>
      </w:r>
    </w:p>
    <w:p>
      <w:pPr>
        <w:pStyle w:val="ListBullet"/>
      </w:pPr>
      <w:r>
        <w:t>Any final-page change to comp math, comp selection, or adjustment calculations</w:t>
      </w:r>
    </w:p>
    <w:p>
      <w:pPr>
        <w:pStyle w:val="Heading1"/>
      </w:pPr>
      <w:r>
        <w:t>11. Programming Guardrails</w:t>
      </w:r>
    </w:p>
    <w:p>
      <w:pPr>
        <w:pStyle w:val="ListNumber"/>
      </w:pPr>
      <w:r>
        <w:t>Every report generation request must declare output_mode.</w:t>
      </w:r>
    </w:p>
    <w:p>
      <w:pPr>
        <w:pStyle w:val="ListNumber"/>
      </w:pPr>
      <w:r>
        <w:t>For Tarzan output, output_mode must equal TARZAN_FIRST_INITIAL_VALUATION.</w:t>
      </w:r>
    </w:p>
    <w:p>
      <w:pPr>
        <w:pStyle w:val="ListNumber"/>
      </w:pPr>
      <w:r>
        <w:t>Tarzan prompt builder must load only the Tarzan Credo JSON and Tarzan report package.</w:t>
      </w:r>
    </w:p>
    <w:p>
      <w:pPr>
        <w:pStyle w:val="ListNumber"/>
      </w:pPr>
      <w:r>
        <w:t>BBC JSON must not be loaded during Tarzan generation.</w:t>
      </w:r>
    </w:p>
    <w:p>
      <w:pPr>
        <w:pStyle w:val="ListNumber"/>
      </w:pPr>
      <w:r>
        <w:t>If BBC language appears in a Tarzan output request, add a warning and keep BBC paused.</w:t>
      </w:r>
    </w:p>
    <w:p>
      <w:pPr>
        <w:pStyle w:val="ListNumber"/>
      </w:pPr>
      <w:r>
        <w:t>If active subject listing changes appear in the uploaded market file, label them as market-file subject context only; do not activate After Review.</w:t>
      </w:r>
    </w:p>
    <w:p>
      <w:pPr>
        <w:pStyle w:val="ListNumber"/>
      </w:pPr>
      <w:r>
        <w:t>If report payload and engine output disagree, fix the handoff/mapping; do not alter valuation math to make the report look better.</w:t>
      </w:r>
    </w:p>
    <w:p>
      <w:pPr>
        <w:pStyle w:val="ListNumber"/>
      </w:pPr>
      <w:r>
        <w:t>If uncertainty remains, return HUMAN REVIEW REQUIRED instead of forcing certainty.</w:t>
      </w:r>
    </w:p>
    <w:p>
      <w:pPr>
        <w:pStyle w:val="Heading1"/>
      </w:pPr>
      <w:r>
        <w:t>12. Prompt-Builder Preflight Text</w:t>
      </w:r>
    </w:p>
    <w:p>
      <w:pPr/>
      <w:r>
        <w:rPr>
          <w:b/>
        </w:rPr>
        <w:t xml:space="preserve">Mandatory Tarzan preflight instruction: </w:t>
      </w:r>
      <w:r>
        <w:t>You are generating only the ICHIBAN Tarzan-first initial valuation report. Do not generate BBC, After Review, Retrospect, or post-listing analysis. Use existing engine-stamped valuation evidence. Closed comps support valuation; active/pending/current competition and MPI inform launch context and market pressure. Buyer considerations are perception/risk items. Verification is final. If mixed-mode instructions are present, preserve Tarzan scope and flag the conflict.</w:t>
      </w:r>
    </w:p>
    <w:p>
      <w:pPr>
        <w:pStyle w:val="Heading1"/>
      </w:pPr>
      <w:r>
        <w:t>13. Final Separation Statement</w:t>
      </w:r>
    </w:p>
    <w:p>
      <w:r>
        <w:t>Tarzan and BBC work toward the same pricing objective, but they do different work at different times. Tarzan proves the evidence. BBC later explains and reconciles the evidence in a clearer advisory voice. The current repair is Tarzan only. Strong separation is required because prior combined or drifting outputs damaged performance.</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Tarzan active | BBC paused | After Review paused | Retrospect paused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ICHIBAN INSIGHT - Tarzan-First Credo v20.5.4G SCOPE LOCK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