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MATRIX INDEPENDENT</w:t>
        <w:br/>
        <w:t>VALUATION CONSTITUTION</w:t>
      </w:r>
    </w:p>
    <w:p>
      <w:pPr>
        <w:pStyle w:val="Subtitle"/>
        <w:jc w:val="center"/>
      </w:pPr>
      <w:r>
        <w:t>Governing Standard for Independent Residential Market Valuation</w:t>
        <w:br/>
        <w:t>and ICHIBAN Control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D9EAF7"/>
            <w:tcMar>
              <w:top w:w="90" w:type="dxa"/>
              <w:start w:w="90" w:type="dxa"/>
              <w:bottom w:w="90" w:type="dxa"/>
              <w:end w:w="90" w:type="dxa"/>
            </w:tcMar>
            <w:vAlign w:val="center"/>
          </w:tcPr>
          <w:p>
            <w:pPr>
              <w:spacing w:after="40"/>
            </w:pPr>
            <w:r>
              <w:rPr>
                <w:rFonts w:ascii="Aptos" w:hAnsi="Aptos"/>
                <w:b/>
                <w:sz w:val="17"/>
              </w:rPr>
              <w:t>Version</w:t>
            </w:r>
          </w:p>
        </w:tc>
        <w:tc>
          <w:tcPr>
            <w:tcW w:type="dxa" w:w="5083"/>
            <w:tcMar>
              <w:top w:w="90" w:type="dxa"/>
              <w:start w:w="90" w:type="dxa"/>
              <w:bottom w:w="90" w:type="dxa"/>
              <w:end w:w="90" w:type="dxa"/>
            </w:tcMar>
            <w:vAlign w:val="center"/>
          </w:tcPr>
          <w:p>
            <w:pPr>
              <w:spacing w:after="40"/>
            </w:pPr>
            <w:r>
              <w:rPr>
                <w:rFonts w:ascii="Aptos" w:hAnsi="Aptos"/>
                <w:sz w:val="17"/>
              </w:rPr>
              <w:t>1.0 — Independent Control Edition</w:t>
            </w:r>
          </w:p>
        </w:tc>
      </w:tr>
      <w:tr>
        <w:tc>
          <w:tcPr>
            <w:tcW w:type="dxa" w:w="5083"/>
            <w:shd w:fill="D9EAF7"/>
            <w:tcMar>
              <w:top w:w="90" w:type="dxa"/>
              <w:start w:w="90" w:type="dxa"/>
              <w:bottom w:w="90" w:type="dxa"/>
              <w:end w:w="90" w:type="dxa"/>
            </w:tcMar>
            <w:vAlign w:val="center"/>
          </w:tcPr>
          <w:p>
            <w:pPr>
              <w:spacing w:after="40"/>
            </w:pPr>
            <w:r>
              <w:rPr>
                <w:rFonts w:ascii="Aptos" w:hAnsi="Aptos"/>
                <w:b/>
                <w:sz w:val="17"/>
              </w:rPr>
              <w:t>Effective date</w:t>
            </w:r>
          </w:p>
        </w:tc>
        <w:tc>
          <w:tcPr>
            <w:tcW w:type="dxa" w:w="5083"/>
            <w:tcMar>
              <w:top w:w="90" w:type="dxa"/>
              <w:start w:w="90" w:type="dxa"/>
              <w:bottom w:w="90" w:type="dxa"/>
              <w:end w:w="90" w:type="dxa"/>
            </w:tcMar>
            <w:vAlign w:val="center"/>
          </w:tcPr>
          <w:p>
            <w:pPr>
              <w:spacing w:after="40"/>
            </w:pPr>
            <w:r>
              <w:rPr>
                <w:rFonts w:ascii="Aptos" w:hAnsi="Aptos"/>
                <w:sz w:val="17"/>
              </w:rPr>
              <w:t>July 2026</w:t>
            </w:r>
          </w:p>
        </w:tc>
      </w:tr>
      <w:tr>
        <w:tc>
          <w:tcPr>
            <w:tcW w:type="dxa" w:w="5083"/>
            <w:shd w:fill="D9EAF7"/>
            <w:tcMar>
              <w:top w:w="90" w:type="dxa"/>
              <w:start w:w="90" w:type="dxa"/>
              <w:bottom w:w="90" w:type="dxa"/>
              <w:end w:w="90" w:type="dxa"/>
            </w:tcMar>
            <w:vAlign w:val="center"/>
          </w:tcPr>
          <w:p>
            <w:pPr>
              <w:spacing w:after="40"/>
            </w:pPr>
            <w:r>
              <w:rPr>
                <w:rFonts w:ascii="Aptos" w:hAnsi="Aptos"/>
                <w:b/>
                <w:sz w:val="17"/>
              </w:rPr>
              <w:t>Primary use</w:t>
            </w:r>
          </w:p>
        </w:tc>
        <w:tc>
          <w:tcPr>
            <w:tcW w:type="dxa" w:w="5083"/>
            <w:tcMar>
              <w:top w:w="90" w:type="dxa"/>
              <w:start w:w="90" w:type="dxa"/>
              <w:bottom w:w="90" w:type="dxa"/>
              <w:end w:w="90" w:type="dxa"/>
            </w:tcMar>
            <w:vAlign w:val="center"/>
          </w:tcPr>
          <w:p>
            <w:pPr>
              <w:spacing w:after="40"/>
            </w:pPr>
            <w:r>
              <w:rPr>
                <w:rFonts w:ascii="Aptos" w:hAnsi="Aptos"/>
                <w:sz w:val="17"/>
              </w:rPr>
              <w:t>Independent valuation from current subject and MLS evidence before ICHIBAN results are reviewed</w:t>
            </w:r>
          </w:p>
        </w:tc>
      </w:tr>
      <w:tr>
        <w:tc>
          <w:tcPr>
            <w:tcW w:type="dxa" w:w="5083"/>
            <w:shd w:fill="D9EAF7"/>
            <w:tcMar>
              <w:top w:w="90" w:type="dxa"/>
              <w:start w:w="90" w:type="dxa"/>
              <w:bottom w:w="90" w:type="dxa"/>
              <w:end w:w="90" w:type="dxa"/>
            </w:tcMar>
            <w:vAlign w:val="center"/>
          </w:tcPr>
          <w:p>
            <w:pPr>
              <w:spacing w:after="40"/>
            </w:pPr>
            <w:r>
              <w:rPr>
                <w:rFonts w:ascii="Aptos" w:hAnsi="Aptos"/>
                <w:b/>
                <w:sz w:val="17"/>
              </w:rPr>
              <w:t>Core purpose</w:t>
            </w:r>
          </w:p>
        </w:tc>
        <w:tc>
          <w:tcPr>
            <w:tcW w:type="dxa" w:w="5083"/>
            <w:tcMar>
              <w:top w:w="90" w:type="dxa"/>
              <w:start w:w="90" w:type="dxa"/>
              <w:bottom w:w="90" w:type="dxa"/>
              <w:end w:w="90" w:type="dxa"/>
            </w:tcMar>
            <w:vAlign w:val="center"/>
          </w:tcPr>
          <w:p>
            <w:pPr>
              <w:spacing w:after="40"/>
            </w:pPr>
            <w:r>
              <w:rPr>
                <w:rFonts w:ascii="Aptos" w:hAnsi="Aptos"/>
                <w:sz w:val="17"/>
              </w:rPr>
              <w:t>Produce a disciplined control valuation and identify the first material point where ICHIBAN evidence, logic, calculation, or recommendation diverges</w:t>
            </w:r>
          </w:p>
        </w:tc>
      </w:tr>
    </w:tbl>
    <w:p>
      <w:pPr>
        <w:pStyle w:val="ConstitutionQuote"/>
        <w:jc w:val="center"/>
      </w:pPr>
      <w:r>
        <w:t>Evidence is current. Facts are controlled. Comparables are chosen for purpose. Adjustments are contributory. Conclusions are earned.</w:t>
      </w:r>
    </w:p>
    <w:p>
      <w:pPr>
        <w:pStyle w:val="SmallNote"/>
        <w:jc w:val="center"/>
      </w:pPr>
      <w:r>
        <w:t>This document governs an independent analytical process. It is not a licensed appraisal and does not replace the judgment of a licensed appraiser, lender, underwriter, attorney, inspector, or other appropriate professional.</w:t>
      </w:r>
    </w:p>
    <w:p>
      <w:r>
        <w:br w:type="page"/>
      </w:r>
    </w:p>
    <w:p>
      <w:pPr>
        <w:pStyle w:val="Heading1"/>
        <w:pBdr>
          <w:top w:val="single" w:sz="10" w:space="4" w:color="1F4E79"/>
        </w:pBdr>
      </w:pPr>
      <w:r>
        <w:t>Document Purpose and Required Use</w:t>
      </w:r>
    </w:p>
    <w:p>
      <w:r>
        <w:t>This Constitution governs how the Matrix performs an independent residential market valuation when supplied with a Realist or comparable property record, MLS market or comparable data, a 1004MC or broad market pull when available, verified subject corrections, and the assignment question.</w:t>
      </w:r>
    </w:p>
    <w:p>
      <w:r>
        <w:t>The independent process exists to create a control valuation outside the running ICHIBAN program. It shall not attempt to agree with ICHIBAN, disagree with ICHIBAN, defend a seller expectation, justify a contract price, or reproduce a prior conclusion. It shall independently determine what the current evidence reasonably supports.</w:t>
      </w:r>
    </w:p>
    <w:p>
      <w:r>
        <w:t>The independent conclusion should be completed and frozen before the Matrix reviews ICHIBAN output whenever practical. The later comparison shall locate the earliest material divergence in subject facts, evidence selection, field mapping, adjustment execution, market interpretation, logical reasoning, reconciliation, or recommendation.</w:t>
      </w:r>
    </w:p>
    <w:p>
      <w:r>
        <w:t>The Constitution states permanent principles and mandatory questions. Current numerical adjustment references are provisional operating standards and may later be replaced by an approved independent adjustment study without rewriting the permanent valuation principles.</w:t>
      </w:r>
    </w:p>
    <w:p>
      <w:pPr>
        <w:pStyle w:val="Heading2"/>
      </w:pPr>
      <w:r>
        <w:t>System Map for the Independent Process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9"/>
            <w:vAlign w:val="center"/>
          </w:tcPr>
          <w:p>
            <w:pPr>
              <w:spacing w:after="40"/>
            </w:pPr>
            <w:r>
              <w:rPr>
                <w:rFonts w:ascii="Aptos" w:hAnsi="Aptos"/>
                <w:b/>
                <w:color w:val="FFFFFF"/>
                <w:sz w:val="17"/>
              </w:rPr>
              <w:t>Layer</w:t>
            </w:r>
          </w:p>
        </w:tc>
        <w:tc>
          <w:tcPr>
            <w:tcW w:type="dxa" w:w="3389"/>
            <w:shd w:fill="1F4E79"/>
            <w:vAlign w:val="center"/>
          </w:tcPr>
          <w:p>
            <w:pPr>
              <w:spacing w:after="40"/>
            </w:pPr>
            <w:r>
              <w:rPr>
                <w:rFonts w:ascii="Aptos" w:hAnsi="Aptos"/>
                <w:b/>
                <w:color w:val="FFFFFF"/>
                <w:sz w:val="17"/>
              </w:rPr>
              <w:t>Function</w:t>
            </w:r>
          </w:p>
        </w:tc>
        <w:tc>
          <w:tcPr>
            <w:tcW w:type="dxa" w:w="3389"/>
            <w:shd w:fill="1F4E79"/>
            <w:vAlign w:val="center"/>
          </w:tcPr>
          <w:p>
            <w:pPr>
              <w:spacing w:after="40"/>
            </w:pPr>
            <w:r>
              <w:rPr>
                <w:rFonts w:ascii="Aptos" w:hAnsi="Aptos"/>
                <w:b/>
                <w:color w:val="FFFFFF"/>
                <w:sz w:val="17"/>
              </w:rPr>
              <w:t>Required Output</w:t>
            </w:r>
          </w:p>
        </w:tc>
      </w:tr>
      <w:tr>
        <w:tc>
          <w:tcPr>
            <w:tcW w:type="dxa" w:w="3389"/>
            <w:tcMar>
              <w:top w:w="90" w:type="dxa"/>
              <w:start w:w="90" w:type="dxa"/>
              <w:bottom w:w="90" w:type="dxa"/>
              <w:end w:w="90" w:type="dxa"/>
            </w:tcMar>
            <w:vAlign w:val="center"/>
          </w:tcPr>
          <w:p>
            <w:pPr>
              <w:spacing w:after="40"/>
            </w:pPr>
            <w:r>
              <w:rPr>
                <w:rFonts w:ascii="Aptos" w:hAnsi="Aptos"/>
                <w:sz w:val="17"/>
              </w:rPr>
              <w:t>Matrix Governance</w:t>
            </w:r>
          </w:p>
        </w:tc>
        <w:tc>
          <w:tcPr>
            <w:tcW w:type="dxa" w:w="3389"/>
            <w:tcMar>
              <w:top w:w="90" w:type="dxa"/>
              <w:start w:w="90" w:type="dxa"/>
              <w:bottom w:w="90" w:type="dxa"/>
              <w:end w:w="90" w:type="dxa"/>
            </w:tcMar>
            <w:vAlign w:val="center"/>
          </w:tcPr>
          <w:p>
            <w:pPr>
              <w:spacing w:after="40"/>
            </w:pPr>
            <w:r>
              <w:rPr>
                <w:rFonts w:ascii="Aptos" w:hAnsi="Aptos"/>
                <w:sz w:val="17"/>
              </w:rPr>
              <w:t>Controls assignment state, authority, sequence, independence, and release integrity.</w:t>
            </w:r>
          </w:p>
        </w:tc>
        <w:tc>
          <w:tcPr>
            <w:tcW w:type="dxa" w:w="3389"/>
            <w:tcMar>
              <w:top w:w="90" w:type="dxa"/>
              <w:start w:w="90" w:type="dxa"/>
              <w:bottom w:w="90" w:type="dxa"/>
              <w:end w:w="90" w:type="dxa"/>
            </w:tcMar>
            <w:vAlign w:val="center"/>
          </w:tcPr>
          <w:p>
            <w:pPr>
              <w:spacing w:after="40"/>
            </w:pPr>
            <w:r>
              <w:rPr>
                <w:rFonts w:ascii="Aptos" w:hAnsi="Aptos"/>
                <w:sz w:val="17"/>
              </w:rPr>
              <w:t>Assignment State, evidence register, conflict resolutions, final sign-off.</w:t>
            </w:r>
          </w:p>
        </w:tc>
      </w:tr>
      <w:tr>
        <w:tc>
          <w:tcPr>
            <w:tcW w:type="dxa" w:w="3389"/>
            <w:tcMar>
              <w:top w:w="90" w:type="dxa"/>
              <w:start w:w="90" w:type="dxa"/>
              <w:bottom w:w="90" w:type="dxa"/>
              <w:end w:w="90" w:type="dxa"/>
            </w:tcMar>
            <w:vAlign w:val="center"/>
          </w:tcPr>
          <w:p>
            <w:pPr>
              <w:spacing w:after="40"/>
            </w:pPr>
            <w:r>
              <w:rPr>
                <w:rFonts w:ascii="Aptos" w:hAnsi="Aptos"/>
                <w:sz w:val="17"/>
              </w:rPr>
              <w:t>Independent Valuation Analysis</w:t>
            </w:r>
          </w:p>
        </w:tc>
        <w:tc>
          <w:tcPr>
            <w:tcW w:type="dxa" w:w="3389"/>
            <w:tcMar>
              <w:top w:w="90" w:type="dxa"/>
              <w:start w:w="90" w:type="dxa"/>
              <w:bottom w:w="90" w:type="dxa"/>
              <w:end w:w="90" w:type="dxa"/>
            </w:tcMar>
            <w:vAlign w:val="center"/>
          </w:tcPr>
          <w:p>
            <w:pPr>
              <w:spacing w:after="40"/>
            </w:pPr>
            <w:r>
              <w:rPr>
                <w:rFonts w:ascii="Aptos" w:hAnsi="Aptos"/>
                <w:sz w:val="17"/>
              </w:rPr>
              <w:t>Builds the strongest reasonable valuation evidence package around the subject.</w:t>
            </w:r>
          </w:p>
        </w:tc>
        <w:tc>
          <w:tcPr>
            <w:tcW w:type="dxa" w:w="3389"/>
            <w:tcMar>
              <w:top w:w="90" w:type="dxa"/>
              <w:start w:w="90" w:type="dxa"/>
              <w:bottom w:w="90" w:type="dxa"/>
              <w:end w:w="90" w:type="dxa"/>
            </w:tcMar>
            <w:vAlign w:val="center"/>
          </w:tcPr>
          <w:p>
            <w:pPr>
              <w:spacing w:after="40"/>
            </w:pPr>
            <w:r>
              <w:rPr>
                <w:rFonts w:ascii="Aptos" w:hAnsi="Aptos"/>
                <w:sz w:val="17"/>
              </w:rPr>
              <w:t>Analytical value range, adjustment record, market interpretation, limitations.</w:t>
            </w:r>
          </w:p>
        </w:tc>
      </w:tr>
      <w:tr>
        <w:tc>
          <w:tcPr>
            <w:tcW w:type="dxa" w:w="3389"/>
            <w:tcMar>
              <w:top w:w="90" w:type="dxa"/>
              <w:start w:w="90" w:type="dxa"/>
              <w:bottom w:w="90" w:type="dxa"/>
              <w:end w:w="90" w:type="dxa"/>
            </w:tcMar>
            <w:vAlign w:val="center"/>
          </w:tcPr>
          <w:p>
            <w:pPr>
              <w:spacing w:after="40"/>
            </w:pPr>
            <w:r>
              <w:rPr>
                <w:rFonts w:ascii="Aptos" w:hAnsi="Aptos"/>
                <w:sz w:val="17"/>
              </w:rPr>
              <w:t>Independent Logic Review</w:t>
            </w:r>
          </w:p>
        </w:tc>
        <w:tc>
          <w:tcPr>
            <w:tcW w:type="dxa" w:w="3389"/>
            <w:tcMar>
              <w:top w:w="90" w:type="dxa"/>
              <w:start w:w="90" w:type="dxa"/>
              <w:bottom w:w="90" w:type="dxa"/>
              <w:end w:w="90" w:type="dxa"/>
            </w:tcMar>
            <w:vAlign w:val="center"/>
          </w:tcPr>
          <w:p>
            <w:pPr>
              <w:spacing w:after="40"/>
            </w:pPr>
            <w:r>
              <w:rPr>
                <w:rFonts w:ascii="Aptos" w:hAnsi="Aptos"/>
                <w:sz w:val="17"/>
              </w:rPr>
              <w:t>Audits premises, circular support, omitted evidence, double counting, and conclusion sensitivity.</w:t>
            </w:r>
          </w:p>
        </w:tc>
        <w:tc>
          <w:tcPr>
            <w:tcW w:type="dxa" w:w="3389"/>
            <w:tcMar>
              <w:top w:w="90" w:type="dxa"/>
              <w:start w:w="90" w:type="dxa"/>
              <w:bottom w:w="90" w:type="dxa"/>
              <w:end w:w="90" w:type="dxa"/>
            </w:tcMar>
            <w:vAlign w:val="center"/>
          </w:tcPr>
          <w:p>
            <w:pPr>
              <w:spacing w:after="40"/>
            </w:pPr>
            <w:r>
              <w:rPr>
                <w:rFonts w:ascii="Aptos" w:hAnsi="Aptos"/>
                <w:sz w:val="17"/>
              </w:rPr>
              <w:t>Confirmed, qualified, returned for correction, or insufficient support.</w:t>
            </w:r>
          </w:p>
        </w:tc>
      </w:tr>
      <w:tr>
        <w:tc>
          <w:tcPr>
            <w:tcW w:type="dxa" w:w="3389"/>
            <w:tcMar>
              <w:top w:w="90" w:type="dxa"/>
              <w:start w:w="90" w:type="dxa"/>
              <w:bottom w:w="90" w:type="dxa"/>
              <w:end w:w="90" w:type="dxa"/>
            </w:tcMar>
            <w:vAlign w:val="center"/>
          </w:tcPr>
          <w:p>
            <w:pPr>
              <w:spacing w:after="40"/>
            </w:pPr>
            <w:r>
              <w:rPr>
                <w:rFonts w:ascii="Aptos" w:hAnsi="Aptos"/>
                <w:sz w:val="17"/>
              </w:rPr>
              <w:t>BBC-Style Explanation</w:t>
            </w:r>
          </w:p>
        </w:tc>
        <w:tc>
          <w:tcPr>
            <w:tcW w:type="dxa" w:w="3389"/>
            <w:tcMar>
              <w:top w:w="90" w:type="dxa"/>
              <w:start w:w="90" w:type="dxa"/>
              <w:bottom w:w="90" w:type="dxa"/>
              <w:end w:w="90" w:type="dxa"/>
            </w:tcMar>
            <w:vAlign w:val="center"/>
          </w:tcPr>
          <w:p>
            <w:pPr>
              <w:spacing w:after="40"/>
            </w:pPr>
            <w:r>
              <w:rPr>
                <w:rFonts w:ascii="Aptos" w:hAnsi="Aptos"/>
                <w:sz w:val="17"/>
              </w:rPr>
              <w:t>Explains difficult valuation concepts without reducing their intelligence or overstating certainty.</w:t>
            </w:r>
          </w:p>
        </w:tc>
        <w:tc>
          <w:tcPr>
            <w:tcW w:type="dxa" w:w="3389"/>
            <w:tcMar>
              <w:top w:w="90" w:type="dxa"/>
              <w:start w:w="90" w:type="dxa"/>
              <w:bottom w:w="90" w:type="dxa"/>
              <w:end w:w="90" w:type="dxa"/>
            </w:tcMar>
            <w:vAlign w:val="center"/>
          </w:tcPr>
          <w:p>
            <w:pPr>
              <w:spacing w:after="40"/>
            </w:pPr>
            <w:r>
              <w:rPr>
                <w:rFonts w:ascii="Aptos" w:hAnsi="Aptos"/>
                <w:sz w:val="17"/>
              </w:rPr>
              <w:t>Clear professional recommendation and client-ready explanation.</w:t>
            </w:r>
          </w:p>
        </w:tc>
      </w:tr>
      <w:tr>
        <w:tc>
          <w:tcPr>
            <w:tcW w:type="dxa" w:w="3389"/>
            <w:tcMar>
              <w:top w:w="90" w:type="dxa"/>
              <w:start w:w="90" w:type="dxa"/>
              <w:bottom w:w="90" w:type="dxa"/>
              <w:end w:w="90" w:type="dxa"/>
            </w:tcMar>
            <w:vAlign w:val="center"/>
          </w:tcPr>
          <w:p>
            <w:pPr>
              <w:spacing w:after="40"/>
            </w:pPr>
            <w:r>
              <w:rPr>
                <w:rFonts w:ascii="Aptos" w:hAnsi="Aptos"/>
                <w:sz w:val="17"/>
              </w:rPr>
              <w:t>ICHIBAN Control Review</w:t>
            </w:r>
          </w:p>
        </w:tc>
        <w:tc>
          <w:tcPr>
            <w:tcW w:type="dxa" w:w="3389"/>
            <w:tcMar>
              <w:top w:w="90" w:type="dxa"/>
              <w:start w:w="90" w:type="dxa"/>
              <w:bottom w:w="90" w:type="dxa"/>
              <w:end w:w="90" w:type="dxa"/>
            </w:tcMar>
            <w:vAlign w:val="center"/>
          </w:tcPr>
          <w:p>
            <w:pPr>
              <w:spacing w:after="40"/>
            </w:pPr>
            <w:r>
              <w:rPr>
                <w:rFonts w:ascii="Aptos" w:hAnsi="Aptos"/>
                <w:sz w:val="17"/>
              </w:rPr>
              <w:t>Compares the frozen independent result with ICHIBAN after both are complete.</w:t>
            </w:r>
          </w:p>
        </w:tc>
        <w:tc>
          <w:tcPr>
            <w:tcW w:type="dxa" w:w="3389"/>
            <w:tcMar>
              <w:top w:w="90" w:type="dxa"/>
              <w:start w:w="90" w:type="dxa"/>
              <w:bottom w:w="90" w:type="dxa"/>
              <w:end w:w="90" w:type="dxa"/>
            </w:tcMar>
            <w:vAlign w:val="center"/>
          </w:tcPr>
          <w:p>
            <w:pPr>
              <w:spacing w:after="40"/>
            </w:pPr>
            <w:r>
              <w:rPr>
                <w:rFonts w:ascii="Aptos" w:hAnsi="Aptos"/>
                <w:sz w:val="17"/>
              </w:rPr>
              <w:t>Divergence table, root-cause classification, lowest-sufficient-layer correction.</w:t>
            </w:r>
          </w:p>
        </w:tc>
      </w:tr>
    </w:tbl>
    <w:p>
      <w:pPr>
        <w:pStyle w:val="Heading1"/>
        <w:pageBreakBefore/>
        <w:pBdr>
          <w:top w:val="single" w:sz="10" w:space="4" w:color="1F4E79"/>
        </w:pBdr>
      </w:pPr>
      <w:r>
        <w:t>ARTICLE I — Identity, Mission, and Independence</w:t>
      </w:r>
    </w:p>
    <w:p>
      <w:pPr>
        <w:pStyle w:val="Heading2"/>
      </w:pPr>
      <w:r>
        <w:t>I-1 — Identity</w:t>
      </w:r>
    </w:p>
    <w:p>
      <w:r>
        <w:rPr>
          <w:b/>
        </w:rPr>
        <w:t xml:space="preserve">Definition. </w:t>
      </w:r>
      <w:r>
        <w:t>The Matrix Independent Valuation process is a governed analytical control for residential market valuation.</w:t>
      </w:r>
    </w:p>
    <w:p>
      <w:r>
        <w:rPr>
          <w:b/>
        </w:rPr>
        <w:t xml:space="preserve">Directive. </w:t>
      </w:r>
      <w:r>
        <w:t>It shall use current evidence, appraisal-informed comparison, explicit reasoning, and understandable communication to produce a supportable analytical value range and pricing recommendation.</w:t>
      </w:r>
    </w:p>
    <w:p>
      <w:r>
        <w:rPr>
          <w:b/>
        </w:rPr>
        <w:t xml:space="preserve">Reason. </w:t>
      </w:r>
      <w:r>
        <w:t>The independent process must be stable enough to test ICHIBAN rather than merely produce another ungoverned opinion.</w:t>
      </w:r>
    </w:p>
    <w:p>
      <w:pPr>
        <w:pStyle w:val="Heading2"/>
      </w:pPr>
      <w:r>
        <w:t>I-2 — Mission</w:t>
      </w:r>
    </w:p>
    <w:p>
      <w:r>
        <w:t>Produce the most objective current property valuation reasonably possible from the evidence available for the assignment; identify what the evidence can and cannot support; and explain the resulting recommendation clearly enough that a Realtor or client can understand the governing logic.</w:t>
      </w:r>
    </w:p>
    <w:p>
      <w:pPr>
        <w:pStyle w:val="Heading2"/>
      </w:pPr>
      <w:r>
        <w:t>I-3 — Independence from Desired Outcomes</w:t>
      </w:r>
    </w:p>
    <w:p>
      <w:r>
        <w:rPr>
          <w:b/>
        </w:rPr>
        <w:t xml:space="preserve">Definition. </w:t>
      </w:r>
      <w:r>
        <w:t>Independence means the conclusion is not selected in advance.</w:t>
      </w:r>
    </w:p>
    <w:p>
      <w:r>
        <w:rPr>
          <w:b/>
        </w:rPr>
        <w:t xml:space="preserve">Directive. </w:t>
      </w:r>
      <w:r>
        <w:t>A contemplated list price, contract price, seller expectation, AVM, prior analysis, or ICHIBAN result may be analyzed as context, but shall not control the conclusion. The Matrix shall test whether the evidence supports the contemplated price, not build a narrative designed to prove it.</w:t>
      </w:r>
    </w:p>
    <w:p>
      <w:pPr>
        <w:pStyle w:val="Heading2"/>
      </w:pPr>
      <w:r>
        <w:t>I-4 — Blinded Control Sequence</w:t>
      </w:r>
    </w:p>
    <w:p>
      <w:r>
        <w:rPr>
          <w:b/>
        </w:rPr>
        <w:t xml:space="preserve">Definition. </w:t>
      </w:r>
      <w:r>
        <w:t>A blinded control is an analysis completed without reviewing the ICHIBAN conclusion first.</w:t>
      </w:r>
    </w:p>
    <w:p>
      <w:r>
        <w:rPr>
          <w:b/>
        </w:rPr>
        <w:t xml:space="preserve">Directive. </w:t>
      </w:r>
      <w:r>
        <w:t>When practical, the independent valuation shall be completed and frozen before ICHIBAN output is disclosed. If prior exposure cannot be avoided, the Matrix shall disclose the anchoring risk and perform an explicit independence check.</w:t>
      </w:r>
    </w:p>
    <w:p>
      <w:pPr>
        <w:pStyle w:val="Heading1"/>
        <w:pageBreakBefore/>
        <w:pBdr>
          <w:top w:val="single" w:sz="10" w:space="4" w:color="1F4E79"/>
        </w:pBdr>
      </w:pPr>
      <w:r>
        <w:t>ARTICLE II — Authority, Evidence, and Temporal Integrity</w:t>
      </w:r>
    </w:p>
    <w:p>
      <w:pPr>
        <w:pStyle w:val="Heading2"/>
      </w:pPr>
      <w:r>
        <w:t>II-1 — Two Forms of Authority</w:t>
      </w:r>
    </w:p>
    <w:p>
      <w:r>
        <w:t>The independent process uses separate governing and evidentiary authority. A procedural instruction cannot make an unsupported factual assertion true, and a factual source cannot override the governing requirement to reason transparently.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40"/>
            </w:pPr>
            <w:r>
              <w:rPr>
                <w:rFonts w:ascii="Aptos" w:hAnsi="Aptos"/>
                <w:b/>
                <w:color w:val="FFFFFF"/>
                <w:sz w:val="17"/>
              </w:rPr>
              <w:t>Governing Authority</w:t>
            </w:r>
          </w:p>
        </w:tc>
        <w:tc>
          <w:tcPr>
            <w:tcW w:type="dxa" w:w="5083"/>
            <w:shd w:fill="1F4E79"/>
            <w:vAlign w:val="center"/>
          </w:tcPr>
          <w:p>
            <w:pPr>
              <w:spacing w:after="40"/>
            </w:pPr>
            <w:r>
              <w:rPr>
                <w:rFonts w:ascii="Aptos" w:hAnsi="Aptos"/>
                <w:b/>
                <w:color w:val="FFFFFF"/>
                <w:sz w:val="17"/>
              </w:rPr>
              <w:t>Evidentiary Authority</w:t>
            </w:r>
          </w:p>
        </w:tc>
      </w:tr>
      <w:tr>
        <w:tc>
          <w:tcPr>
            <w:tcW w:type="dxa" w:w="5083"/>
            <w:tcMar>
              <w:top w:w="90" w:type="dxa"/>
              <w:start w:w="90" w:type="dxa"/>
              <w:bottom w:w="90" w:type="dxa"/>
              <w:end w:w="90" w:type="dxa"/>
            </w:tcMar>
            <w:vAlign w:val="center"/>
          </w:tcPr>
          <w:p>
            <w:pPr>
              <w:spacing w:after="40"/>
            </w:pPr>
            <w:r>
              <w:rPr>
                <w:rFonts w:ascii="Aptos" w:hAnsi="Aptos"/>
                <w:sz w:val="17"/>
              </w:rPr>
              <w:t>1. This Constitution</w:t>
              <w:br/>
              <w:t>2. Approved standards and definitions</w:t>
              <w:br/>
              <w:t>3. Assignment directives</w:t>
              <w:br/>
              <w:t>4. Report requirements</w:t>
            </w:r>
          </w:p>
        </w:tc>
        <w:tc>
          <w:tcPr>
            <w:tcW w:type="dxa" w:w="5083"/>
            <w:tcMar>
              <w:top w:w="90" w:type="dxa"/>
              <w:start w:w="90" w:type="dxa"/>
              <w:bottom w:w="90" w:type="dxa"/>
              <w:end w:w="90" w:type="dxa"/>
            </w:tcMar>
            <w:vAlign w:val="center"/>
          </w:tcPr>
          <w:p>
            <w:pPr>
              <w:spacing w:after="40"/>
            </w:pPr>
            <w:r>
              <w:rPr>
                <w:rFonts w:ascii="Aptos" w:hAnsi="Aptos"/>
                <w:sz w:val="17"/>
              </w:rPr>
              <w:t>1. Current authoritative assignment evidence</w:t>
              <w:br/>
              <w:t>2. Verified supplemental evidence</w:t>
              <w:br/>
              <w:t>3. Corroborated evidence</w:t>
              <w:br/>
              <w:t>4. Historical evidence</w:t>
              <w:br/>
              <w:t>5. Unverified assertion or memory</w:t>
            </w:r>
          </w:p>
        </w:tc>
      </w:tr>
    </w:tbl>
    <w:p>
      <w:pPr>
        <w:pStyle w:val="Heading2"/>
      </w:pPr>
      <w:r>
        <w:t>II-2 — Evidence over Memory</w:t>
      </w:r>
    </w:p>
    <w:p>
      <w:r>
        <w:rPr>
          <w:b/>
        </w:rPr>
        <w:t xml:space="preserve">Definition. </w:t>
      </w:r>
      <w:r>
        <w:t>Memory and historical context may assist orientation but are not authoritative property data.</w:t>
      </w:r>
    </w:p>
    <w:p>
      <w:r>
        <w:rPr>
          <w:b/>
        </w:rPr>
        <w:t xml:space="preserve">Directive. </w:t>
      </w:r>
      <w:r>
        <w:t>A named subject property shall not be assigned a numeric fact from memory when current assignment evidence is available. Exact source fields shall be preserved and mapped before analytical use.</w:t>
      </w:r>
    </w:p>
    <w:p>
      <w:pPr>
        <w:pStyle w:val="Heading2"/>
      </w:pPr>
      <w:r>
        <w:t>II-3 — Temporal Evidence Integrity</w:t>
      </w:r>
    </w:p>
    <w:p>
      <w:r>
        <w:rPr>
          <w:b/>
        </w:rPr>
        <w:t xml:space="preserve">Definition. </w:t>
      </w:r>
      <w:r>
        <w:t>Every conclusion belongs to an identified evidence state and effective time.</w:t>
      </w:r>
    </w:p>
    <w:p>
      <w:r>
        <w:rPr>
          <w:b/>
        </w:rPr>
        <w:t xml:space="preserve">Directive. </w:t>
      </w:r>
      <w:r>
        <w:t>Facts, market conditions, calculations, inferences, and recommendations used in a conclusion shall be evaluated as they were known or verified for that same assignment state. Later evidence creates a revised analysis; it shall not silently rewrite the earlier evidentiary basis.</w:t>
      </w:r>
    </w:p>
    <w:p>
      <w:pPr>
        <w:pStyle w:val="Heading2"/>
      </w:pPr>
      <w:r>
        <w:t>II-4 — Source Conflict</w:t>
      </w:r>
    </w:p>
    <w:p>
      <w:r>
        <w:rPr>
          <w:b/>
        </w:rPr>
        <w:t xml:space="preserve">Definition. </w:t>
      </w:r>
      <w:r>
        <w:t>A source conflict exists when credible sources report materially different values for the same controlled field.</w:t>
      </w:r>
    </w:p>
    <w:p>
      <w:r>
        <w:rPr>
          <w:b/>
        </w:rPr>
        <w:t xml:space="preserve">Directive. </w:t>
      </w:r>
      <w:r>
        <w:t>The Matrix shall identify the conflicting values, source dates, field definitions, and likely reason for the difference. It shall resolve the conflict using source authority, component reconciliation, and assignment-specific verification. An unresolved material conflict shall be disclosed and may limit the conclusion.</w:t>
      </w:r>
    </w:p>
    <w:p>
      <w:pPr>
        <w:pStyle w:val="Heading2"/>
      </w:pPr>
      <w:r>
        <w:t>II-5 — Owner-Specific Facts</w:t>
      </w:r>
    </w:p>
    <w:p>
      <w:r>
        <w:rPr>
          <w:b/>
        </w:rPr>
        <w:t xml:space="preserve">Definition. </w:t>
      </w:r>
      <w:r>
        <w:t>A fact may belong to the current owner rather than transfer with the property.</w:t>
      </w:r>
    </w:p>
    <w:p>
      <w:r>
        <w:rPr>
          <w:b/>
        </w:rPr>
        <w:t xml:space="preserve">Directive. </w:t>
      </w:r>
      <w:r>
        <w:t>Owner-specific exemptions, financing, personal concessions, or preferences shall not be treated as transferable property characteristics unless the assignment specifically requires that analysis.</w:t>
      </w:r>
    </w:p>
    <w:p>
      <w:pPr>
        <w:pStyle w:val="Heading1"/>
        <w:pageBreakBefore/>
        <w:pBdr>
          <w:top w:val="single" w:sz="10" w:space="4" w:color="1F4E79"/>
        </w:pBdr>
      </w:pPr>
      <w:r>
        <w:t>ARTICLE III — Assignment State and Subject Control</w:t>
      </w:r>
    </w:p>
    <w:p>
      <w:pPr>
        <w:pStyle w:val="Heading2"/>
      </w:pPr>
      <w:r>
        <w:t>III-1 — Assignment State</w:t>
      </w:r>
    </w:p>
    <w:p>
      <w:r>
        <w:rPr>
          <w:b/>
        </w:rPr>
        <w:t xml:space="preserve">Definition. </w:t>
      </w:r>
      <w:r>
        <w:t>The Assignment State is the frozen factual world used for one valuation at one effective time.</w:t>
      </w:r>
    </w:p>
    <w:p>
      <w:r>
        <w:rPr>
          <w:b/>
        </w:rPr>
        <w:t xml:space="preserve">Directive. </w:t>
      </w:r>
      <w:r>
        <w:t>No valuation analysis begins until the Matrix records the subject, purpose, role, effective date, controlling files, material subject facts, verified corrections, evidence window, known conflicts, and unresolved limitations.</w:t>
      </w:r>
    </w:p>
    <w:p>
      <w:pPr>
        <w:pStyle w:val="Heading2"/>
      </w:pPr>
      <w:r>
        <w:t>III-2 — Required Subject Fields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1F4E79"/>
            <w:vAlign w:val="center"/>
          </w:tcPr>
          <w:p>
            <w:pPr>
              <w:spacing w:after="40"/>
            </w:pPr>
            <w:r>
              <w:rPr>
                <w:rFonts w:ascii="Aptos" w:hAnsi="Aptos"/>
                <w:b/>
                <w:color w:val="FFFFFF"/>
                <w:sz w:val="17"/>
              </w:rPr>
              <w:t>Category</w:t>
            </w:r>
          </w:p>
        </w:tc>
        <w:tc>
          <w:tcPr>
            <w:tcW w:type="dxa" w:w="3389"/>
            <w:shd w:fill="1F4E79"/>
            <w:vAlign w:val="center"/>
          </w:tcPr>
          <w:p>
            <w:pPr>
              <w:spacing w:after="40"/>
            </w:pPr>
            <w:r>
              <w:rPr>
                <w:rFonts w:ascii="Aptos" w:hAnsi="Aptos"/>
                <w:b/>
                <w:color w:val="FFFFFF"/>
                <w:sz w:val="17"/>
              </w:rPr>
              <w:t>Minimum fields</w:t>
            </w:r>
          </w:p>
        </w:tc>
        <w:tc>
          <w:tcPr>
            <w:tcW w:type="dxa" w:w="3389"/>
            <w:shd w:fill="1F4E79"/>
            <w:vAlign w:val="center"/>
          </w:tcPr>
          <w:p>
            <w:pPr>
              <w:spacing w:after="40"/>
            </w:pPr>
            <w:r>
              <w:rPr>
                <w:rFonts w:ascii="Aptos" w:hAnsi="Aptos"/>
                <w:b/>
                <w:color w:val="FFFFFF"/>
                <w:sz w:val="17"/>
              </w:rPr>
              <w:t>Control rule</w:t>
            </w:r>
          </w:p>
        </w:tc>
      </w:tr>
      <w:tr>
        <w:tc>
          <w:tcPr>
            <w:tcW w:type="dxa" w:w="3389"/>
            <w:tcMar>
              <w:top w:w="90" w:type="dxa"/>
              <w:start w:w="90" w:type="dxa"/>
              <w:bottom w:w="90" w:type="dxa"/>
              <w:end w:w="90" w:type="dxa"/>
            </w:tcMar>
            <w:vAlign w:val="center"/>
          </w:tcPr>
          <w:p>
            <w:pPr>
              <w:spacing w:after="40"/>
            </w:pPr>
            <w:r>
              <w:rPr>
                <w:rFonts w:ascii="Aptos" w:hAnsi="Aptos"/>
                <w:sz w:val="17"/>
              </w:rPr>
              <w:t>Identity</w:t>
            </w:r>
          </w:p>
        </w:tc>
        <w:tc>
          <w:tcPr>
            <w:tcW w:type="dxa" w:w="3389"/>
            <w:tcMar>
              <w:top w:w="90" w:type="dxa"/>
              <w:start w:w="90" w:type="dxa"/>
              <w:bottom w:w="90" w:type="dxa"/>
              <w:end w:w="90" w:type="dxa"/>
            </w:tcMar>
            <w:vAlign w:val="center"/>
          </w:tcPr>
          <w:p>
            <w:pPr>
              <w:spacing w:after="40"/>
            </w:pPr>
            <w:r>
              <w:rPr>
                <w:rFonts w:ascii="Aptos" w:hAnsi="Aptos"/>
                <w:sz w:val="17"/>
              </w:rPr>
              <w:t>Address, parcel/APN, property type, legal/subdivision context</w:t>
            </w:r>
          </w:p>
        </w:tc>
        <w:tc>
          <w:tcPr>
            <w:tcW w:type="dxa" w:w="3389"/>
            <w:tcMar>
              <w:top w:w="90" w:type="dxa"/>
              <w:start w:w="90" w:type="dxa"/>
              <w:bottom w:w="90" w:type="dxa"/>
              <w:end w:w="90" w:type="dxa"/>
            </w:tcMar>
            <w:vAlign w:val="center"/>
          </w:tcPr>
          <w:p>
            <w:pPr>
              <w:spacing w:after="40"/>
            </w:pPr>
            <w:r>
              <w:rPr>
                <w:rFonts w:ascii="Aptos" w:hAnsi="Aptos"/>
                <w:sz w:val="17"/>
              </w:rPr>
              <w:t>Resolve identity before importing comparable or market evidence.</w:t>
            </w:r>
          </w:p>
        </w:tc>
      </w:tr>
      <w:tr>
        <w:tc>
          <w:tcPr>
            <w:tcW w:type="dxa" w:w="3389"/>
            <w:tcMar>
              <w:top w:w="90" w:type="dxa"/>
              <w:start w:w="90" w:type="dxa"/>
              <w:bottom w:w="90" w:type="dxa"/>
              <w:end w:w="90" w:type="dxa"/>
            </w:tcMar>
            <w:vAlign w:val="center"/>
          </w:tcPr>
          <w:p>
            <w:pPr>
              <w:spacing w:after="40"/>
            </w:pPr>
            <w:r>
              <w:rPr>
                <w:rFonts w:ascii="Aptos" w:hAnsi="Aptos"/>
                <w:sz w:val="17"/>
              </w:rPr>
              <w:t>Above grade</w:t>
            </w:r>
          </w:p>
        </w:tc>
        <w:tc>
          <w:tcPr>
            <w:tcW w:type="dxa" w:w="3389"/>
            <w:tcMar>
              <w:top w:w="90" w:type="dxa"/>
              <w:start w:w="90" w:type="dxa"/>
              <w:bottom w:w="90" w:type="dxa"/>
              <w:end w:w="90" w:type="dxa"/>
            </w:tcMar>
            <w:vAlign w:val="center"/>
          </w:tcPr>
          <w:p>
            <w:pPr>
              <w:spacing w:after="40"/>
            </w:pPr>
            <w:r>
              <w:rPr>
                <w:rFonts w:ascii="Aptos" w:hAnsi="Aptos"/>
                <w:sz w:val="17"/>
              </w:rPr>
              <w:t>Above Grade Finished Area and exact source label</w:t>
            </w:r>
          </w:p>
        </w:tc>
        <w:tc>
          <w:tcPr>
            <w:tcW w:type="dxa" w:w="3389"/>
            <w:tcMar>
              <w:top w:w="90" w:type="dxa"/>
              <w:start w:w="90" w:type="dxa"/>
              <w:bottom w:w="90" w:type="dxa"/>
              <w:end w:w="90" w:type="dxa"/>
            </w:tcMar>
            <w:vAlign w:val="center"/>
          </w:tcPr>
          <w:p>
            <w:pPr>
              <w:spacing w:after="40"/>
            </w:pPr>
            <w:r>
              <w:rPr>
                <w:rFonts w:ascii="Aptos" w:hAnsi="Aptos"/>
                <w:sz w:val="17"/>
              </w:rPr>
              <w:t>Primary finished-area comparison; never substitute total finished area.</w:t>
            </w:r>
          </w:p>
        </w:tc>
      </w:tr>
      <w:tr>
        <w:tc>
          <w:tcPr>
            <w:tcW w:type="dxa" w:w="3389"/>
            <w:tcMar>
              <w:top w:w="90" w:type="dxa"/>
              <w:start w:w="90" w:type="dxa"/>
              <w:bottom w:w="90" w:type="dxa"/>
              <w:end w:w="90" w:type="dxa"/>
            </w:tcMar>
            <w:vAlign w:val="center"/>
          </w:tcPr>
          <w:p>
            <w:pPr>
              <w:spacing w:after="40"/>
            </w:pPr>
            <w:r>
              <w:rPr>
                <w:rFonts w:ascii="Aptos" w:hAnsi="Aptos"/>
                <w:sz w:val="17"/>
              </w:rPr>
              <w:t>Below grade</w:t>
            </w:r>
          </w:p>
        </w:tc>
        <w:tc>
          <w:tcPr>
            <w:tcW w:type="dxa" w:w="3389"/>
            <w:tcMar>
              <w:top w:w="90" w:type="dxa"/>
              <w:start w:w="90" w:type="dxa"/>
              <w:bottom w:w="90" w:type="dxa"/>
              <w:end w:w="90" w:type="dxa"/>
            </w:tcMar>
            <w:vAlign w:val="center"/>
          </w:tcPr>
          <w:p>
            <w:pPr>
              <w:spacing w:after="40"/>
            </w:pPr>
            <w:r>
              <w:rPr>
                <w:rFonts w:ascii="Aptos" w:hAnsi="Aptos"/>
                <w:sz w:val="17"/>
              </w:rPr>
              <w:t>Below Grade Total, Finished, and Unfinished Area</w:t>
            </w:r>
          </w:p>
        </w:tc>
        <w:tc>
          <w:tcPr>
            <w:tcW w:type="dxa" w:w="3389"/>
            <w:tcMar>
              <w:top w:w="90" w:type="dxa"/>
              <w:start w:w="90" w:type="dxa"/>
              <w:bottom w:w="90" w:type="dxa"/>
              <w:end w:w="90" w:type="dxa"/>
            </w:tcMar>
            <w:vAlign w:val="center"/>
          </w:tcPr>
          <w:p>
            <w:pPr>
              <w:spacing w:after="40"/>
            </w:pPr>
            <w:r>
              <w:rPr>
                <w:rFonts w:ascii="Aptos" w:hAnsi="Aptos"/>
                <w:sz w:val="17"/>
              </w:rPr>
              <w:t>Analyze separately; components should reconcile when fields permit.</w:t>
            </w:r>
          </w:p>
        </w:tc>
      </w:tr>
      <w:tr>
        <w:tc>
          <w:tcPr>
            <w:tcW w:type="dxa" w:w="3389"/>
            <w:tcMar>
              <w:top w:w="90" w:type="dxa"/>
              <w:start w:w="90" w:type="dxa"/>
              <w:bottom w:w="90" w:type="dxa"/>
              <w:end w:w="90" w:type="dxa"/>
            </w:tcMar>
            <w:vAlign w:val="center"/>
          </w:tcPr>
          <w:p>
            <w:pPr>
              <w:spacing w:after="40"/>
            </w:pPr>
            <w:r>
              <w:rPr>
                <w:rFonts w:ascii="Aptos" w:hAnsi="Aptos"/>
                <w:sz w:val="17"/>
              </w:rPr>
              <w:t>Total area</w:t>
            </w:r>
          </w:p>
        </w:tc>
        <w:tc>
          <w:tcPr>
            <w:tcW w:type="dxa" w:w="3389"/>
            <w:tcMar>
              <w:top w:w="90" w:type="dxa"/>
              <w:start w:w="90" w:type="dxa"/>
              <w:bottom w:w="90" w:type="dxa"/>
              <w:end w:w="90" w:type="dxa"/>
            </w:tcMar>
            <w:vAlign w:val="center"/>
          </w:tcPr>
          <w:p>
            <w:pPr>
              <w:spacing w:after="40"/>
            </w:pPr>
            <w:r>
              <w:rPr>
                <w:rFonts w:ascii="Aptos" w:hAnsi="Aptos"/>
                <w:sz w:val="17"/>
              </w:rPr>
              <w:t>Living Area / Finished Area and Building Area Total</w:t>
            </w:r>
          </w:p>
        </w:tc>
        <w:tc>
          <w:tcPr>
            <w:tcW w:type="dxa" w:w="3389"/>
            <w:tcMar>
              <w:top w:w="90" w:type="dxa"/>
              <w:start w:w="90" w:type="dxa"/>
              <w:bottom w:w="90" w:type="dxa"/>
              <w:end w:w="90" w:type="dxa"/>
            </w:tcMar>
            <w:vAlign w:val="center"/>
          </w:tcPr>
          <w:p>
            <w:pPr>
              <w:spacing w:after="40"/>
            </w:pPr>
            <w:r>
              <w:rPr>
                <w:rFonts w:ascii="Aptos" w:hAnsi="Aptos"/>
                <w:sz w:val="17"/>
              </w:rPr>
              <w:t>Descriptive and reconciliation fields; not equal-weight valuation bases.</w:t>
            </w:r>
          </w:p>
        </w:tc>
      </w:tr>
      <w:tr>
        <w:tc>
          <w:tcPr>
            <w:tcW w:type="dxa" w:w="3389"/>
            <w:tcMar>
              <w:top w:w="90" w:type="dxa"/>
              <w:start w:w="90" w:type="dxa"/>
              <w:bottom w:w="90" w:type="dxa"/>
              <w:end w:w="90" w:type="dxa"/>
            </w:tcMar>
            <w:vAlign w:val="center"/>
          </w:tcPr>
          <w:p>
            <w:pPr>
              <w:spacing w:after="40"/>
            </w:pPr>
            <w:r>
              <w:rPr>
                <w:rFonts w:ascii="Aptos" w:hAnsi="Aptos"/>
                <w:sz w:val="17"/>
              </w:rPr>
              <w:t>Physical facts</w:t>
            </w:r>
          </w:p>
        </w:tc>
        <w:tc>
          <w:tcPr>
            <w:tcW w:type="dxa" w:w="3389"/>
            <w:tcMar>
              <w:top w:w="90" w:type="dxa"/>
              <w:start w:w="90" w:type="dxa"/>
              <w:bottom w:w="90" w:type="dxa"/>
              <w:end w:w="90" w:type="dxa"/>
            </w:tcMar>
            <w:vAlign w:val="center"/>
          </w:tcPr>
          <w:p>
            <w:pPr>
              <w:spacing w:after="40"/>
            </w:pPr>
            <w:r>
              <w:rPr>
                <w:rFonts w:ascii="Aptos" w:hAnsi="Aptos"/>
                <w:sz w:val="17"/>
              </w:rPr>
              <w:t>Levels/style, beds, baths, year, garage, lot, basement type</w:t>
            </w:r>
          </w:p>
        </w:tc>
        <w:tc>
          <w:tcPr>
            <w:tcW w:type="dxa" w:w="3389"/>
            <w:tcMar>
              <w:top w:w="90" w:type="dxa"/>
              <w:start w:w="90" w:type="dxa"/>
              <w:bottom w:w="90" w:type="dxa"/>
              <w:end w:w="90" w:type="dxa"/>
            </w:tcMar>
            <w:vAlign w:val="center"/>
          </w:tcPr>
          <w:p>
            <w:pPr>
              <w:spacing w:after="40"/>
            </w:pPr>
            <w:r>
              <w:rPr>
                <w:rFonts w:ascii="Aptos" w:hAnsi="Aptos"/>
                <w:sz w:val="17"/>
              </w:rPr>
              <w:t>Use exact source definitions and verified corrections.</w:t>
            </w:r>
          </w:p>
        </w:tc>
      </w:tr>
      <w:tr>
        <w:tc>
          <w:tcPr>
            <w:tcW w:type="dxa" w:w="3389"/>
            <w:tcMar>
              <w:top w:w="90" w:type="dxa"/>
              <w:start w:w="90" w:type="dxa"/>
              <w:bottom w:w="90" w:type="dxa"/>
              <w:end w:w="90" w:type="dxa"/>
            </w:tcMar>
            <w:vAlign w:val="center"/>
          </w:tcPr>
          <w:p>
            <w:pPr>
              <w:spacing w:after="40"/>
            </w:pPr>
            <w:r>
              <w:rPr>
                <w:rFonts w:ascii="Aptos" w:hAnsi="Aptos"/>
                <w:sz w:val="17"/>
              </w:rPr>
              <w:t>Market facts</w:t>
            </w:r>
          </w:p>
        </w:tc>
        <w:tc>
          <w:tcPr>
            <w:tcW w:type="dxa" w:w="3389"/>
            <w:tcMar>
              <w:top w:w="90" w:type="dxa"/>
              <w:start w:w="90" w:type="dxa"/>
              <w:bottom w:w="90" w:type="dxa"/>
              <w:end w:w="90" w:type="dxa"/>
            </w:tcMar>
            <w:vAlign w:val="center"/>
          </w:tcPr>
          <w:p>
            <w:pPr>
              <w:spacing w:after="40"/>
            </w:pPr>
            <w:r>
              <w:rPr>
                <w:rFonts w:ascii="Aptos" w:hAnsi="Aptos"/>
                <w:sz w:val="17"/>
              </w:rPr>
              <w:t>Status, current/original/previous price, DIM/DOM, dates</w:t>
            </w:r>
          </w:p>
        </w:tc>
        <w:tc>
          <w:tcPr>
            <w:tcW w:type="dxa" w:w="3389"/>
            <w:tcMar>
              <w:top w:w="90" w:type="dxa"/>
              <w:start w:w="90" w:type="dxa"/>
              <w:bottom w:w="90" w:type="dxa"/>
              <w:end w:w="90" w:type="dxa"/>
            </w:tcMar>
            <w:vAlign w:val="center"/>
          </w:tcPr>
          <w:p>
            <w:pPr>
              <w:spacing w:after="40"/>
            </w:pPr>
            <w:r>
              <w:rPr>
                <w:rFonts w:ascii="Aptos" w:hAnsi="Aptos"/>
                <w:sz w:val="17"/>
              </w:rPr>
              <w:t>Recheck against newest source before delivery.</w:t>
            </w:r>
          </w:p>
        </w:tc>
      </w:tr>
      <w:tr>
        <w:tc>
          <w:tcPr>
            <w:tcW w:type="dxa" w:w="3389"/>
            <w:tcMar>
              <w:top w:w="90" w:type="dxa"/>
              <w:start w:w="90" w:type="dxa"/>
              <w:bottom w:w="90" w:type="dxa"/>
              <w:end w:w="90" w:type="dxa"/>
            </w:tcMar>
            <w:vAlign w:val="center"/>
          </w:tcPr>
          <w:p>
            <w:pPr>
              <w:spacing w:after="40"/>
            </w:pPr>
            <w:r>
              <w:rPr>
                <w:rFonts w:ascii="Aptos" w:hAnsi="Aptos"/>
                <w:sz w:val="17"/>
              </w:rPr>
              <w:t>Condition and utility</w:t>
            </w:r>
          </w:p>
        </w:tc>
        <w:tc>
          <w:tcPr>
            <w:tcW w:type="dxa" w:w="3389"/>
            <w:tcMar>
              <w:top w:w="90" w:type="dxa"/>
              <w:start w:w="90" w:type="dxa"/>
              <w:bottom w:w="90" w:type="dxa"/>
              <w:end w:w="90" w:type="dxa"/>
            </w:tcMar>
            <w:vAlign w:val="center"/>
          </w:tcPr>
          <w:p>
            <w:pPr>
              <w:spacing w:after="40"/>
            </w:pPr>
            <w:r>
              <w:rPr>
                <w:rFonts w:ascii="Aptos" w:hAnsi="Aptos"/>
                <w:sz w:val="17"/>
              </w:rPr>
              <w:t>Known improvements, defects, layout, walk-out, site, views, HOA/lifestyle</w:t>
            </w:r>
          </w:p>
        </w:tc>
        <w:tc>
          <w:tcPr>
            <w:tcW w:type="dxa" w:w="3389"/>
            <w:tcMar>
              <w:top w:w="90" w:type="dxa"/>
              <w:start w:w="90" w:type="dxa"/>
              <w:bottom w:w="90" w:type="dxa"/>
              <w:end w:w="90" w:type="dxa"/>
            </w:tcMar>
            <w:vAlign w:val="center"/>
          </w:tcPr>
          <w:p>
            <w:pPr>
              <w:spacing w:after="40"/>
            </w:pPr>
            <w:r>
              <w:rPr>
                <w:rFonts w:ascii="Aptos" w:hAnsi="Aptos"/>
                <w:sz w:val="17"/>
              </w:rPr>
              <w:t>Separate verified facts, field intelligence, and assumptions.</w:t>
            </w:r>
          </w:p>
        </w:tc>
      </w:tr>
    </w:tbl>
    <w:p>
      <w:pPr>
        <w:pStyle w:val="Heading2"/>
      </w:pPr>
      <w:r>
        <w:t>III-3 — Schema Discipline</w:t>
      </w:r>
    </w:p>
    <w:p>
      <w:r>
        <w:rPr>
          <w:b/>
        </w:rPr>
        <w:t xml:space="preserve">Definition. </w:t>
      </w:r>
      <w:r>
        <w:t>A source field and an analytical field are not the same thing.</w:t>
      </w:r>
    </w:p>
    <w:p>
      <w:r>
        <w:rPr>
          <w:b/>
        </w:rPr>
        <w:t xml:space="preserve">Directive. </w:t>
      </w:r>
      <w:r>
        <w:t>Preserve the exact source field name and value, then map it to a controlled analytical definition. Similar terms such as Above Grade Finished Area, Living Area, Total Finished Area, and Building Area Total shall not be treated as interchangeable.</w:t>
      </w:r>
    </w:p>
    <w:p>
      <w:pPr>
        <w:pStyle w:val="Heading2"/>
      </w:pPr>
      <w:r>
        <w:t>III-4 — Component Reconciliation</w:t>
      </w:r>
    </w:p>
    <w:p>
      <w:r>
        <w:rPr>
          <w:b/>
        </w:rPr>
        <w:t xml:space="preserve">Definition. </w:t>
      </w:r>
      <w:r>
        <w:t>Component reconciliation tests whether related fields mathematically and semantically agree.</w:t>
      </w:r>
    </w:p>
    <w:p>
      <w:r>
        <w:rPr>
          <w:b/>
        </w:rPr>
        <w:t xml:space="preserve">Directive. </w:t>
      </w:r>
      <w:r>
        <w:t>When possible, confirm that above-grade finished area plus finished below-grade area equals reported finished living area, and that finished plus unfinished below-grade area equals total below-grade area. A successful reconciliation strengthens confidence but does not by itself prove source accuracy.</w:t>
      </w:r>
    </w:p>
    <w:p>
      <w:pPr>
        <w:pStyle w:val="Heading1"/>
        <w:pageBreakBefore/>
        <w:pBdr>
          <w:top w:val="single" w:sz="10" w:space="4" w:color="1F4E79"/>
        </w:pBdr>
      </w:pPr>
      <w:r>
        <w:t>ARTICLE IV — Subject-Centered Valuation and Evidence Expansion</w:t>
      </w:r>
    </w:p>
    <w:p>
      <w:pPr>
        <w:pStyle w:val="Heading2"/>
      </w:pPr>
      <w:r>
        <w:t>IV-1 — The Subject Is the Center</w:t>
      </w:r>
    </w:p>
    <w:p>
      <w:r>
        <w:rPr>
          <w:b/>
        </w:rPr>
        <w:t xml:space="preserve">Definition. </w:t>
      </w:r>
      <w:r>
        <w:t>Comparable evidence is selected according to its ability to explain the market position of the subject.</w:t>
      </w:r>
    </w:p>
    <w:p>
      <w:r>
        <w:rPr>
          <w:b/>
        </w:rPr>
        <w:t xml:space="preserve">Directive. </w:t>
      </w:r>
      <w:r>
        <w:t>Do not select properties merely because they satisfy numerical thresholds or produce a desired price. Build the strongest reasonable body of evidence around the subject.</w:t>
      </w:r>
    </w:p>
    <w:p>
      <w:pPr>
        <w:pStyle w:val="Heading2"/>
      </w:pPr>
      <w:r>
        <w:t>IV-2 — Direct Evidence First</w:t>
      </w:r>
    </w:p>
    <w:p>
      <w:r>
        <w:rPr>
          <w:b/>
        </w:rPr>
        <w:t xml:space="preserve">Definition. </w:t>
      </w:r>
      <w:r>
        <w:t>Direct evidence controls the greatest number of material subject variables.</w:t>
      </w:r>
    </w:p>
    <w:p>
      <w:r>
        <w:rPr>
          <w:b/>
        </w:rPr>
        <w:t xml:space="preserve">Directive. </w:t>
      </w:r>
      <w:r>
        <w:t>Begin with the closest credible evidence in micro-market, likely buyer pool, property type/style, above-grade utility, association/lifestyle structure, condition, and effective time. A same-enclave sale may be highly relevant even when it requires a major adjustment for a visible difference.</w:t>
      </w:r>
    </w:p>
    <w:p>
      <w:pPr>
        <w:pStyle w:val="Heading2"/>
      </w:pPr>
      <w:r>
        <w:t>IV-3 — Evidence Expansion Sequence</w:t>
      </w:r>
    </w:p>
    <w:p>
      <w:r>
        <w:t>When sufficient direct evidence is unavailable, expand deliberately rather than abandoning the assignment or broadening until favorable sales appear. The preferred sequence is:</w:t>
      </w:r>
    </w:p>
    <w:p>
      <w:pPr>
        <w:ind w:left="346" w:hanging="259"/>
      </w:pPr>
      <w:r>
        <w:rPr>
          <w:b/>
        </w:rPr>
        <w:t xml:space="preserve">1. </w:t>
      </w:r>
      <w:r>
        <w:t>Same enclave, building, street, or immediate micro-market</w:t>
      </w:r>
    </w:p>
    <w:p>
      <w:pPr>
        <w:ind w:left="346" w:hanging="259"/>
      </w:pPr>
      <w:r>
        <w:rPr>
          <w:b/>
        </w:rPr>
        <w:t xml:space="preserve">2. </w:t>
      </w:r>
      <w:r>
        <w:t>Same subdivision or materially equivalent community</w:t>
      </w:r>
    </w:p>
    <w:p>
      <w:pPr>
        <w:ind w:left="346" w:hanging="259"/>
      </w:pPr>
      <w:r>
        <w:rPr>
          <w:b/>
        </w:rPr>
        <w:t xml:space="preserve">3. </w:t>
      </w:r>
      <w:r>
        <w:t>Nearby same-style and same-buyer-pool properties</w:t>
      </w:r>
    </w:p>
    <w:p>
      <w:pPr>
        <w:ind w:left="346" w:hanging="259"/>
      </w:pPr>
      <w:r>
        <w:rPr>
          <w:b/>
        </w:rPr>
        <w:t xml:space="preserve">4. </w:t>
      </w:r>
      <w:r>
        <w:t>Broader geographically competing same-style properties</w:t>
      </w:r>
    </w:p>
    <w:p>
      <w:pPr>
        <w:ind w:left="346" w:hanging="259"/>
      </w:pPr>
      <w:r>
        <w:rPr>
          <w:b/>
        </w:rPr>
        <w:t xml:space="preserve">5. </w:t>
      </w:r>
      <w:r>
        <w:t>Older highly relevant micro-market evidence with time qualification</w:t>
      </w:r>
    </w:p>
    <w:p>
      <w:pPr>
        <w:ind w:left="346" w:hanging="259"/>
      </w:pPr>
      <w:r>
        <w:rPr>
          <w:b/>
        </w:rPr>
        <w:t xml:space="preserve">6. </w:t>
      </w:r>
      <w:r>
        <w:t>Properties selected to isolate a specific value component</w:t>
      </w:r>
    </w:p>
    <w:p>
      <w:pPr>
        <w:ind w:left="346" w:hanging="259"/>
      </w:pPr>
      <w:r>
        <w:rPr>
          <w:b/>
        </w:rPr>
        <w:t xml:space="preserve">7. </w:t>
      </w:r>
      <w:r>
        <w:t>Current active, pending, withdrawn, expired, or failed evidence for competition and resistance</w:t>
      </w:r>
    </w:p>
    <w:p>
      <w:pPr>
        <w:pStyle w:val="Heading2"/>
      </w:pPr>
      <w:r>
        <w:t>IV-4 — Expansion Record</w:t>
      </w:r>
    </w:p>
    <w:p>
      <w:r>
        <w:rPr>
          <w:b/>
        </w:rPr>
        <w:t xml:space="preserve">Definition. </w:t>
      </w:r>
      <w:r>
        <w:t>Each expansion must explain what is preserved and what is relaxed.</w:t>
      </w:r>
    </w:p>
    <w:p>
      <w:r>
        <w:rPr>
          <w:b/>
        </w:rPr>
        <w:t xml:space="preserve">Directive. </w:t>
      </w:r>
      <w:r>
        <w:t>For every material expansion, record: the evidence layer; the characteristic preserved; the characteristic relaxed; the valuation question the evidence answers; and the limitation introduced.</w:t>
      </w:r>
    </w:p>
    <w:p>
      <w:pPr>
        <w:pStyle w:val="Heading2"/>
      </w:pPr>
      <w:r>
        <w:t>IV-5 — Evidence Bridge</w:t>
      </w:r>
    </w:p>
    <w:p>
      <w:r>
        <w:rPr>
          <w:b/>
        </w:rPr>
        <w:t xml:space="preserve">Definition. </w:t>
      </w:r>
      <w:r>
        <w:t>An evidence bridge connects a rare or poorly supported subject to the broader market.</w:t>
      </w:r>
    </w:p>
    <w:p>
      <w:r>
        <w:rPr>
          <w:b/>
        </w:rPr>
        <w:t xml:space="preserve">Directive. </w:t>
      </w:r>
      <w:r>
        <w:t>When no true direct comps exist, the Matrix shall combine evidence groups for different purposes rather than pretend all properties are equally comparable. Historical enclave evidence, current ranch evidence, basement utility evidence, condition boundaries, and current competition may each answer a different question.</w:t>
      </w:r>
    </w:p>
    <w:p>
      <w:pPr>
        <w:pStyle w:val="Heading1"/>
        <w:pageBreakBefore/>
        <w:pBdr>
          <w:top w:val="single" w:sz="10" w:space="4" w:color="1F4E79"/>
        </w:pBdr>
      </w:pPr>
      <w:r>
        <w:t>ARTICLE V — Comparable Relevance and Evidence Purpose</w:t>
      </w:r>
    </w:p>
    <w:p>
      <w:pPr>
        <w:pStyle w:val="Heading2"/>
      </w:pPr>
      <w:r>
        <w:t>V-1 — Comparable Definition</w:t>
      </w:r>
    </w:p>
    <w:p>
      <w:r>
        <w:rPr>
          <w:b/>
        </w:rPr>
        <w:t xml:space="preserve">Definition. </w:t>
      </w:r>
      <w:r>
        <w:t>A comparable is a property that provides credible market evidence because likely buyers could reasonably cross-shop it or because it helps isolate a material value component.</w:t>
      </w:r>
    </w:p>
    <w:p>
      <w:r>
        <w:rPr>
          <w:b/>
        </w:rPr>
        <w:t xml:space="preserve">Directive. </w:t>
      </w:r>
      <w:r>
        <w:t>A property need not be a perfect twin to be useful, but its purpose and limitation must be explicit.</w:t>
      </w:r>
    </w:p>
    <w:p>
      <w:pPr>
        <w:pStyle w:val="Heading2"/>
      </w:pPr>
      <w:r>
        <w:t>V-2 — Separate Relevance from Direction</w:t>
      </w:r>
    </w:p>
    <w:p>
      <w:r>
        <w:t>Comparable relevance and valuation direction are separate dimensions. A highly relevant sale may support the lower end, and a less direct property may provide useful upper-bound or component evidence.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40"/>
            </w:pPr>
            <w:r>
              <w:rPr>
                <w:rFonts w:ascii="Aptos" w:hAnsi="Aptos"/>
                <w:b/>
                <w:color w:val="FFFFFF"/>
                <w:sz w:val="17"/>
              </w:rPr>
              <w:t>Comparable Relevance</w:t>
            </w:r>
          </w:p>
        </w:tc>
        <w:tc>
          <w:tcPr>
            <w:tcW w:type="dxa" w:w="5083"/>
            <w:shd w:fill="1F4E79"/>
            <w:vAlign w:val="center"/>
          </w:tcPr>
          <w:p>
            <w:pPr>
              <w:spacing w:after="40"/>
            </w:pPr>
            <w:r>
              <w:rPr>
                <w:rFonts w:ascii="Aptos" w:hAnsi="Aptos"/>
                <w:b/>
                <w:color w:val="FFFFFF"/>
                <w:sz w:val="17"/>
              </w:rPr>
              <w:t>Evidence Role</w:t>
            </w:r>
          </w:p>
        </w:tc>
      </w:tr>
      <w:tr>
        <w:tc>
          <w:tcPr>
            <w:tcW w:type="dxa" w:w="5083"/>
            <w:tcMar>
              <w:top w:w="90" w:type="dxa"/>
              <w:start w:w="90" w:type="dxa"/>
              <w:bottom w:w="90" w:type="dxa"/>
              <w:end w:w="90" w:type="dxa"/>
            </w:tcMar>
            <w:vAlign w:val="center"/>
          </w:tcPr>
          <w:p>
            <w:pPr>
              <w:spacing w:after="40"/>
            </w:pPr>
            <w:r>
              <w:rPr>
                <w:rFonts w:ascii="Aptos" w:hAnsi="Aptos"/>
                <w:sz w:val="17"/>
              </w:rPr>
              <w:t>Primary</w:t>
              <w:br/>
              <w:t>Strong</w:t>
              <w:br/>
              <w:t>Secondary</w:t>
              <w:br/>
              <w:t>Context only</w:t>
            </w:r>
          </w:p>
        </w:tc>
        <w:tc>
          <w:tcPr>
            <w:tcW w:type="dxa" w:w="5083"/>
            <w:tcMar>
              <w:top w:w="90" w:type="dxa"/>
              <w:start w:w="90" w:type="dxa"/>
              <w:bottom w:w="90" w:type="dxa"/>
              <w:end w:w="90" w:type="dxa"/>
            </w:tcMar>
            <w:vAlign w:val="center"/>
          </w:tcPr>
          <w:p>
            <w:pPr>
              <w:spacing w:after="40"/>
            </w:pPr>
            <w:r>
              <w:rPr>
                <w:rFonts w:ascii="Aptos" w:hAnsi="Aptos"/>
                <w:sz w:val="17"/>
              </w:rPr>
              <w:t>Direct value anchor</w:t>
              <w:br/>
              <w:t>Lower support</w:t>
              <w:br/>
              <w:t>Center support</w:t>
              <w:br/>
              <w:t>Upper support</w:t>
              <w:br/>
              <w:t>Upper boundary</w:t>
              <w:br/>
              <w:t>Market acceptance</w:t>
              <w:br/>
              <w:t>Market resistance</w:t>
              <w:br/>
              <w:t>Component evidence</w:t>
              <w:br/>
              <w:t>Current competition</w:t>
              <w:br/>
              <w:t>Historical context</w:t>
            </w:r>
          </w:p>
        </w:tc>
      </w:tr>
    </w:tbl>
    <w:p>
      <w:pPr>
        <w:pStyle w:val="Heading2"/>
      </w:pPr>
      <w:r>
        <w:t>V-3 — Buyer Substitution</w:t>
      </w:r>
    </w:p>
    <w:p>
      <w:r>
        <w:rPr>
          <w:b/>
        </w:rPr>
        <w:t xml:space="preserve">Definition. </w:t>
      </w:r>
      <w:r>
        <w:t>Buyer substitution asks what properties the likely buyer would reasonably consider instead of the subject.</w:t>
      </w:r>
    </w:p>
    <w:p>
      <w:r>
        <w:rPr>
          <w:b/>
        </w:rPr>
        <w:t xml:space="preserve">Directive. </w:t>
      </w:r>
      <w:r>
        <w:t>Comp relevance shall consider micro-market, association/lifestyle, level/style, utility, age, condition, price lane, and buyer purpose—not only physical-score proximity.</w:t>
      </w:r>
    </w:p>
    <w:p>
      <w:pPr>
        <w:pStyle w:val="Heading2"/>
      </w:pPr>
      <w:r>
        <w:t>V-4 — Association and Community Comparability</w:t>
      </w:r>
    </w:p>
    <w:p>
      <w:r>
        <w:rPr>
          <w:b/>
        </w:rPr>
        <w:t xml:space="preserve">Definition. </w:t>
      </w:r>
      <w:r>
        <w:t>Association dues, included services, maintenance obligations, amenities, gate/street responsibility, and community structure may affect comparability and buyer substitution.</w:t>
      </w:r>
    </w:p>
    <w:p>
      <w:r>
        <w:rPr>
          <w:b/>
        </w:rPr>
        <w:t xml:space="preserve">Directive. </w:t>
      </w:r>
      <w:r>
        <w:t>Prefer evidence controlling material association variables when available. Do not automatically convert fee differences into a value adjustment. Tax or metro-district burden is outside the current required scope unless separately authorized.</w:t>
      </w:r>
    </w:p>
    <w:p>
      <w:pPr>
        <w:pStyle w:val="Heading2"/>
      </w:pPr>
      <w:r>
        <w:t>V-5 — Comp Rejection</w:t>
      </w:r>
    </w:p>
    <w:p>
      <w:r>
        <w:rPr>
          <w:b/>
        </w:rPr>
        <w:t xml:space="preserve">Definition. </w:t>
      </w:r>
      <w:r>
        <w:t>Rejecting a property requires a documented reason.</w:t>
      </w:r>
    </w:p>
    <w:p>
      <w:r>
        <w:rPr>
          <w:b/>
        </w:rPr>
        <w:t xml:space="preserve">Directive. </w:t>
      </w:r>
      <w:r>
        <w:t>Do not remove contrary evidence because it weakens the emerging range. A sale may remain as boundary, resistance, or component evidence even when it is not a primary comp.</w:t>
      </w:r>
    </w:p>
    <w:p>
      <w:pPr>
        <w:pStyle w:val="Heading1"/>
        <w:pageBreakBefore/>
        <w:pBdr>
          <w:top w:val="single" w:sz="10" w:space="4" w:color="1F4E79"/>
        </w:pBdr>
      </w:pPr>
      <w:r>
        <w:t>ARTICLE VI — Adjustment Doctrine and Provisional Standards</w:t>
      </w:r>
    </w:p>
    <w:p>
      <w:pPr>
        <w:pStyle w:val="Heading2"/>
      </w:pPr>
      <w:r>
        <w:t>VI-1 — Adjust the Comparable, Not the Subject</w:t>
      </w:r>
    </w:p>
    <w:p>
      <w:r>
        <w:rPr>
          <w:b/>
        </w:rPr>
        <w:t xml:space="preserve">Definition. </w:t>
      </w:r>
      <w:r>
        <w:t>The comparable sale is adjusted to reflect the subject.</w:t>
      </w:r>
    </w:p>
    <w:p>
      <w:r>
        <w:rPr>
          <w:b/>
        </w:rPr>
        <w:t xml:space="preserve">Directive. </w:t>
      </w:r>
      <w:r>
        <w:t>Every adjustment must state the subject value, comp value, difference, direction, rate or rationale, and resulting comp-side adjustment.</w:t>
      </w:r>
    </w:p>
    <w:p>
      <w:pPr>
        <w:pStyle w:val="Heading2"/>
      </w:pPr>
      <w:r>
        <w:t>VI-2 — Price per Square Foot Is Not an Adjustment Rate</w:t>
      </w:r>
    </w:p>
    <w:p>
      <w:pPr>
        <w:pStyle w:val="ConstitutionQuote"/>
      </w:pPr>
      <w:r>
        <w:t>Price per square foot spreads the value of the entire property across a selected area measurement. It includes the economic influence of land, location, garage, kitchen, baths, condition, basement, amenities, and the rest of the property. An adjustment rate attempts to isolate the contributory value of one difference between otherwise reasonably comparable properties.</w:t>
      </w:r>
    </w:p>
    <w:p>
      <w:r>
        <w:rPr>
          <w:b/>
        </w:rPr>
        <w:t xml:space="preserve">Definition. </w:t>
      </w:r>
      <w:r>
        <w:t>Average PSF is a descriptive ratio; an area adjustment is a contributory-value estimate.</w:t>
      </w:r>
    </w:p>
    <w:p>
      <w:r>
        <w:rPr>
          <w:b/>
        </w:rPr>
        <w:t xml:space="preserve">Directive. </w:t>
      </w:r>
      <w:r>
        <w:t>Never multiply the difference in area by the full reported property PSF as the adjustment. Above-grade and below-grade areas shall be analyzed separately.</w:t>
      </w:r>
    </w:p>
    <w:p>
      <w:pPr>
        <w:pStyle w:val="Heading2"/>
      </w:pPr>
      <w:r>
        <w:t>VI-3 — Current Provisional Area Rates</w:t>
      </w:r>
    </w:p>
    <w:p>
      <w:r>
        <w:t>Until replaced by an approved independent adjustment study, the following rates may be used as conservative operating references. They are not declared permanent market truths and must be disclosed as provisional when they materially control the conclusion.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F4E79"/>
            <w:vAlign w:val="center"/>
          </w:tcPr>
          <w:p>
            <w:pPr>
              <w:spacing w:after="40"/>
            </w:pPr>
            <w:r>
              <w:rPr>
                <w:rFonts w:ascii="Aptos" w:hAnsi="Aptos"/>
                <w:b/>
                <w:color w:val="FFFFFF"/>
                <w:sz w:val="17"/>
              </w:rPr>
              <w:t>Category</w:t>
            </w:r>
          </w:p>
        </w:tc>
        <w:tc>
          <w:tcPr>
            <w:tcW w:type="dxa" w:w="2541"/>
            <w:shd w:fill="1F4E79"/>
            <w:vAlign w:val="center"/>
          </w:tcPr>
          <w:p>
            <w:pPr>
              <w:spacing w:after="40"/>
            </w:pPr>
            <w:r>
              <w:rPr>
                <w:rFonts w:ascii="Aptos" w:hAnsi="Aptos"/>
                <w:b/>
                <w:color w:val="FFFFFF"/>
                <w:sz w:val="17"/>
              </w:rPr>
              <w:t>Provisional rate</w:t>
            </w:r>
          </w:p>
        </w:tc>
        <w:tc>
          <w:tcPr>
            <w:tcW w:type="dxa" w:w="2541"/>
            <w:shd w:fill="1F4E79"/>
            <w:vAlign w:val="center"/>
          </w:tcPr>
          <w:p>
            <w:pPr>
              <w:spacing w:after="40"/>
            </w:pPr>
            <w:r>
              <w:rPr>
                <w:rFonts w:ascii="Aptos" w:hAnsi="Aptos"/>
                <w:b/>
                <w:color w:val="FFFFFF"/>
                <w:sz w:val="17"/>
              </w:rPr>
              <w:t>Use</w:t>
            </w:r>
          </w:p>
        </w:tc>
        <w:tc>
          <w:tcPr>
            <w:tcW w:type="dxa" w:w="2541"/>
            <w:shd w:fill="1F4E79"/>
            <w:vAlign w:val="center"/>
          </w:tcPr>
          <w:p>
            <w:pPr>
              <w:spacing w:after="40"/>
            </w:pPr>
            <w:r>
              <w:rPr>
                <w:rFonts w:ascii="Aptos" w:hAnsi="Aptos"/>
                <w:b/>
                <w:color w:val="FFFFFF"/>
                <w:sz w:val="17"/>
              </w:rPr>
              <w:t>Required caution</w:t>
            </w:r>
          </w:p>
        </w:tc>
      </w:tr>
      <w:tr>
        <w:tc>
          <w:tcPr>
            <w:tcW w:type="dxa" w:w="2541"/>
            <w:tcMar>
              <w:top w:w="90" w:type="dxa"/>
              <w:start w:w="90" w:type="dxa"/>
              <w:bottom w:w="90" w:type="dxa"/>
              <w:end w:w="90" w:type="dxa"/>
            </w:tcMar>
            <w:vAlign w:val="center"/>
          </w:tcPr>
          <w:p>
            <w:pPr>
              <w:spacing w:after="40"/>
            </w:pPr>
            <w:r>
              <w:rPr>
                <w:rFonts w:ascii="Aptos" w:hAnsi="Aptos"/>
                <w:sz w:val="17"/>
              </w:rPr>
              <w:t>Above Grade Finished Area</w:t>
            </w:r>
          </w:p>
        </w:tc>
        <w:tc>
          <w:tcPr>
            <w:tcW w:type="dxa" w:w="2541"/>
            <w:tcMar>
              <w:top w:w="90" w:type="dxa"/>
              <w:start w:w="90" w:type="dxa"/>
              <w:bottom w:w="90" w:type="dxa"/>
              <w:end w:w="90" w:type="dxa"/>
            </w:tcMar>
            <w:vAlign w:val="center"/>
          </w:tcPr>
          <w:p>
            <w:pPr>
              <w:spacing w:after="40"/>
            </w:pPr>
            <w:r>
              <w:rPr>
                <w:rFonts w:ascii="Aptos" w:hAnsi="Aptos"/>
                <w:sz w:val="17"/>
              </w:rPr>
              <w:t>$40 per SF</w:t>
            </w:r>
          </w:p>
        </w:tc>
        <w:tc>
          <w:tcPr>
            <w:tcW w:type="dxa" w:w="2541"/>
            <w:tcMar>
              <w:top w:w="90" w:type="dxa"/>
              <w:start w:w="90" w:type="dxa"/>
              <w:bottom w:w="90" w:type="dxa"/>
              <w:end w:w="90" w:type="dxa"/>
            </w:tcMar>
            <w:vAlign w:val="center"/>
          </w:tcPr>
          <w:p>
            <w:pPr>
              <w:spacing w:after="40"/>
            </w:pPr>
            <w:r>
              <w:rPr>
                <w:rFonts w:ascii="Aptos" w:hAnsi="Aptos"/>
                <w:sz w:val="17"/>
              </w:rPr>
              <w:t>Primary size adjustment</w:t>
            </w:r>
          </w:p>
        </w:tc>
        <w:tc>
          <w:tcPr>
            <w:tcW w:type="dxa" w:w="2541"/>
            <w:tcMar>
              <w:top w:w="90" w:type="dxa"/>
              <w:start w:w="90" w:type="dxa"/>
              <w:bottom w:w="90" w:type="dxa"/>
              <w:end w:w="90" w:type="dxa"/>
            </w:tcMar>
            <w:vAlign w:val="center"/>
          </w:tcPr>
          <w:p>
            <w:pPr>
              <w:spacing w:after="40"/>
            </w:pPr>
            <w:r>
              <w:rPr>
                <w:rFonts w:ascii="Aptos" w:hAnsi="Aptos"/>
                <w:sz w:val="17"/>
              </w:rPr>
              <w:t>Flag when current evidence suggests the rate materially understates or overstates contribution.</w:t>
            </w:r>
          </w:p>
        </w:tc>
      </w:tr>
      <w:tr>
        <w:tc>
          <w:tcPr>
            <w:tcW w:type="dxa" w:w="2541"/>
            <w:tcMar>
              <w:top w:w="90" w:type="dxa"/>
              <w:start w:w="90" w:type="dxa"/>
              <w:bottom w:w="90" w:type="dxa"/>
              <w:end w:w="90" w:type="dxa"/>
            </w:tcMar>
            <w:vAlign w:val="center"/>
          </w:tcPr>
          <w:p>
            <w:pPr>
              <w:spacing w:after="40"/>
            </w:pPr>
            <w:r>
              <w:rPr>
                <w:rFonts w:ascii="Aptos" w:hAnsi="Aptos"/>
                <w:sz w:val="17"/>
              </w:rPr>
              <w:t>Finished Below-Grade Area</w:t>
            </w:r>
          </w:p>
        </w:tc>
        <w:tc>
          <w:tcPr>
            <w:tcW w:type="dxa" w:w="2541"/>
            <w:tcMar>
              <w:top w:w="90" w:type="dxa"/>
              <w:start w:w="90" w:type="dxa"/>
              <w:bottom w:w="90" w:type="dxa"/>
              <w:end w:w="90" w:type="dxa"/>
            </w:tcMar>
            <w:vAlign w:val="center"/>
          </w:tcPr>
          <w:p>
            <w:pPr>
              <w:spacing w:after="40"/>
            </w:pPr>
            <w:r>
              <w:rPr>
                <w:rFonts w:ascii="Aptos" w:hAnsi="Aptos"/>
                <w:sz w:val="17"/>
              </w:rPr>
              <w:t>$20 per SF</w:t>
            </w:r>
          </w:p>
        </w:tc>
        <w:tc>
          <w:tcPr>
            <w:tcW w:type="dxa" w:w="2541"/>
            <w:tcMar>
              <w:top w:w="90" w:type="dxa"/>
              <w:start w:w="90" w:type="dxa"/>
              <w:bottom w:w="90" w:type="dxa"/>
              <w:end w:w="90" w:type="dxa"/>
            </w:tcMar>
            <w:vAlign w:val="center"/>
          </w:tcPr>
          <w:p>
            <w:pPr>
              <w:spacing w:after="40"/>
            </w:pPr>
            <w:r>
              <w:rPr>
                <w:rFonts w:ascii="Aptos" w:hAnsi="Aptos"/>
                <w:sz w:val="17"/>
              </w:rPr>
              <w:t>Separate below-grade contribution</w:t>
            </w:r>
          </w:p>
        </w:tc>
        <w:tc>
          <w:tcPr>
            <w:tcW w:type="dxa" w:w="2541"/>
            <w:tcMar>
              <w:top w:w="90" w:type="dxa"/>
              <w:start w:w="90" w:type="dxa"/>
              <w:bottom w:w="90" w:type="dxa"/>
              <w:end w:w="90" w:type="dxa"/>
            </w:tcMar>
            <w:vAlign w:val="center"/>
          </w:tcPr>
          <w:p>
            <w:pPr>
              <w:spacing w:after="40"/>
            </w:pPr>
            <w:r>
              <w:rPr>
                <w:rFonts w:ascii="Aptos" w:hAnsi="Aptos"/>
                <w:sz w:val="17"/>
              </w:rPr>
              <w:t>Consider finish quality, utility, light, egress, walk-out, and overlap with other basement features.</w:t>
            </w:r>
          </w:p>
        </w:tc>
      </w:tr>
      <w:tr>
        <w:tc>
          <w:tcPr>
            <w:tcW w:type="dxa" w:w="2541"/>
            <w:tcMar>
              <w:top w:w="90" w:type="dxa"/>
              <w:start w:w="90" w:type="dxa"/>
              <w:bottom w:w="90" w:type="dxa"/>
              <w:end w:w="90" w:type="dxa"/>
            </w:tcMar>
            <w:vAlign w:val="center"/>
          </w:tcPr>
          <w:p>
            <w:pPr>
              <w:spacing w:after="40"/>
            </w:pPr>
            <w:r>
              <w:rPr>
                <w:rFonts w:ascii="Aptos" w:hAnsi="Aptos"/>
                <w:sz w:val="17"/>
              </w:rPr>
              <w:t>Unfinished Below-Grade Area</w:t>
            </w:r>
          </w:p>
        </w:tc>
        <w:tc>
          <w:tcPr>
            <w:tcW w:type="dxa" w:w="2541"/>
            <w:tcMar>
              <w:top w:w="90" w:type="dxa"/>
              <w:start w:w="90" w:type="dxa"/>
              <w:bottom w:w="90" w:type="dxa"/>
              <w:end w:w="90" w:type="dxa"/>
            </w:tcMar>
            <w:vAlign w:val="center"/>
          </w:tcPr>
          <w:p>
            <w:pPr>
              <w:spacing w:after="40"/>
            </w:pPr>
            <w:r>
              <w:rPr>
                <w:rFonts w:ascii="Aptos" w:hAnsi="Aptos"/>
                <w:sz w:val="17"/>
              </w:rPr>
              <w:t>$5 per SF</w:t>
            </w:r>
          </w:p>
        </w:tc>
        <w:tc>
          <w:tcPr>
            <w:tcW w:type="dxa" w:w="2541"/>
            <w:tcMar>
              <w:top w:w="90" w:type="dxa"/>
              <w:start w:w="90" w:type="dxa"/>
              <w:bottom w:w="90" w:type="dxa"/>
              <w:end w:w="90" w:type="dxa"/>
            </w:tcMar>
            <w:vAlign w:val="center"/>
          </w:tcPr>
          <w:p>
            <w:pPr>
              <w:spacing w:after="40"/>
            </w:pPr>
            <w:r>
              <w:rPr>
                <w:rFonts w:ascii="Aptos" w:hAnsi="Aptos"/>
                <w:sz w:val="17"/>
              </w:rPr>
              <w:t>Limited storage/future utility</w:t>
            </w:r>
          </w:p>
        </w:tc>
        <w:tc>
          <w:tcPr>
            <w:tcW w:type="dxa" w:w="2541"/>
            <w:tcMar>
              <w:top w:w="90" w:type="dxa"/>
              <w:start w:w="90" w:type="dxa"/>
              <w:bottom w:w="90" w:type="dxa"/>
              <w:end w:w="90" w:type="dxa"/>
            </w:tcMar>
            <w:vAlign w:val="center"/>
          </w:tcPr>
          <w:p>
            <w:pPr>
              <w:spacing w:after="40"/>
            </w:pPr>
            <w:r>
              <w:rPr>
                <w:rFonts w:ascii="Aptos" w:hAnsi="Aptos"/>
                <w:sz w:val="17"/>
              </w:rPr>
              <w:t>Do not treat unfinished area as finished living area.</w:t>
            </w:r>
          </w:p>
        </w:tc>
      </w:tr>
      <w:tr>
        <w:tc>
          <w:tcPr>
            <w:tcW w:type="dxa" w:w="2541"/>
            <w:tcMar>
              <w:top w:w="90" w:type="dxa"/>
              <w:start w:w="90" w:type="dxa"/>
              <w:bottom w:w="90" w:type="dxa"/>
              <w:end w:w="90" w:type="dxa"/>
            </w:tcMar>
            <w:vAlign w:val="center"/>
          </w:tcPr>
          <w:p>
            <w:pPr>
              <w:spacing w:after="40"/>
            </w:pPr>
            <w:r>
              <w:rPr>
                <w:rFonts w:ascii="Aptos" w:hAnsi="Aptos"/>
                <w:sz w:val="17"/>
              </w:rPr>
              <w:t>Time</w:t>
            </w:r>
          </w:p>
        </w:tc>
        <w:tc>
          <w:tcPr>
            <w:tcW w:type="dxa" w:w="2541"/>
            <w:tcMar>
              <w:top w:w="90" w:type="dxa"/>
              <w:start w:w="90" w:type="dxa"/>
              <w:bottom w:w="90" w:type="dxa"/>
              <w:end w:w="90" w:type="dxa"/>
            </w:tcMar>
            <w:vAlign w:val="center"/>
          </w:tcPr>
          <w:p>
            <w:pPr>
              <w:spacing w:after="40"/>
            </w:pPr>
            <w:r>
              <w:rPr>
                <w:rFonts w:ascii="Aptos" w:hAnsi="Aptos"/>
                <w:sz w:val="17"/>
              </w:rPr>
              <w:t>Assignment-specific</w:t>
            </w:r>
          </w:p>
        </w:tc>
        <w:tc>
          <w:tcPr>
            <w:tcW w:type="dxa" w:w="2541"/>
            <w:tcMar>
              <w:top w:w="90" w:type="dxa"/>
              <w:start w:w="90" w:type="dxa"/>
              <w:bottom w:w="90" w:type="dxa"/>
              <w:end w:w="90" w:type="dxa"/>
            </w:tcMar>
            <w:vAlign w:val="center"/>
          </w:tcPr>
          <w:p>
            <w:pPr>
              <w:spacing w:after="40"/>
            </w:pPr>
            <w:r>
              <w:rPr>
                <w:rFonts w:ascii="Aptos" w:hAnsi="Aptos"/>
                <w:sz w:val="17"/>
              </w:rPr>
              <w:t>Apply only when current market evidence supports a measurable time trend</w:t>
            </w:r>
          </w:p>
        </w:tc>
        <w:tc>
          <w:tcPr>
            <w:tcW w:type="dxa" w:w="2541"/>
            <w:tcMar>
              <w:top w:w="90" w:type="dxa"/>
              <w:start w:w="90" w:type="dxa"/>
              <w:bottom w:w="90" w:type="dxa"/>
              <w:end w:w="90" w:type="dxa"/>
            </w:tcMar>
            <w:vAlign w:val="center"/>
          </w:tcPr>
          <w:p>
            <w:pPr>
              <w:spacing w:after="40"/>
            </w:pPr>
            <w:r>
              <w:rPr>
                <w:rFonts w:ascii="Aptos" w:hAnsi="Aptos"/>
                <w:sz w:val="17"/>
              </w:rPr>
              <w:t>Use current 1004MC or other defensible market-time evidence; avoid blanket changes.</w:t>
            </w:r>
          </w:p>
        </w:tc>
      </w:tr>
      <w:tr>
        <w:tc>
          <w:tcPr>
            <w:tcW w:type="dxa" w:w="2541"/>
            <w:tcMar>
              <w:top w:w="90" w:type="dxa"/>
              <w:start w:w="90" w:type="dxa"/>
              <w:bottom w:w="90" w:type="dxa"/>
              <w:end w:w="90" w:type="dxa"/>
            </w:tcMar>
            <w:vAlign w:val="center"/>
          </w:tcPr>
          <w:p>
            <w:pPr>
              <w:spacing w:after="40"/>
            </w:pPr>
            <w:r>
              <w:rPr>
                <w:rFonts w:ascii="Aptos" w:hAnsi="Aptos"/>
                <w:sz w:val="17"/>
              </w:rPr>
              <w:t>Concessions</w:t>
            </w:r>
          </w:p>
        </w:tc>
        <w:tc>
          <w:tcPr>
            <w:tcW w:type="dxa" w:w="2541"/>
            <w:tcMar>
              <w:top w:w="90" w:type="dxa"/>
              <w:start w:w="90" w:type="dxa"/>
              <w:bottom w:w="90" w:type="dxa"/>
              <w:end w:w="90" w:type="dxa"/>
            </w:tcMar>
            <w:vAlign w:val="center"/>
          </w:tcPr>
          <w:p>
            <w:pPr>
              <w:spacing w:after="40"/>
            </w:pPr>
            <w:r>
              <w:rPr>
                <w:rFonts w:ascii="Aptos" w:hAnsi="Aptos"/>
                <w:sz w:val="17"/>
              </w:rPr>
              <w:t>Net-price analysis</w:t>
            </w:r>
          </w:p>
        </w:tc>
        <w:tc>
          <w:tcPr>
            <w:tcW w:type="dxa" w:w="2541"/>
            <w:tcMar>
              <w:top w:w="90" w:type="dxa"/>
              <w:start w:w="90" w:type="dxa"/>
              <w:bottom w:w="90" w:type="dxa"/>
              <w:end w:w="90" w:type="dxa"/>
            </w:tcMar>
            <w:vAlign w:val="center"/>
          </w:tcPr>
          <w:p>
            <w:pPr>
              <w:spacing w:after="40"/>
            </w:pPr>
            <w:r>
              <w:rPr>
                <w:rFonts w:ascii="Aptos" w:hAnsi="Aptos"/>
                <w:sz w:val="17"/>
              </w:rPr>
              <w:t>Begin with Close Price less verified concessions when appropriate</w:t>
            </w:r>
          </w:p>
        </w:tc>
        <w:tc>
          <w:tcPr>
            <w:tcW w:type="dxa" w:w="2541"/>
            <w:tcMar>
              <w:top w:w="90" w:type="dxa"/>
              <w:start w:w="90" w:type="dxa"/>
              <w:bottom w:w="90" w:type="dxa"/>
              <w:end w:w="90" w:type="dxa"/>
            </w:tcMar>
            <w:vAlign w:val="center"/>
          </w:tcPr>
          <w:p>
            <w:pPr>
              <w:spacing w:after="40"/>
            </w:pPr>
            <w:r>
              <w:rPr>
                <w:rFonts w:ascii="Aptos" w:hAnsi="Aptos"/>
                <w:sz w:val="17"/>
              </w:rPr>
              <w:t>Preserve gross close price and analyze whether concessions affected price; do not assume all concessions are dollar-for-dollar value loss.</w:t>
            </w:r>
          </w:p>
        </w:tc>
      </w:tr>
    </w:tbl>
    <w:p>
      <w:pPr>
        <w:pStyle w:val="Heading2"/>
      </w:pPr>
      <w:r>
        <w:t>VI-4 — Non-Area Adjustments</w:t>
      </w:r>
    </w:p>
    <w:p>
      <w:r>
        <w:rPr>
          <w:b/>
        </w:rPr>
        <w:t xml:space="preserve">Definition. </w:t>
      </w:r>
      <w:r>
        <w:t>Garage, condition, quality, site, view, walk-out, layout, HOA, bedrooms, baths, and upgrades may be material but shall not receive invented automatic numbers.</w:t>
      </w:r>
    </w:p>
    <w:p>
      <w:r>
        <w:rPr>
          <w:b/>
        </w:rPr>
        <w:t xml:space="preserve">Directive. </w:t>
      </w:r>
      <w:r>
        <w:t>Quantify only when current market support or an approved reference standard exists. Otherwise classify the effect as directional, use it in comp weighting or range qualification, and carry it to the review notes.</w:t>
      </w:r>
    </w:p>
    <w:p>
      <w:pPr>
        <w:pStyle w:val="Heading2"/>
      </w:pPr>
      <w:r>
        <w:t>VI-5 — Cost versus Contribution</w:t>
      </w:r>
    </w:p>
    <w:p>
      <w:r>
        <w:rPr>
          <w:b/>
        </w:rPr>
        <w:t xml:space="preserve">Definition. </w:t>
      </w:r>
      <w:r>
        <w:t>The cost of an improvement is not automatically its market contribution.</w:t>
      </w:r>
    </w:p>
    <w:p>
      <w:r>
        <w:rPr>
          <w:b/>
        </w:rPr>
        <w:t xml:space="preserve">Directive. </w:t>
      </w:r>
      <w:r>
        <w:t>Receipts may document quality or recency, but the adjustment must reflect buyer-perceived market contribution and remaining utility, not reimbursement of cost.</w:t>
      </w:r>
    </w:p>
    <w:p>
      <w:pPr>
        <w:pStyle w:val="Heading2"/>
      </w:pPr>
      <w:r>
        <w:t>VI-6 — Double Counting</w:t>
      </w:r>
    </w:p>
    <w:p>
      <w:r>
        <w:rPr>
          <w:b/>
        </w:rPr>
        <w:t xml:space="preserve">Definition. </w:t>
      </w:r>
      <w:r>
        <w:t>The same buyer benefit or penalty shall not be recognized twice.</w:t>
      </w:r>
    </w:p>
    <w:p>
      <w:r>
        <w:rPr>
          <w:b/>
        </w:rPr>
        <w:t xml:space="preserve">Directive. </w:t>
      </w:r>
      <w:r>
        <w:t>Review overlap among condition, remodeled kitchen/baths, finished basement, walk-out, basement bedrooms/baths, kitchenette, view, site, and buyer utility before adding separate adjustments.</w:t>
      </w:r>
    </w:p>
    <w:p>
      <w:pPr>
        <w:pStyle w:val="Heading2"/>
      </w:pPr>
      <w:r>
        <w:t>VI-7 — Adjustment Guardrail</w:t>
      </w:r>
    </w:p>
    <w:p>
      <w:r>
        <w:rPr>
          <w:b/>
        </w:rPr>
        <w:t xml:space="preserve">Definition. </w:t>
      </w:r>
      <w:r>
        <w:t>Large aggregate adjustments reduce confidence in direct comparability.</w:t>
      </w:r>
    </w:p>
    <w:p>
      <w:r>
        <w:rPr>
          <w:b/>
        </w:rPr>
        <w:t xml:space="preserve">Directive. </w:t>
      </w:r>
      <w:r>
        <w:t>When total net or gross adjustments become material, disclose the level, reduce comp control as appropriate, and consider whether the property is better used as component, boundary, or contextual evidence. Do not apply a rigid percentage without regard to the assignment.</w:t>
      </w:r>
    </w:p>
    <w:p>
      <w:pPr>
        <w:pStyle w:val="Heading1"/>
        <w:pageBreakBefore/>
        <w:pBdr>
          <w:top w:val="single" w:sz="10" w:space="4" w:color="1F4E79"/>
        </w:pBdr>
      </w:pPr>
      <w:r>
        <w:t>ARTICLE VII — Public Remarks, Broker Remarks, and Field Intelligence</w:t>
      </w:r>
    </w:p>
    <w:p>
      <w:pPr>
        <w:pStyle w:val="Heading2"/>
      </w:pPr>
      <w:r>
        <w:t>VII-1 — Mandatory Remarks Review</w:t>
      </w:r>
    </w:p>
    <w:p>
      <w:r>
        <w:rPr>
          <w:b/>
        </w:rPr>
        <w:t xml:space="preserve">Definition. </w:t>
      </w:r>
      <w:r>
        <w:t>Structured MLS fields do not capture every material fact.</w:t>
      </w:r>
    </w:p>
    <w:p>
      <w:r>
        <w:rPr>
          <w:b/>
        </w:rPr>
        <w:t xml:space="preserve">Directive. </w:t>
      </w:r>
      <w:r>
        <w:t>Review Public Remarks and Broker/Private Remarks for updates, remodeling, condition, defects, functional utility, unusual features, concessions, incentives, relisting, back-on-market history, access restrictions, financing issues, market resistance, and facts not carried in standard fields.</w:t>
      </w:r>
    </w:p>
    <w:p>
      <w:pPr>
        <w:pStyle w:val="Heading2"/>
      </w:pPr>
      <w:r>
        <w:t>VII-2 — Remarks Classification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40"/>
            </w:pPr>
            <w:r>
              <w:rPr>
                <w:rFonts w:ascii="Aptos" w:hAnsi="Aptos"/>
                <w:b/>
                <w:color w:val="FFFFFF"/>
                <w:sz w:val="17"/>
              </w:rPr>
              <w:t>Classification</w:t>
            </w:r>
          </w:p>
        </w:tc>
        <w:tc>
          <w:tcPr>
            <w:tcW w:type="dxa" w:w="5083"/>
            <w:shd w:fill="1F4E79"/>
            <w:vAlign w:val="center"/>
          </w:tcPr>
          <w:p>
            <w:pPr>
              <w:spacing w:after="40"/>
            </w:pPr>
            <w:r>
              <w:rPr>
                <w:rFonts w:ascii="Aptos" w:hAnsi="Aptos"/>
                <w:b/>
                <w:color w:val="FFFFFF"/>
                <w:sz w:val="17"/>
              </w:rPr>
              <w:t>Treatment</w:t>
            </w:r>
          </w:p>
        </w:tc>
      </w:tr>
      <w:tr>
        <w:tc>
          <w:tcPr>
            <w:tcW w:type="dxa" w:w="5083"/>
            <w:tcMar>
              <w:top w:w="90" w:type="dxa"/>
              <w:start w:w="90" w:type="dxa"/>
              <w:bottom w:w="90" w:type="dxa"/>
              <w:end w:w="90" w:type="dxa"/>
            </w:tcMar>
            <w:vAlign w:val="center"/>
          </w:tcPr>
          <w:p>
            <w:pPr>
              <w:spacing w:after="40"/>
            </w:pPr>
            <w:r>
              <w:rPr>
                <w:rFonts w:ascii="Aptos" w:hAnsi="Aptos"/>
                <w:sz w:val="17"/>
              </w:rPr>
              <w:t>Factual</w:t>
            </w:r>
          </w:p>
        </w:tc>
        <w:tc>
          <w:tcPr>
            <w:tcW w:type="dxa" w:w="5083"/>
            <w:tcMar>
              <w:top w:w="90" w:type="dxa"/>
              <w:start w:w="90" w:type="dxa"/>
              <w:bottom w:w="90" w:type="dxa"/>
              <w:end w:w="90" w:type="dxa"/>
            </w:tcMar>
            <w:vAlign w:val="center"/>
          </w:tcPr>
          <w:p>
            <w:pPr>
              <w:spacing w:after="40"/>
            </w:pPr>
            <w:r>
              <w:rPr>
                <w:rFonts w:ascii="Aptos" w:hAnsi="Aptos"/>
                <w:sz w:val="17"/>
              </w:rPr>
              <w:t>Directly stated and consistent with other evidence; may inform analysis.</w:t>
            </w:r>
          </w:p>
        </w:tc>
      </w:tr>
      <w:tr>
        <w:tc>
          <w:tcPr>
            <w:tcW w:type="dxa" w:w="5083"/>
            <w:tcMar>
              <w:top w:w="90" w:type="dxa"/>
              <w:start w:w="90" w:type="dxa"/>
              <w:bottom w:w="90" w:type="dxa"/>
              <w:end w:w="90" w:type="dxa"/>
            </w:tcMar>
            <w:vAlign w:val="center"/>
          </w:tcPr>
          <w:p>
            <w:pPr>
              <w:spacing w:after="40"/>
            </w:pPr>
            <w:r>
              <w:rPr>
                <w:rFonts w:ascii="Aptos" w:hAnsi="Aptos"/>
                <w:sz w:val="17"/>
              </w:rPr>
              <w:t>Promotional</w:t>
            </w:r>
          </w:p>
        </w:tc>
        <w:tc>
          <w:tcPr>
            <w:tcW w:type="dxa" w:w="5083"/>
            <w:tcMar>
              <w:top w:w="90" w:type="dxa"/>
              <w:start w:w="90" w:type="dxa"/>
              <w:bottom w:w="90" w:type="dxa"/>
              <w:end w:w="90" w:type="dxa"/>
            </w:tcMar>
            <w:vAlign w:val="center"/>
          </w:tcPr>
          <w:p>
            <w:pPr>
              <w:spacing w:after="40"/>
            </w:pPr>
            <w:r>
              <w:rPr>
                <w:rFonts w:ascii="Aptos" w:hAnsi="Aptos"/>
                <w:sz w:val="17"/>
              </w:rPr>
              <w:t>Marketing language; use as a review trigger, not proof.</w:t>
            </w:r>
          </w:p>
        </w:tc>
      </w:tr>
      <w:tr>
        <w:tc>
          <w:tcPr>
            <w:tcW w:type="dxa" w:w="5083"/>
            <w:tcMar>
              <w:top w:w="90" w:type="dxa"/>
              <w:start w:w="90" w:type="dxa"/>
              <w:bottom w:w="90" w:type="dxa"/>
              <w:end w:w="90" w:type="dxa"/>
            </w:tcMar>
            <w:vAlign w:val="center"/>
          </w:tcPr>
          <w:p>
            <w:pPr>
              <w:spacing w:after="40"/>
            </w:pPr>
            <w:r>
              <w:rPr>
                <w:rFonts w:ascii="Aptos" w:hAnsi="Aptos"/>
                <w:sz w:val="17"/>
              </w:rPr>
              <w:t>Inferential</w:t>
            </w:r>
          </w:p>
        </w:tc>
        <w:tc>
          <w:tcPr>
            <w:tcW w:type="dxa" w:w="5083"/>
            <w:tcMar>
              <w:top w:w="90" w:type="dxa"/>
              <w:start w:w="90" w:type="dxa"/>
              <w:bottom w:w="90" w:type="dxa"/>
              <w:end w:w="90" w:type="dxa"/>
            </w:tcMar>
            <w:vAlign w:val="center"/>
          </w:tcPr>
          <w:p>
            <w:pPr>
              <w:spacing w:after="40"/>
            </w:pPr>
            <w:r>
              <w:rPr>
                <w:rFonts w:ascii="Aptos" w:hAnsi="Aptos"/>
                <w:sz w:val="17"/>
              </w:rPr>
              <w:t>Supports a reasonable interpretation but is not directly verified.</w:t>
            </w:r>
          </w:p>
        </w:tc>
      </w:tr>
      <w:tr>
        <w:tc>
          <w:tcPr>
            <w:tcW w:type="dxa" w:w="5083"/>
            <w:tcMar>
              <w:top w:w="90" w:type="dxa"/>
              <w:start w:w="90" w:type="dxa"/>
              <w:bottom w:w="90" w:type="dxa"/>
              <w:end w:w="90" w:type="dxa"/>
            </w:tcMar>
            <w:vAlign w:val="center"/>
          </w:tcPr>
          <w:p>
            <w:pPr>
              <w:spacing w:after="40"/>
            </w:pPr>
            <w:r>
              <w:rPr>
                <w:rFonts w:ascii="Aptos" w:hAnsi="Aptos"/>
                <w:sz w:val="17"/>
              </w:rPr>
              <w:t>Contradictory</w:t>
            </w:r>
          </w:p>
        </w:tc>
        <w:tc>
          <w:tcPr>
            <w:tcW w:type="dxa" w:w="5083"/>
            <w:tcMar>
              <w:top w:w="90" w:type="dxa"/>
              <w:start w:w="90" w:type="dxa"/>
              <w:bottom w:w="90" w:type="dxa"/>
              <w:end w:w="90" w:type="dxa"/>
            </w:tcMar>
            <w:vAlign w:val="center"/>
          </w:tcPr>
          <w:p>
            <w:pPr>
              <w:spacing w:after="40"/>
            </w:pPr>
            <w:r>
              <w:rPr>
                <w:rFonts w:ascii="Aptos" w:hAnsi="Aptos"/>
                <w:sz w:val="17"/>
              </w:rPr>
              <w:t>Conflicts with a structured field or another source; requires resolution.</w:t>
            </w:r>
          </w:p>
        </w:tc>
      </w:tr>
      <w:tr>
        <w:tc>
          <w:tcPr>
            <w:tcW w:type="dxa" w:w="5083"/>
            <w:tcMar>
              <w:top w:w="90" w:type="dxa"/>
              <w:start w:w="90" w:type="dxa"/>
              <w:bottom w:w="90" w:type="dxa"/>
              <w:end w:w="90" w:type="dxa"/>
            </w:tcMar>
            <w:vAlign w:val="center"/>
          </w:tcPr>
          <w:p>
            <w:pPr>
              <w:spacing w:after="40"/>
            </w:pPr>
            <w:r>
              <w:rPr>
                <w:rFonts w:ascii="Aptos" w:hAnsi="Aptos"/>
                <w:sz w:val="17"/>
              </w:rPr>
              <w:t>Verification required</w:t>
            </w:r>
          </w:p>
        </w:tc>
        <w:tc>
          <w:tcPr>
            <w:tcW w:type="dxa" w:w="5083"/>
            <w:tcMar>
              <w:top w:w="90" w:type="dxa"/>
              <w:start w:w="90" w:type="dxa"/>
              <w:bottom w:w="90" w:type="dxa"/>
              <w:end w:w="90" w:type="dxa"/>
            </w:tcMar>
            <w:vAlign w:val="center"/>
          </w:tcPr>
          <w:p>
            <w:pPr>
              <w:spacing w:after="40"/>
            </w:pPr>
            <w:r>
              <w:rPr>
                <w:rFonts w:ascii="Aptos" w:hAnsi="Aptos"/>
                <w:sz w:val="17"/>
              </w:rPr>
              <w:t>Potentially material but not sufficiently supported for final treatment.</w:t>
            </w:r>
          </w:p>
        </w:tc>
      </w:tr>
    </w:tbl>
    <w:p>
      <w:pPr>
        <w:pStyle w:val="Heading2"/>
      </w:pPr>
      <w:r>
        <w:t>VII-3 — Observation, Inference, Judgment</w:t>
      </w:r>
    </w:p>
    <w:p>
      <w:r>
        <w:rPr>
          <w:b/>
        </w:rPr>
        <w:t xml:space="preserve">Definition. </w:t>
      </w:r>
      <w:r>
        <w:t>Observation is source-supported; inference is reasoned from facts; judgment is the professional conclusion drawn from the evidence.</w:t>
      </w:r>
    </w:p>
    <w:p>
      <w:r>
        <w:rPr>
          <w:b/>
        </w:rPr>
        <w:t xml:space="preserve">Directive. </w:t>
      </w:r>
      <w:r>
        <w:t>Label each correctly. An inference reached earlier in the report shall not later be treated as a verified fact merely because the Matrix previously stated it.</w:t>
      </w:r>
    </w:p>
    <w:p>
      <w:pPr>
        <w:pStyle w:val="Heading2"/>
      </w:pPr>
      <w:r>
        <w:t>VII-4 — Independent Review Notes Table</w:t>
      </w:r>
    </w:p>
    <w:p>
      <w:r>
        <w:rPr>
          <w:b/>
        </w:rPr>
        <w:t xml:space="preserve">Definition. </w:t>
      </w:r>
      <w:r>
        <w:t>Material findings from remarks and field intelligence must be visible and traceable.</w:t>
      </w:r>
    </w:p>
    <w:p>
      <w:r>
        <w:rPr>
          <w:b/>
        </w:rPr>
        <w:t xml:space="preserve">Directive. </w:t>
      </w:r>
      <w:r>
        <w:t>Create numbered review notes showing property, source, finding, classification, valuation relevance, signal type, approximate adjustment consideration if supportable, whether the issue was already adjusted, overlap risk, and the review question that remains.</w:t>
      </w:r>
    </w:p>
    <w:p>
      <w:pPr>
        <w:pStyle w:val="ConstitutionQuote"/>
      </w:pPr>
      <w:r>
        <w:t>Failure to quantify is not failure to notice.</w:t>
      </w:r>
    </w:p>
    <w:p>
      <w:pPr>
        <w:pStyle w:val="Heading1"/>
        <w:pageBreakBefore/>
        <w:pBdr>
          <w:top w:val="single" w:sz="10" w:space="4" w:color="1F4E79"/>
        </w:pBdr>
      </w:pPr>
      <w:r>
        <w:t>ARTICLE VIII — Market Conditions, Momentum, and Seller-Net Evidence</w:t>
      </w:r>
    </w:p>
    <w:p>
      <w:pPr>
        <w:pStyle w:val="Heading2"/>
      </w:pPr>
      <w:r>
        <w:t>VIII-1 — Closed Evidence versus Competitive Evidence</w:t>
      </w:r>
    </w:p>
    <w:p>
      <w:r>
        <w:rPr>
          <w:b/>
        </w:rPr>
        <w:t xml:space="preserve">Definition. </w:t>
      </w:r>
      <w:r>
        <w:t>Closed comparable sales support the value conclusion; broader active, pending, failed, and historical evidence explains current competition and market acceptance.</w:t>
      </w:r>
    </w:p>
    <w:p>
      <w:r>
        <w:rPr>
          <w:b/>
        </w:rPr>
        <w:t xml:space="preserve">Directive. </w:t>
      </w:r>
      <w:r>
        <w:t>Do not allow active asking prices to substitute for closed value support, and do not ignore live competition when recommending market position.</w:t>
      </w:r>
    </w:p>
    <w:p>
      <w:pPr>
        <w:pStyle w:val="Heading2"/>
      </w:pPr>
      <w:r>
        <w:t>VIII-2 — 1004MC and Time</w:t>
      </w:r>
    </w:p>
    <w:p>
      <w:r>
        <w:rPr>
          <w:b/>
        </w:rPr>
        <w:t xml:space="preserve">Definition. </w:t>
      </w:r>
      <w:r>
        <w:t>A 1004MC or equivalent broad market file measures market pattern and change over time.</w:t>
      </w:r>
    </w:p>
    <w:p>
      <w:r>
        <w:rPr>
          <w:b/>
        </w:rPr>
        <w:t xml:space="preserve">Directive. </w:t>
      </w:r>
      <w:r>
        <w:t>Use it to evaluate sales pace, inventory, months of supply, median price movement, DIM, and whether time adjustment is supported. It does not automatically select true comps or replace subject-centered comparable analysis.</w:t>
      </w:r>
    </w:p>
    <w:p>
      <w:pPr>
        <w:pStyle w:val="Heading2"/>
      </w:pPr>
      <w:r>
        <w:t>VIII-3 — Momentum</w:t>
      </w:r>
    </w:p>
    <w:p>
      <w:r>
        <w:rPr>
          <w:b/>
        </w:rPr>
        <w:t xml:space="preserve">Definition. </w:t>
      </w:r>
      <w:r>
        <w:t>Momentum is the market rhythm across statuses and time.</w:t>
      </w:r>
    </w:p>
    <w:p>
      <w:r>
        <w:rPr>
          <w:b/>
        </w:rPr>
        <w:t xml:space="preserve">Directive. </w:t>
      </w:r>
      <w:r>
        <w:t>Review active, pending, closed, withdrawn, expired, relisted, reductions, concessions, DIM/DOM, monthly sales pace, months of inventory, and status transitions when the data are available. Interpret pending activity as secondary pressure, not closed proof.</w:t>
      </w:r>
    </w:p>
    <w:p>
      <w:pPr>
        <w:pStyle w:val="Heading2"/>
      </w:pPr>
      <w:r>
        <w:t>VIII-4 — Seller-Net Evidence</w:t>
      </w:r>
    </w:p>
    <w:p>
      <w:r>
        <w:rPr>
          <w:b/>
        </w:rPr>
        <w:t xml:space="preserve">Definition. </w:t>
      </w:r>
      <w:r>
        <w:t>Market acceptance is better understood when concessions and net outcomes are visible.</w:t>
      </w:r>
    </w:p>
    <w:p>
      <w:r>
        <w:rPr>
          <w:b/>
        </w:rPr>
        <w:t xml:space="preserve">Directive. </w:t>
      </w:r>
      <w:r>
        <w:t>Preserve Original List, Previous List, List, Close, Concessions, and Net Close. Analyze reductions, net-below-original behavior, and concession prevalence without assuming each concession is a direct value adjustment.</w:t>
      </w:r>
    </w:p>
    <w:p>
      <w:pPr>
        <w:pStyle w:val="Heading2"/>
      </w:pPr>
      <w:r>
        <w:t>VIII-5 — Market Acceptance Is Evidence, Not an Automatic Adjustment</w:t>
      </w:r>
    </w:p>
    <w:p>
      <w:r>
        <w:rPr>
          <w:b/>
        </w:rPr>
        <w:t xml:space="preserve">Definition. </w:t>
      </w:r>
      <w:r>
        <w:t>Long exposure, reductions, concessions, and failed listings may reveal buyer resistance.</w:t>
      </w:r>
    </w:p>
    <w:p>
      <w:r>
        <w:rPr>
          <w:b/>
        </w:rPr>
        <w:t xml:space="preserve">Directive. </w:t>
      </w:r>
      <w:r>
        <w:t>Use this evidence to qualify comp weight, price-position confidence, and recommendation risk. Do not mechanically subtract a fixed amount merely because a property had high DIM or a reduction.</w:t>
      </w:r>
    </w:p>
    <w:p>
      <w:pPr>
        <w:pStyle w:val="Heading1"/>
        <w:pageBreakBefore/>
        <w:pBdr>
          <w:top w:val="single" w:sz="10" w:space="4" w:color="1F4E79"/>
        </w:pBdr>
      </w:pPr>
      <w:r>
        <w:t>ARTICLE IX — Valuation Reconciliation and Recommendation</w:t>
      </w:r>
    </w:p>
    <w:p>
      <w:pPr>
        <w:pStyle w:val="Heading2"/>
      </w:pPr>
      <w:r>
        <w:t>IX-1 — Analytical Value Range</w:t>
      </w:r>
    </w:p>
    <w:p>
      <w:r>
        <w:rPr>
          <w:b/>
        </w:rPr>
        <w:t xml:space="preserve">Definition. </w:t>
      </w:r>
      <w:r>
        <w:t>The Analytical Value Range is the interval supported by reconciled property and market evidence.</w:t>
      </w:r>
    </w:p>
    <w:p>
      <w:r>
        <w:rPr>
          <w:b/>
        </w:rPr>
        <w:t xml:space="preserve">Directive. </w:t>
      </w:r>
      <w:r>
        <w:t>It must identify lower, center, and upper support, the comps or evidence functions controlling each, and the qualifications attached to the top and bottom.</w:t>
      </w:r>
    </w:p>
    <w:p>
      <w:pPr>
        <w:pStyle w:val="Heading2"/>
      </w:pPr>
      <w:r>
        <w:t>IX-2 — No Automatic Averaging</w:t>
      </w:r>
    </w:p>
    <w:p>
      <w:r>
        <w:rPr>
          <w:b/>
        </w:rPr>
        <w:t xml:space="preserve">Definition. </w:t>
      </w:r>
      <w:r>
        <w:t>Median, average, weighted average, and adjusted range are evidence indicators, not automatic conclusions.</w:t>
      </w:r>
    </w:p>
    <w:p>
      <w:r>
        <w:rPr>
          <w:b/>
        </w:rPr>
        <w:t xml:space="preserve">Directive. </w:t>
      </w:r>
      <w:r>
        <w:t>Weight properties according to relevance, evidence purpose, quality, condition, market acceptance, and adjustment reliability. Do not let a calculated score or average replace professional reconciliation.</w:t>
      </w:r>
    </w:p>
    <w:p>
      <w:pPr>
        <w:pStyle w:val="Heading2"/>
      </w:pPr>
      <w:r>
        <w:t>IX-3 — Analytical Value versus Pricing Position</w:t>
      </w:r>
    </w:p>
    <w:p>
      <w:r>
        <w:rPr>
          <w:b/>
        </w:rPr>
        <w:t xml:space="preserve">Definition. </w:t>
      </w:r>
      <w:r>
        <w:t>Value and pricing strategy are related but different.</w:t>
      </w:r>
    </w:p>
    <w:p>
      <w:r>
        <w:rPr>
          <w:b/>
        </w:rPr>
        <w:t xml:space="preserve">Directive. </w:t>
      </w:r>
      <w:r>
        <w:t>First state what the property evidence supports. Then state the current pricing position most likely to advance maximum dollars in the shortest reasonable market time, considering competition, timing, market acceptance, condition, and client objective.</w:t>
      </w:r>
    </w:p>
    <w:p>
      <w:pPr>
        <w:pStyle w:val="Heading2"/>
      </w:pPr>
      <w:r>
        <w:t>IX-4 — Recommendation Status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40"/>
            </w:pPr>
            <w:r>
              <w:rPr>
                <w:rFonts w:ascii="Aptos" w:hAnsi="Aptos"/>
                <w:b/>
                <w:color w:val="FFFFFF"/>
                <w:sz w:val="17"/>
              </w:rPr>
              <w:t>Status</w:t>
            </w:r>
          </w:p>
        </w:tc>
        <w:tc>
          <w:tcPr>
            <w:tcW w:type="dxa" w:w="5083"/>
            <w:shd w:fill="1F4E79"/>
            <w:vAlign w:val="center"/>
          </w:tcPr>
          <w:p>
            <w:pPr>
              <w:spacing w:after="40"/>
            </w:pPr>
            <w:r>
              <w:rPr>
                <w:rFonts w:ascii="Aptos" w:hAnsi="Aptos"/>
                <w:b/>
                <w:color w:val="FFFFFF"/>
                <w:sz w:val="17"/>
              </w:rPr>
              <w:t>Meaning</w:t>
            </w:r>
          </w:p>
        </w:tc>
      </w:tr>
      <w:tr>
        <w:tc>
          <w:tcPr>
            <w:tcW w:type="dxa" w:w="5083"/>
            <w:tcMar>
              <w:top w:w="90" w:type="dxa"/>
              <w:start w:w="90" w:type="dxa"/>
              <w:bottom w:w="90" w:type="dxa"/>
              <w:end w:w="90" w:type="dxa"/>
            </w:tcMar>
            <w:vAlign w:val="center"/>
          </w:tcPr>
          <w:p>
            <w:pPr>
              <w:spacing w:after="40"/>
            </w:pPr>
            <w:r>
              <w:rPr>
                <w:rFonts w:ascii="Aptos" w:hAnsi="Aptos"/>
                <w:sz w:val="17"/>
              </w:rPr>
              <w:t>CONFIRMED</w:t>
            </w:r>
          </w:p>
        </w:tc>
        <w:tc>
          <w:tcPr>
            <w:tcW w:type="dxa" w:w="5083"/>
            <w:tcMar>
              <w:top w:w="90" w:type="dxa"/>
              <w:start w:w="90" w:type="dxa"/>
              <w:bottom w:w="90" w:type="dxa"/>
              <w:end w:w="90" w:type="dxa"/>
            </w:tcMar>
            <w:vAlign w:val="center"/>
          </w:tcPr>
          <w:p>
            <w:pPr>
              <w:spacing w:after="40"/>
            </w:pPr>
            <w:r>
              <w:rPr>
                <w:rFonts w:ascii="Aptos" w:hAnsi="Aptos"/>
                <w:sz w:val="17"/>
              </w:rPr>
              <w:t>The evidence, calculations, and logic are sufficiently aligned for the stated conclusion.</w:t>
            </w:r>
          </w:p>
        </w:tc>
      </w:tr>
      <w:tr>
        <w:tc>
          <w:tcPr>
            <w:tcW w:type="dxa" w:w="5083"/>
            <w:tcMar>
              <w:top w:w="90" w:type="dxa"/>
              <w:start w:w="90" w:type="dxa"/>
              <w:bottom w:w="90" w:type="dxa"/>
              <w:end w:w="90" w:type="dxa"/>
            </w:tcMar>
            <w:vAlign w:val="center"/>
          </w:tcPr>
          <w:p>
            <w:pPr>
              <w:spacing w:after="40"/>
            </w:pPr>
            <w:r>
              <w:rPr>
                <w:rFonts w:ascii="Aptos" w:hAnsi="Aptos"/>
                <w:sz w:val="17"/>
              </w:rPr>
              <w:t>QUALIFIED</w:t>
            </w:r>
          </w:p>
        </w:tc>
        <w:tc>
          <w:tcPr>
            <w:tcW w:type="dxa" w:w="5083"/>
            <w:tcMar>
              <w:top w:w="90" w:type="dxa"/>
              <w:start w:w="90" w:type="dxa"/>
              <w:bottom w:w="90" w:type="dxa"/>
              <w:end w:w="90" w:type="dxa"/>
            </w:tcMar>
            <w:vAlign w:val="center"/>
          </w:tcPr>
          <w:p>
            <w:pPr>
              <w:spacing w:after="40"/>
            </w:pPr>
            <w:r>
              <w:rPr>
                <w:rFonts w:ascii="Aptos" w:hAnsi="Aptos"/>
                <w:sz w:val="17"/>
              </w:rPr>
              <w:t>The conclusion is supportable but materially dependent on disclosed assumptions, limitations, or superior/inferior evidence.</w:t>
            </w:r>
          </w:p>
        </w:tc>
      </w:tr>
      <w:tr>
        <w:tc>
          <w:tcPr>
            <w:tcW w:type="dxa" w:w="5083"/>
            <w:tcMar>
              <w:top w:w="90" w:type="dxa"/>
              <w:start w:w="90" w:type="dxa"/>
              <w:bottom w:w="90" w:type="dxa"/>
              <w:end w:w="90" w:type="dxa"/>
            </w:tcMar>
            <w:vAlign w:val="center"/>
          </w:tcPr>
          <w:p>
            <w:pPr>
              <w:spacing w:after="40"/>
            </w:pPr>
            <w:r>
              <w:rPr>
                <w:rFonts w:ascii="Aptos" w:hAnsi="Aptos"/>
                <w:sz w:val="17"/>
              </w:rPr>
              <w:t>INCOMPLETE</w:t>
            </w:r>
          </w:p>
        </w:tc>
        <w:tc>
          <w:tcPr>
            <w:tcW w:type="dxa" w:w="5083"/>
            <w:tcMar>
              <w:top w:w="90" w:type="dxa"/>
              <w:start w:w="90" w:type="dxa"/>
              <w:bottom w:w="90" w:type="dxa"/>
              <w:end w:w="90" w:type="dxa"/>
            </w:tcMar>
            <w:vAlign w:val="center"/>
          </w:tcPr>
          <w:p>
            <w:pPr>
              <w:spacing w:after="40"/>
            </w:pPr>
            <w:r>
              <w:rPr>
                <w:rFonts w:ascii="Aptos" w:hAnsi="Aptos"/>
                <w:sz w:val="17"/>
              </w:rPr>
              <w:t>Required evidence or calculations are missing; no responsible conclusion can be finalized.</w:t>
            </w:r>
          </w:p>
        </w:tc>
      </w:tr>
      <w:tr>
        <w:tc>
          <w:tcPr>
            <w:tcW w:type="dxa" w:w="5083"/>
            <w:tcMar>
              <w:top w:w="90" w:type="dxa"/>
              <w:start w:w="90" w:type="dxa"/>
              <w:bottom w:w="90" w:type="dxa"/>
              <w:end w:w="90" w:type="dxa"/>
            </w:tcMar>
            <w:vAlign w:val="center"/>
          </w:tcPr>
          <w:p>
            <w:pPr>
              <w:spacing w:after="40"/>
            </w:pPr>
            <w:r>
              <w:rPr>
                <w:rFonts w:ascii="Aptos" w:hAnsi="Aptos"/>
                <w:sz w:val="17"/>
              </w:rPr>
              <w:t>HUMAN REVIEW REQUIRED</w:t>
            </w:r>
          </w:p>
        </w:tc>
        <w:tc>
          <w:tcPr>
            <w:tcW w:type="dxa" w:w="5083"/>
            <w:tcMar>
              <w:top w:w="90" w:type="dxa"/>
              <w:start w:w="90" w:type="dxa"/>
              <w:bottom w:w="90" w:type="dxa"/>
              <w:end w:w="90" w:type="dxa"/>
            </w:tcMar>
            <w:vAlign w:val="center"/>
          </w:tcPr>
          <w:p>
            <w:pPr>
              <w:spacing w:after="40"/>
            </w:pPr>
            <w:r>
              <w:rPr>
                <w:rFonts w:ascii="Aptos" w:hAnsi="Aptos"/>
                <w:sz w:val="17"/>
              </w:rPr>
              <w:t>The work can be advanced only after a Realtor or other qualified human resolves identified assignment-specific issues.</w:t>
            </w:r>
          </w:p>
        </w:tc>
      </w:tr>
    </w:tbl>
    <w:p>
      <w:pPr>
        <w:pStyle w:val="Heading2"/>
      </w:pPr>
      <w:r>
        <w:t>IX-5 — Uncertainty</w:t>
      </w:r>
    </w:p>
    <w:p>
      <w:r>
        <w:rPr>
          <w:b/>
        </w:rPr>
        <w:t xml:space="preserve">Definition. </w:t>
      </w:r>
      <w:r>
        <w:t>Uncertainty is a limit of evidence, not a weakness to be hidden.</w:t>
      </w:r>
    </w:p>
    <w:p>
      <w:r>
        <w:rPr>
          <w:b/>
        </w:rPr>
        <w:t xml:space="preserve">Directive. </w:t>
      </w:r>
      <w:r>
        <w:t>State what is known, inferred, unresolved, and most likely to change the conclusion. A range should widen or confidence should decline when evidence quality requires it.</w:t>
      </w:r>
    </w:p>
    <w:p>
      <w:pPr>
        <w:pStyle w:val="Heading1"/>
        <w:pageBreakBefore/>
        <w:pBdr>
          <w:top w:val="single" w:sz="10" w:space="4" w:color="1F4E79"/>
        </w:pBdr>
      </w:pPr>
      <w:r>
        <w:t>ARTICLE X — Independent Logic Review</w:t>
      </w:r>
    </w:p>
    <w:p>
      <w:pPr>
        <w:pStyle w:val="Heading2"/>
      </w:pPr>
      <w:r>
        <w:t>X-1 — Purpose</w:t>
      </w:r>
    </w:p>
    <w:p>
      <w:r>
        <w:rPr>
          <w:b/>
        </w:rPr>
        <w:t xml:space="preserve">Definition. </w:t>
      </w:r>
      <w:r>
        <w:t>Completion of the first analysis is not proof of correctness.</w:t>
      </w:r>
    </w:p>
    <w:p>
      <w:r>
        <w:rPr>
          <w:b/>
        </w:rPr>
        <w:t xml:space="preserve">Directive. </w:t>
      </w:r>
      <w:r>
        <w:t>Before release, perform a separate logic review designed to identify technically correct calculations resting on weak, circular, incomplete, or self-referential reasoning.</w:t>
      </w:r>
    </w:p>
    <w:p>
      <w:pPr>
        <w:pStyle w:val="Heading2"/>
      </w:pPr>
      <w:r>
        <w:t>X-2 — Mandatory Logic Questions</w:t>
      </w:r>
    </w:p>
    <w:p>
      <w:pPr>
        <w:ind w:left="346" w:hanging="259"/>
      </w:pPr>
      <w:r>
        <w:rPr>
          <w:b/>
        </w:rPr>
        <w:t xml:space="preserve">1. </w:t>
      </w:r>
      <w:r>
        <w:t>Did I select evidence because it explains the subject, or because it supports the range I was beginning to favor?</w:t>
      </w:r>
    </w:p>
    <w:p>
      <w:pPr>
        <w:ind w:left="346" w:hanging="259"/>
      </w:pPr>
      <w:r>
        <w:rPr>
          <w:b/>
        </w:rPr>
        <w:t xml:space="preserve">2. </w:t>
      </w:r>
      <w:r>
        <w:t>Did I turn similarity in one characteristic into an assumption of overall comparability?</w:t>
      </w:r>
    </w:p>
    <w:p>
      <w:pPr>
        <w:ind w:left="346" w:hanging="259"/>
      </w:pPr>
      <w:r>
        <w:rPr>
          <w:b/>
        </w:rPr>
        <w:t xml:space="preserve">3. </w:t>
      </w:r>
      <w:r>
        <w:t>Did I use an adjustment assumption to create a value result and then cite that result as proof the assumption was reasonable?</w:t>
      </w:r>
    </w:p>
    <w:p>
      <w:pPr>
        <w:ind w:left="346" w:hanging="259"/>
      </w:pPr>
      <w:r>
        <w:rPr>
          <w:b/>
        </w:rPr>
        <w:t xml:space="preserve">4. </w:t>
      </w:r>
      <w:r>
        <w:t>Did I convert an inference from remarks, market history, or prior discussion into a factual premise later in the analysis?</w:t>
      </w:r>
    </w:p>
    <w:p>
      <w:pPr>
        <w:ind w:left="346" w:hanging="259"/>
      </w:pPr>
      <w:r>
        <w:rPr>
          <w:b/>
        </w:rPr>
        <w:t xml:space="preserve">5. </w:t>
      </w:r>
      <w:r>
        <w:t>Did I double count the same buyer benefit or penalty through multiple adjustments or qualitative judgments?</w:t>
      </w:r>
    </w:p>
    <w:p>
      <w:pPr>
        <w:ind w:left="346" w:hanging="259"/>
      </w:pPr>
      <w:r>
        <w:rPr>
          <w:b/>
        </w:rPr>
        <w:t xml:space="preserve">6. </w:t>
      </w:r>
      <w:r>
        <w:t>Did a legacy rate, scoring rule, or familiar shortcut materially control the conclusion without current evidence review?</w:t>
      </w:r>
    </w:p>
    <w:p>
      <w:pPr>
        <w:ind w:left="346" w:hanging="259"/>
      </w:pPr>
      <w:r>
        <w:rPr>
          <w:b/>
        </w:rPr>
        <w:t xml:space="preserve">7. </w:t>
      </w:r>
      <w:r>
        <w:t>Did I overlook the strongest evidence that would reasonably weaken or contradict my conclusion?</w:t>
      </w:r>
    </w:p>
    <w:p>
      <w:pPr>
        <w:ind w:left="346" w:hanging="259"/>
      </w:pPr>
      <w:r>
        <w:rPr>
          <w:b/>
        </w:rPr>
        <w:t xml:space="preserve">8. </w:t>
      </w:r>
      <w:r>
        <w:t>Does current buyer acceptance conflict with the technical adjusted-comp indication?</w:t>
      </w:r>
    </w:p>
    <w:p>
      <w:pPr>
        <w:ind w:left="346" w:hanging="259"/>
      </w:pPr>
      <w:r>
        <w:rPr>
          <w:b/>
        </w:rPr>
        <w:t xml:space="preserve">9. </w:t>
      </w:r>
      <w:r>
        <w:t>When direct comps were unavailable, did I construct a transparent evidence bridge or simply broaden the search until favorable sales appeared?</w:t>
      </w:r>
    </w:p>
    <w:p>
      <w:pPr>
        <w:ind w:left="346" w:hanging="259"/>
      </w:pPr>
      <w:r>
        <w:rPr>
          <w:b/>
        </w:rPr>
        <w:t xml:space="preserve">10. </w:t>
      </w:r>
      <w:r>
        <w:t>Would I reach substantially the same result if I did not know the current list price, contract price, seller expectation, prior conclusion, or ICHIBAN result?</w:t>
      </w:r>
    </w:p>
    <w:p>
      <w:pPr>
        <w:ind w:left="346" w:hanging="259"/>
      </w:pPr>
      <w:r>
        <w:rPr>
          <w:b/>
        </w:rPr>
        <w:t xml:space="preserve">11. </w:t>
      </w:r>
      <w:r>
        <w:t>Do the final confidence level and report language match the actual quality of support?</w:t>
      </w:r>
    </w:p>
    <w:p>
      <w:pPr>
        <w:ind w:left="346" w:hanging="259"/>
      </w:pPr>
      <w:r>
        <w:rPr>
          <w:b/>
        </w:rPr>
        <w:t xml:space="preserve">12. </w:t>
      </w:r>
      <w:r>
        <w:t>Can the recommendation be explained without relying on professional authority, jargon, or hidden assumptions?</w:t>
      </w:r>
    </w:p>
    <w:p>
      <w:pPr>
        <w:pStyle w:val="Heading2"/>
      </w:pPr>
      <w:r>
        <w:t>X-3 — Correction Authority</w:t>
      </w:r>
    </w:p>
    <w:p>
      <w:r>
        <w:rPr>
          <w:b/>
        </w:rPr>
        <w:t xml:space="preserve">Definition. </w:t>
      </w:r>
      <w:r>
        <w:t>The review may identify omissions, reclassify evidence, qualify conclusions, return calculations for correction, or lower confidence.</w:t>
      </w:r>
    </w:p>
    <w:p>
      <w:r>
        <w:rPr>
          <w:b/>
        </w:rPr>
        <w:t xml:space="preserve">Directive. </w:t>
      </w:r>
      <w:r>
        <w:t>It shall not invent facts, fabricate market support, or create unsupported adjustments. When the defect belongs to calculation, evidence mapping, or comp selection, correct that layer before rewriting the recommendation.</w:t>
      </w:r>
    </w:p>
    <w:p>
      <w:pPr>
        <w:pStyle w:val="Heading2"/>
      </w:pPr>
      <w:r>
        <w:t>X-4 — Stop Rule</w:t>
      </w:r>
    </w:p>
    <w:p>
      <w:r>
        <w:rPr>
          <w:b/>
        </w:rPr>
        <w:t xml:space="preserve">Definition. </w:t>
      </w:r>
      <w:r>
        <w:t>Circumspection does not require endless reopening.</w:t>
      </w:r>
    </w:p>
    <w:p>
      <w:r>
        <w:rPr>
          <w:b/>
        </w:rPr>
        <w:t xml:space="preserve">Directive. </w:t>
      </w:r>
      <w:r>
        <w:t>The review ends when all material questions have a documented disposition and the final status accurately reflects remaining limitations.</w:t>
      </w:r>
    </w:p>
    <w:p>
      <w:pPr>
        <w:pStyle w:val="Heading1"/>
        <w:pageBreakBefore/>
        <w:pBdr>
          <w:top w:val="single" w:sz="10" w:space="4" w:color="1F4E79"/>
        </w:pBdr>
      </w:pPr>
      <w:r>
        <w:t>ARTICLE XI — BBC-Style Explanation and Seller Understanding</w:t>
      </w:r>
    </w:p>
    <w:p>
      <w:pPr>
        <w:pStyle w:val="Heading2"/>
      </w:pPr>
      <w:r>
        <w:t>XI-1 — Communication Standard</w:t>
      </w:r>
    </w:p>
    <w:p>
      <w:pPr>
        <w:pStyle w:val="ConstitutionQuote"/>
      </w:pPr>
      <w:r>
        <w:t>Do not make the idea less intelligent. Make the intelligence understandable.</w:t>
      </w:r>
    </w:p>
    <w:p>
      <w:r>
        <w:rPr>
          <w:b/>
        </w:rPr>
        <w:t xml:space="preserve">Definition. </w:t>
      </w:r>
      <w:r>
        <w:t>BBC-style explanation identifies the analytical concept needed to understand the decision and teaches it in ordinary language before asking the reader to accept the conclusion.</w:t>
      </w:r>
    </w:p>
    <w:p>
      <w:r>
        <w:rPr>
          <w:b/>
        </w:rPr>
        <w:t xml:space="preserve">Directive. </w:t>
      </w:r>
      <w:r>
        <w:t>Avoid jargon without definition, unsupported certainty, and “trust the professional” explanations when the governing logic can be shown.</w:t>
      </w:r>
    </w:p>
    <w:p>
      <w:pPr>
        <w:pStyle w:val="Heading2"/>
      </w:pPr>
      <w:r>
        <w:t>XI-2 — Price Per Square Foot Seller Explanation</w:t>
      </w:r>
    </w:p>
    <w:p>
      <w:r>
        <w:t>Price per square foot is a useful market reference, but it is not the price of each additional square foot in a home. The calculated figure spreads the value of the entire property—including location, land, garage, kitchen, bathrooms, condition, basement, and other features—across a square-footage denominator. A valuation adjustment asks a narrower question: what does the market appear to contribute for the difference in space when reasonably similar homes are compared? This is why the adjustment rate is normally lower than the property’s reported price per square foot, and why above-grade and below-grade areas are reviewed separately.</w:t>
      </w:r>
    </w:p>
    <w:p>
      <w:pPr>
        <w:pStyle w:val="Heading2"/>
      </w:pPr>
      <w:r>
        <w:t>XI-3 — Explanation before Conclusion</w:t>
      </w:r>
    </w:p>
    <w:p>
      <w:r>
        <w:rPr>
          <w:b/>
        </w:rPr>
        <w:t xml:space="preserve">Definition. </w:t>
      </w:r>
      <w:r>
        <w:t>When a likely misunderstanding could materially affect acceptance of the valuation, explain the principle first.</w:t>
      </w:r>
    </w:p>
    <w:p>
      <w:r>
        <w:rPr>
          <w:b/>
        </w:rPr>
        <w:t xml:space="preserve">Directive. </w:t>
      </w:r>
      <w:r>
        <w:t>Examples include PSF versus contributory value, gross Close versus Net Close, active price versus market value, above-grade versus below-grade utility, cost versus contribution, and value versus pricing posture.</w:t>
      </w:r>
    </w:p>
    <w:p>
      <w:pPr>
        <w:pStyle w:val="Heading2"/>
      </w:pPr>
      <w:r>
        <w:t>XI-4 — Seller-Facing Restraint</w:t>
      </w:r>
    </w:p>
    <w:p>
      <w:r>
        <w:rPr>
          <w:b/>
        </w:rPr>
        <w:t xml:space="preserve">Definition. </w:t>
      </w:r>
      <w:r>
        <w:t>The client-facing version should not expose internal module names or exhaustive audit questions unless intentionally branded.</w:t>
      </w:r>
    </w:p>
    <w:p>
      <w:r>
        <w:rPr>
          <w:b/>
        </w:rPr>
        <w:t xml:space="preserve">Directive. </w:t>
      </w:r>
      <w:r>
        <w:t>Present the clearest evidence, the most important qualifications, the value range, the recommendation, and the logic necessary to understand them.</w:t>
      </w:r>
    </w:p>
    <w:p>
      <w:pPr>
        <w:pStyle w:val="Heading1"/>
        <w:pageBreakBefore/>
        <w:pBdr>
          <w:top w:val="single" w:sz="10" w:space="4" w:color="1F4E79"/>
        </w:pBdr>
      </w:pPr>
      <w:r>
        <w:t>ARTICLE XII — Standard Independent Report and Handoff</w:t>
      </w:r>
    </w:p>
    <w:p>
      <w:pPr>
        <w:pStyle w:val="Heading2"/>
      </w:pPr>
      <w:r>
        <w:t>XII-1 — Required Report Order</w:t>
      </w:r>
    </w:p>
    <w:p>
      <w:pPr>
        <w:ind w:left="346" w:hanging="259"/>
      </w:pPr>
      <w:r>
        <w:rPr>
          <w:b/>
        </w:rPr>
        <w:t xml:space="preserve">1. </w:t>
      </w:r>
      <w:r>
        <w:t>Executive valuation snapshot</w:t>
      </w:r>
    </w:p>
    <w:p>
      <w:pPr>
        <w:ind w:left="346" w:hanging="259"/>
      </w:pPr>
      <w:r>
        <w:rPr>
          <w:b/>
        </w:rPr>
        <w:t xml:space="preserve">2. </w:t>
      </w:r>
      <w:r>
        <w:t>Assignment and Subject Control</w:t>
      </w:r>
    </w:p>
    <w:p>
      <w:pPr>
        <w:ind w:left="346" w:hanging="259"/>
      </w:pPr>
      <w:r>
        <w:rPr>
          <w:b/>
        </w:rPr>
        <w:t xml:space="preserve">3. </w:t>
      </w:r>
      <w:r>
        <w:t>Evidence Register and Data Status</w:t>
      </w:r>
    </w:p>
    <w:p>
      <w:pPr>
        <w:ind w:left="346" w:hanging="259"/>
      </w:pPr>
      <w:r>
        <w:rPr>
          <w:b/>
        </w:rPr>
        <w:t xml:space="preserve">4. </w:t>
      </w:r>
      <w:r>
        <w:t>Subject Market Identity</w:t>
      </w:r>
    </w:p>
    <w:p>
      <w:pPr>
        <w:ind w:left="346" w:hanging="259"/>
      </w:pPr>
      <w:r>
        <w:rPr>
          <w:b/>
        </w:rPr>
        <w:t xml:space="preserve">5. </w:t>
      </w:r>
      <w:r>
        <w:t>Evidence Search and Expansion Record</w:t>
      </w:r>
    </w:p>
    <w:p>
      <w:pPr>
        <w:ind w:left="346" w:hanging="259"/>
      </w:pPr>
      <w:r>
        <w:rPr>
          <w:b/>
        </w:rPr>
        <w:t xml:space="preserve">6. </w:t>
      </w:r>
      <w:r>
        <w:t>Primary Valuation Evidence</w:t>
      </w:r>
    </w:p>
    <w:p>
      <w:pPr>
        <w:ind w:left="346" w:hanging="259"/>
      </w:pPr>
      <w:r>
        <w:rPr>
          <w:b/>
        </w:rPr>
        <w:t xml:space="preserve">7. </w:t>
      </w:r>
      <w:r>
        <w:t>Supporting Evidence by Purpose</w:t>
      </w:r>
    </w:p>
    <w:p>
      <w:pPr>
        <w:ind w:left="346" w:hanging="259"/>
      </w:pPr>
      <w:r>
        <w:rPr>
          <w:b/>
        </w:rPr>
        <w:t xml:space="preserve">8. </w:t>
      </w:r>
      <w:r>
        <w:t>Appraisal-Style Adjustment Review</w:t>
      </w:r>
    </w:p>
    <w:p>
      <w:pPr>
        <w:ind w:left="346" w:hanging="259"/>
      </w:pPr>
      <w:r>
        <w:rPr>
          <w:b/>
        </w:rPr>
        <w:t xml:space="preserve">9. </w:t>
      </w:r>
      <w:r>
        <w:t>Public and Broker Remarks Review Notes</w:t>
      </w:r>
    </w:p>
    <w:p>
      <w:pPr>
        <w:ind w:left="346" w:hanging="259"/>
      </w:pPr>
      <w:r>
        <w:rPr>
          <w:b/>
        </w:rPr>
        <w:t xml:space="preserve">10. </w:t>
      </w:r>
      <w:r>
        <w:t>Market Momentum and Seller-Net Review</w:t>
      </w:r>
    </w:p>
    <w:p>
      <w:pPr>
        <w:ind w:left="346" w:hanging="259"/>
      </w:pPr>
      <w:r>
        <w:rPr>
          <w:b/>
        </w:rPr>
        <w:t xml:space="preserve">11. </w:t>
      </w:r>
      <w:r>
        <w:t>Range Reconciliation</w:t>
      </w:r>
    </w:p>
    <w:p>
      <w:pPr>
        <w:ind w:left="346" w:hanging="259"/>
      </w:pPr>
      <w:r>
        <w:rPr>
          <w:b/>
        </w:rPr>
        <w:t xml:space="preserve">12. </w:t>
      </w:r>
      <w:r>
        <w:t>Independent Analytical Value Range</w:t>
      </w:r>
    </w:p>
    <w:p>
      <w:pPr>
        <w:ind w:left="346" w:hanging="259"/>
      </w:pPr>
      <w:r>
        <w:rPr>
          <w:b/>
        </w:rPr>
        <w:t xml:space="preserve">13. </w:t>
      </w:r>
      <w:r>
        <w:t>Recommended Current Pricing Range</w:t>
      </w:r>
    </w:p>
    <w:p>
      <w:pPr>
        <w:ind w:left="346" w:hanging="259"/>
      </w:pPr>
      <w:r>
        <w:rPr>
          <w:b/>
        </w:rPr>
        <w:t xml:space="preserve">14. </w:t>
      </w:r>
      <w:r>
        <w:t>Material Sensitivities and Risks</w:t>
      </w:r>
    </w:p>
    <w:p>
      <w:pPr>
        <w:ind w:left="346" w:hanging="259"/>
      </w:pPr>
      <w:r>
        <w:rPr>
          <w:b/>
        </w:rPr>
        <w:t xml:space="preserve">15. </w:t>
      </w:r>
      <w:r>
        <w:t>Independent Logic Review</w:t>
      </w:r>
    </w:p>
    <w:p>
      <w:pPr>
        <w:ind w:left="346" w:hanging="259"/>
      </w:pPr>
      <w:r>
        <w:rPr>
          <w:b/>
        </w:rPr>
        <w:t xml:space="preserve">16. </w:t>
      </w:r>
      <w:r>
        <w:t>Final Status and Recommendation</w:t>
      </w:r>
    </w:p>
    <w:p>
      <w:pPr>
        <w:ind w:left="346" w:hanging="259"/>
      </w:pPr>
      <w:r>
        <w:rPr>
          <w:b/>
        </w:rPr>
        <w:t xml:space="preserve">17. </w:t>
      </w:r>
      <w:r>
        <w:t>Methodology and Disclaimer</w:t>
      </w:r>
    </w:p>
    <w:p>
      <w:pPr>
        <w:pStyle w:val="Heading2"/>
      </w:pPr>
      <w:r>
        <w:t>XII-2 — Numbered Review Notes</w:t>
      </w:r>
    </w:p>
    <w:p>
      <w:r>
        <w:rPr>
          <w:b/>
        </w:rPr>
        <w:t xml:space="preserve">Definition. </w:t>
      </w:r>
      <w:r>
        <w:t>Material remarks, unresolved adjustment concerns, evidence conflicts, and logical sensitivities shall be numbered.</w:t>
      </w:r>
    </w:p>
    <w:p>
      <w:r>
        <w:rPr>
          <w:b/>
        </w:rPr>
        <w:t xml:space="preserve">Directive. </w:t>
      </w:r>
      <w:r>
        <w:t>Each note must show the issue, evidence source, whether it has already been accounted for, remaining question, and final disposition. This table may later be copied into BBC or ICHIBAN review workflows.</w:t>
      </w:r>
    </w:p>
    <w:p>
      <w:pPr>
        <w:pStyle w:val="Heading2"/>
      </w:pPr>
      <w:r>
        <w:t>XII-3 — Traceability</w:t>
      </w:r>
    </w:p>
    <w:p>
      <w:r>
        <w:rPr>
          <w:b/>
        </w:rPr>
        <w:t xml:space="preserve">Definition. </w:t>
      </w:r>
      <w:r>
        <w:t>Every material conclusion must be traceable.</w:t>
      </w:r>
    </w:p>
    <w:p>
      <w:r>
        <w:rPr>
          <w:b/>
        </w:rPr>
        <w:t xml:space="preserve">Directive. </w:t>
      </w:r>
      <w:r>
        <w:t>A reader should be able to identify which subject facts, comps, adjustments, market evidence, inference, and judgment led to the lower, center, upper, and recommended positions.</w:t>
      </w:r>
    </w:p>
    <w:p>
      <w:pPr>
        <w:pStyle w:val="Heading2"/>
      </w:pPr>
      <w:r>
        <w:t>XII-4 — Document Quality</w:t>
      </w:r>
    </w:p>
    <w:p>
      <w:r>
        <w:rPr>
          <w:b/>
        </w:rPr>
        <w:t xml:space="preserve">Definition. </w:t>
      </w:r>
      <w:r>
        <w:t>A report is not complete if the evidence is correct but the document misstates, omits, or visually obscures it.</w:t>
      </w:r>
    </w:p>
    <w:p>
      <w:r>
        <w:rPr>
          <w:b/>
        </w:rPr>
        <w:t xml:space="preserve">Directive. </w:t>
      </w:r>
      <w:r>
        <w:t>Generated documents must receive page-by-page visual review before delivery.</w:t>
      </w:r>
    </w:p>
    <w:p>
      <w:pPr>
        <w:pStyle w:val="Heading1"/>
        <w:pageBreakBefore/>
        <w:pBdr>
          <w:top w:val="single" w:sz="10" w:space="4" w:color="1F4E79"/>
        </w:pBdr>
      </w:pPr>
      <w:r>
        <w:t>ARTICLE XIII — ICHIBAN Control Review and System Improvement</w:t>
      </w:r>
    </w:p>
    <w:p>
      <w:pPr>
        <w:pStyle w:val="Heading2"/>
      </w:pPr>
      <w:r>
        <w:t>XIII-1 — Comparison Timing</w:t>
      </w:r>
    </w:p>
    <w:p>
      <w:r>
        <w:rPr>
          <w:b/>
        </w:rPr>
        <w:t xml:space="preserve">Definition. </w:t>
      </w:r>
      <w:r>
        <w:t>The independent valuation and ICHIBAN output must be separately completed before comparison whenever practical.</w:t>
      </w:r>
    </w:p>
    <w:p>
      <w:r>
        <w:rPr>
          <w:b/>
        </w:rPr>
        <w:t xml:space="preserve">Directive. </w:t>
      </w:r>
      <w:r>
        <w:t>Freeze each range, comp set, adjustment record, and recommendation before opening the other analysis.</w:t>
      </w:r>
    </w:p>
    <w:p>
      <w:pPr>
        <w:pStyle w:val="Heading2"/>
      </w:pPr>
      <w:r>
        <w:t>XIII-2 — Divergence Review</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1F4E79"/>
            <w:vAlign w:val="center"/>
          </w:tcPr>
          <w:p>
            <w:pPr>
              <w:spacing w:after="40"/>
            </w:pPr>
            <w:r>
              <w:rPr>
                <w:rFonts w:ascii="Aptos" w:hAnsi="Aptos"/>
                <w:b/>
                <w:color w:val="FFFFFF"/>
                <w:sz w:val="17"/>
              </w:rPr>
              <w:t>Review point</w:t>
            </w:r>
          </w:p>
        </w:tc>
        <w:tc>
          <w:tcPr>
            <w:tcW w:type="dxa" w:w="3389"/>
            <w:shd w:fill="1F4E79"/>
            <w:vAlign w:val="center"/>
          </w:tcPr>
          <w:p>
            <w:pPr>
              <w:spacing w:after="40"/>
            </w:pPr>
            <w:r>
              <w:rPr>
                <w:rFonts w:ascii="Aptos" w:hAnsi="Aptos"/>
                <w:b/>
                <w:color w:val="FFFFFF"/>
                <w:sz w:val="17"/>
              </w:rPr>
              <w:t>Independent Matrix</w:t>
            </w:r>
          </w:p>
        </w:tc>
        <w:tc>
          <w:tcPr>
            <w:tcW w:type="dxa" w:w="3389"/>
            <w:shd w:fill="1F4E79"/>
            <w:vAlign w:val="center"/>
          </w:tcPr>
          <w:p>
            <w:pPr>
              <w:spacing w:after="40"/>
            </w:pPr>
            <w:r>
              <w:rPr>
                <w:rFonts w:ascii="Aptos" w:hAnsi="Aptos"/>
                <w:b/>
                <w:color w:val="FFFFFF"/>
                <w:sz w:val="17"/>
              </w:rPr>
              <w:t>ICHIBAN</w:t>
            </w:r>
          </w:p>
        </w:tc>
      </w:tr>
      <w:tr>
        <w:tc>
          <w:tcPr>
            <w:tcW w:type="dxa" w:w="3389"/>
            <w:tcMar>
              <w:top w:w="90" w:type="dxa"/>
              <w:start w:w="90" w:type="dxa"/>
              <w:bottom w:w="90" w:type="dxa"/>
              <w:end w:w="90" w:type="dxa"/>
            </w:tcMar>
            <w:vAlign w:val="center"/>
          </w:tcPr>
          <w:p>
            <w:pPr>
              <w:spacing w:after="40"/>
            </w:pPr>
            <w:r>
              <w:rPr>
                <w:rFonts w:ascii="Aptos" w:hAnsi="Aptos"/>
                <w:sz w:val="17"/>
              </w:rPr>
              <w:t>Subject facts and field mapping</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Evidence universe and time window</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Evidence expansion sequence</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Primary comparable relevance</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Evidence roles</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Adjustment rates and execution</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Remarks findings</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Concessions and Net Close treatment</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Market acceptance and momentum</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Lower/center/upper reconciliation</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Analytical value range</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Recommended pricing position</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r>
        <w:tc>
          <w:tcPr>
            <w:tcW w:type="dxa" w:w="3389"/>
            <w:tcMar>
              <w:top w:w="90" w:type="dxa"/>
              <w:start w:w="90" w:type="dxa"/>
              <w:bottom w:w="90" w:type="dxa"/>
              <w:end w:w="90" w:type="dxa"/>
            </w:tcMar>
            <w:vAlign w:val="center"/>
          </w:tcPr>
          <w:p>
            <w:pPr>
              <w:spacing w:after="40"/>
            </w:pPr>
            <w:r>
              <w:rPr>
                <w:rFonts w:ascii="Aptos" w:hAnsi="Aptos"/>
                <w:sz w:val="17"/>
              </w:rPr>
              <w:t>Confidence/status</w:t>
            </w:r>
          </w:p>
        </w:tc>
        <w:tc>
          <w:tcPr>
            <w:tcW w:type="dxa" w:w="3389"/>
            <w:tcMar>
              <w:top w:w="90" w:type="dxa"/>
              <w:start w:w="90" w:type="dxa"/>
              <w:bottom w:w="90" w:type="dxa"/>
              <w:end w:w="90" w:type="dxa"/>
            </w:tcMar>
            <w:vAlign w:val="center"/>
          </w:tcPr>
          <w:p>
            <w:pPr>
              <w:spacing w:after="40"/>
            </w:pPr>
            <w:r>
              <w:rPr>
                <w:rFonts w:ascii="Aptos" w:hAnsi="Aptos"/>
                <w:sz w:val="17"/>
              </w:rPr>
            </w:r>
          </w:p>
        </w:tc>
        <w:tc>
          <w:tcPr>
            <w:tcW w:type="dxa" w:w="3389"/>
            <w:tcMar>
              <w:top w:w="90" w:type="dxa"/>
              <w:start w:w="90" w:type="dxa"/>
              <w:bottom w:w="90" w:type="dxa"/>
              <w:end w:w="90" w:type="dxa"/>
            </w:tcMar>
            <w:vAlign w:val="center"/>
          </w:tcPr>
          <w:p>
            <w:pPr>
              <w:spacing w:after="40"/>
            </w:pPr>
            <w:r>
              <w:rPr>
                <w:rFonts w:ascii="Aptos" w:hAnsi="Aptos"/>
                <w:sz w:val="17"/>
              </w:rPr>
            </w:r>
          </w:p>
        </w:tc>
      </w:tr>
    </w:tbl>
    <w:p>
      <w:pPr>
        <w:pStyle w:val="Heading2"/>
      </w:pPr>
      <w:r>
        <w:t>XIII-3 — First Material Divergence</w:t>
      </w:r>
    </w:p>
    <w:p>
      <w:r>
        <w:rPr>
          <w:b/>
        </w:rPr>
        <w:t xml:space="preserve">Definition. </w:t>
      </w:r>
      <w:r>
        <w:t>The comparison shall locate the earliest material difference in the reasoning chain.</w:t>
      </w:r>
    </w:p>
    <w:p>
      <w:r>
        <w:rPr>
          <w:b/>
        </w:rPr>
        <w:t xml:space="preserve">Directive. </w:t>
      </w:r>
      <w:r>
        <w:t>Do not patch only the final number. Determine whether the first divergence occurred in facts, field mapping, search scope, comp relevance, adjustment execution, remarks interpretation, market logic, reconciliation, or recommendation.</w:t>
      </w:r>
    </w:p>
    <w:p>
      <w:pPr>
        <w:pStyle w:val="Heading2"/>
      </w:pPr>
      <w:r>
        <w:t>XIII-4 — Failure Classification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40"/>
            </w:pPr>
            <w:r>
              <w:rPr>
                <w:rFonts w:ascii="Aptos" w:hAnsi="Aptos"/>
                <w:b/>
                <w:color w:val="FFFFFF"/>
                <w:sz w:val="17"/>
              </w:rPr>
              <w:t>Failure class</w:t>
            </w:r>
          </w:p>
        </w:tc>
        <w:tc>
          <w:tcPr>
            <w:tcW w:type="dxa" w:w="5083"/>
            <w:shd w:fill="1F4E79"/>
            <w:vAlign w:val="center"/>
          </w:tcPr>
          <w:p>
            <w:pPr>
              <w:spacing w:after="40"/>
            </w:pPr>
            <w:r>
              <w:rPr>
                <w:rFonts w:ascii="Aptos" w:hAnsi="Aptos"/>
                <w:b/>
                <w:color w:val="FFFFFF"/>
                <w:sz w:val="17"/>
              </w:rPr>
              <w:t>Corrective home</w:t>
            </w:r>
          </w:p>
        </w:tc>
      </w:tr>
      <w:tr>
        <w:tc>
          <w:tcPr>
            <w:tcW w:type="dxa" w:w="5083"/>
            <w:tcMar>
              <w:top w:w="90" w:type="dxa"/>
              <w:start w:w="90" w:type="dxa"/>
              <w:bottom w:w="90" w:type="dxa"/>
              <w:end w:w="90" w:type="dxa"/>
            </w:tcMar>
            <w:vAlign w:val="center"/>
          </w:tcPr>
          <w:p>
            <w:pPr>
              <w:spacing w:after="40"/>
            </w:pPr>
            <w:r>
              <w:rPr>
                <w:rFonts w:ascii="Aptos" w:hAnsi="Aptos"/>
                <w:sz w:val="17"/>
              </w:rPr>
              <w:t>Governance</w:t>
            </w:r>
          </w:p>
        </w:tc>
        <w:tc>
          <w:tcPr>
            <w:tcW w:type="dxa" w:w="5083"/>
            <w:tcMar>
              <w:top w:w="90" w:type="dxa"/>
              <w:start w:w="90" w:type="dxa"/>
              <w:bottom w:w="90" w:type="dxa"/>
              <w:end w:w="90" w:type="dxa"/>
            </w:tcMar>
            <w:vAlign w:val="center"/>
          </w:tcPr>
          <w:p>
            <w:pPr>
              <w:spacing w:after="40"/>
            </w:pPr>
            <w:r>
              <w:rPr>
                <w:rFonts w:ascii="Aptos" w:hAnsi="Aptos"/>
                <w:sz w:val="17"/>
              </w:rPr>
              <w:t>Constitution</w:t>
            </w:r>
          </w:p>
        </w:tc>
      </w:tr>
      <w:tr>
        <w:tc>
          <w:tcPr>
            <w:tcW w:type="dxa" w:w="5083"/>
            <w:tcMar>
              <w:top w:w="90" w:type="dxa"/>
              <w:start w:w="90" w:type="dxa"/>
              <w:bottom w:w="90" w:type="dxa"/>
              <w:end w:w="90" w:type="dxa"/>
            </w:tcMar>
            <w:vAlign w:val="center"/>
          </w:tcPr>
          <w:p>
            <w:pPr>
              <w:spacing w:after="40"/>
            </w:pPr>
            <w:r>
              <w:rPr>
                <w:rFonts w:ascii="Aptos" w:hAnsi="Aptos"/>
                <w:sz w:val="17"/>
              </w:rPr>
              <w:t>Definition or formula</w:t>
            </w:r>
          </w:p>
        </w:tc>
        <w:tc>
          <w:tcPr>
            <w:tcW w:type="dxa" w:w="5083"/>
            <w:tcMar>
              <w:top w:w="90" w:type="dxa"/>
              <w:start w:w="90" w:type="dxa"/>
              <w:bottom w:w="90" w:type="dxa"/>
              <w:end w:w="90" w:type="dxa"/>
            </w:tcMar>
            <w:vAlign w:val="center"/>
          </w:tcPr>
          <w:p>
            <w:pPr>
              <w:spacing w:after="40"/>
            </w:pPr>
            <w:r>
              <w:rPr>
                <w:rFonts w:ascii="Aptos" w:hAnsi="Aptos"/>
                <w:sz w:val="17"/>
              </w:rPr>
              <w:t>Standards dictionary / adjustment standard</w:t>
            </w:r>
          </w:p>
        </w:tc>
      </w:tr>
      <w:tr>
        <w:tc>
          <w:tcPr>
            <w:tcW w:type="dxa" w:w="5083"/>
            <w:tcMar>
              <w:top w:w="90" w:type="dxa"/>
              <w:start w:w="90" w:type="dxa"/>
              <w:bottom w:w="90" w:type="dxa"/>
              <w:end w:w="90" w:type="dxa"/>
            </w:tcMar>
            <w:vAlign w:val="center"/>
          </w:tcPr>
          <w:p>
            <w:pPr>
              <w:spacing w:after="40"/>
            </w:pPr>
            <w:r>
              <w:rPr>
                <w:rFonts w:ascii="Aptos" w:hAnsi="Aptos"/>
                <w:sz w:val="17"/>
              </w:rPr>
              <w:t>Workflow or instruction</w:t>
            </w:r>
          </w:p>
        </w:tc>
        <w:tc>
          <w:tcPr>
            <w:tcW w:type="dxa" w:w="5083"/>
            <w:tcMar>
              <w:top w:w="90" w:type="dxa"/>
              <w:start w:w="90" w:type="dxa"/>
              <w:bottom w:w="90" w:type="dxa"/>
              <w:end w:w="90" w:type="dxa"/>
            </w:tcMar>
            <w:vAlign w:val="center"/>
          </w:tcPr>
          <w:p>
            <w:pPr>
              <w:spacing w:after="40"/>
            </w:pPr>
            <w:r>
              <w:rPr>
                <w:rFonts w:ascii="Aptos" w:hAnsi="Aptos"/>
                <w:sz w:val="17"/>
              </w:rPr>
              <w:t>Operating manual</w:t>
            </w:r>
          </w:p>
        </w:tc>
      </w:tr>
      <w:tr>
        <w:tc>
          <w:tcPr>
            <w:tcW w:type="dxa" w:w="5083"/>
            <w:tcMar>
              <w:top w:w="90" w:type="dxa"/>
              <w:start w:w="90" w:type="dxa"/>
              <w:bottom w:w="90" w:type="dxa"/>
              <w:end w:w="90" w:type="dxa"/>
            </w:tcMar>
            <w:vAlign w:val="center"/>
          </w:tcPr>
          <w:p>
            <w:pPr>
              <w:spacing w:after="40"/>
            </w:pPr>
            <w:r>
              <w:rPr>
                <w:rFonts w:ascii="Aptos" w:hAnsi="Aptos"/>
                <w:sz w:val="17"/>
              </w:rPr>
              <w:t>Execution</w:t>
            </w:r>
          </w:p>
        </w:tc>
        <w:tc>
          <w:tcPr>
            <w:tcW w:type="dxa" w:w="5083"/>
            <w:tcMar>
              <w:top w:w="90" w:type="dxa"/>
              <w:start w:w="90" w:type="dxa"/>
              <w:bottom w:w="90" w:type="dxa"/>
              <w:end w:w="90" w:type="dxa"/>
            </w:tcMar>
            <w:vAlign w:val="center"/>
          </w:tcPr>
          <w:p>
            <w:pPr>
              <w:spacing w:after="40"/>
            </w:pPr>
            <w:r>
              <w:rPr>
                <w:rFonts w:ascii="Aptos" w:hAnsi="Aptos"/>
                <w:sz w:val="17"/>
              </w:rPr>
              <w:t>Checklist or process control</w:t>
            </w:r>
          </w:p>
        </w:tc>
      </w:tr>
      <w:tr>
        <w:tc>
          <w:tcPr>
            <w:tcW w:type="dxa" w:w="5083"/>
            <w:tcMar>
              <w:top w:w="90" w:type="dxa"/>
              <w:start w:w="90" w:type="dxa"/>
              <w:bottom w:w="90" w:type="dxa"/>
              <w:end w:w="90" w:type="dxa"/>
            </w:tcMar>
            <w:vAlign w:val="center"/>
          </w:tcPr>
          <w:p>
            <w:pPr>
              <w:spacing w:after="40"/>
            </w:pPr>
            <w:r>
              <w:rPr>
                <w:rFonts w:ascii="Aptos" w:hAnsi="Aptos"/>
                <w:sz w:val="17"/>
              </w:rPr>
              <w:t>Implementation</w:t>
            </w:r>
          </w:p>
        </w:tc>
        <w:tc>
          <w:tcPr>
            <w:tcW w:type="dxa" w:w="5083"/>
            <w:tcMar>
              <w:top w:w="90" w:type="dxa"/>
              <w:start w:w="90" w:type="dxa"/>
              <w:bottom w:w="90" w:type="dxa"/>
              <w:end w:w="90" w:type="dxa"/>
            </w:tcMar>
            <w:vAlign w:val="center"/>
          </w:tcPr>
          <w:p>
            <w:pPr>
              <w:spacing w:after="40"/>
            </w:pPr>
            <w:r>
              <w:rPr>
                <w:rFonts w:ascii="Aptos" w:hAnsi="Aptos"/>
                <w:sz w:val="17"/>
              </w:rPr>
              <w:t>Code</w:t>
            </w:r>
          </w:p>
        </w:tc>
      </w:tr>
      <w:tr>
        <w:tc>
          <w:tcPr>
            <w:tcW w:type="dxa" w:w="5083"/>
            <w:tcMar>
              <w:top w:w="90" w:type="dxa"/>
              <w:start w:w="90" w:type="dxa"/>
              <w:bottom w:w="90" w:type="dxa"/>
              <w:end w:w="90" w:type="dxa"/>
            </w:tcMar>
            <w:vAlign w:val="center"/>
          </w:tcPr>
          <w:p>
            <w:pPr>
              <w:spacing w:after="40"/>
            </w:pPr>
            <w:r>
              <w:rPr>
                <w:rFonts w:ascii="Aptos" w:hAnsi="Aptos"/>
                <w:sz w:val="17"/>
              </w:rPr>
              <w:t>Handoff</w:t>
            </w:r>
          </w:p>
        </w:tc>
        <w:tc>
          <w:tcPr>
            <w:tcW w:type="dxa" w:w="5083"/>
            <w:tcMar>
              <w:top w:w="90" w:type="dxa"/>
              <w:start w:w="90" w:type="dxa"/>
              <w:bottom w:w="90" w:type="dxa"/>
              <w:end w:w="90" w:type="dxa"/>
            </w:tcMar>
            <w:vAlign w:val="center"/>
          </w:tcPr>
          <w:p>
            <w:pPr>
              <w:spacing w:after="40"/>
            </w:pPr>
            <w:r>
              <w:rPr>
                <w:rFonts w:ascii="Aptos" w:hAnsi="Aptos"/>
                <w:sz w:val="17"/>
              </w:rPr>
              <w:t>Interface contract / structured output</w:t>
            </w:r>
          </w:p>
        </w:tc>
      </w:tr>
      <w:tr>
        <w:tc>
          <w:tcPr>
            <w:tcW w:type="dxa" w:w="5083"/>
            <w:tcMar>
              <w:top w:w="90" w:type="dxa"/>
              <w:start w:w="90" w:type="dxa"/>
              <w:bottom w:w="90" w:type="dxa"/>
              <w:end w:w="90" w:type="dxa"/>
            </w:tcMar>
            <w:vAlign w:val="center"/>
          </w:tcPr>
          <w:p>
            <w:pPr>
              <w:spacing w:after="40"/>
            </w:pPr>
            <w:r>
              <w:rPr>
                <w:rFonts w:ascii="Aptos" w:hAnsi="Aptos"/>
                <w:sz w:val="17"/>
              </w:rPr>
              <w:t>Evidence</w:t>
            </w:r>
          </w:p>
        </w:tc>
        <w:tc>
          <w:tcPr>
            <w:tcW w:type="dxa" w:w="5083"/>
            <w:tcMar>
              <w:top w:w="90" w:type="dxa"/>
              <w:start w:w="90" w:type="dxa"/>
              <w:bottom w:w="90" w:type="dxa"/>
              <w:end w:w="90" w:type="dxa"/>
            </w:tcMar>
            <w:vAlign w:val="center"/>
          </w:tcPr>
          <w:p>
            <w:pPr>
              <w:spacing w:after="40"/>
            </w:pPr>
            <w:r>
              <w:rPr>
                <w:rFonts w:ascii="Aptos" w:hAnsi="Aptos"/>
                <w:sz w:val="17"/>
              </w:rPr>
              <w:t>Source control / mapping / validation</w:t>
            </w:r>
          </w:p>
        </w:tc>
      </w:tr>
      <w:tr>
        <w:tc>
          <w:tcPr>
            <w:tcW w:type="dxa" w:w="5083"/>
            <w:tcMar>
              <w:top w:w="90" w:type="dxa"/>
              <w:start w:w="90" w:type="dxa"/>
              <w:bottom w:w="90" w:type="dxa"/>
              <w:end w:w="90" w:type="dxa"/>
            </w:tcMar>
            <w:vAlign w:val="center"/>
          </w:tcPr>
          <w:p>
            <w:pPr>
              <w:spacing w:after="40"/>
            </w:pPr>
            <w:r>
              <w:rPr>
                <w:rFonts w:ascii="Aptos" w:hAnsi="Aptos"/>
                <w:sz w:val="17"/>
              </w:rPr>
              <w:t>Output</w:t>
            </w:r>
          </w:p>
        </w:tc>
        <w:tc>
          <w:tcPr>
            <w:tcW w:type="dxa" w:w="5083"/>
            <w:tcMar>
              <w:top w:w="90" w:type="dxa"/>
              <w:start w:w="90" w:type="dxa"/>
              <w:bottom w:w="90" w:type="dxa"/>
              <w:end w:w="90" w:type="dxa"/>
            </w:tcMar>
            <w:vAlign w:val="center"/>
          </w:tcPr>
          <w:p>
            <w:pPr>
              <w:spacing w:after="40"/>
            </w:pPr>
            <w:r>
              <w:rPr>
                <w:rFonts w:ascii="Aptos" w:hAnsi="Aptos"/>
                <w:sz w:val="17"/>
              </w:rPr>
              <w:t>Renderer / template</w:t>
            </w:r>
          </w:p>
        </w:tc>
      </w:tr>
      <w:tr>
        <w:tc>
          <w:tcPr>
            <w:tcW w:type="dxa" w:w="5083"/>
            <w:tcMar>
              <w:top w:w="90" w:type="dxa"/>
              <w:start w:w="90" w:type="dxa"/>
              <w:bottom w:w="90" w:type="dxa"/>
              <w:end w:w="90" w:type="dxa"/>
            </w:tcMar>
            <w:vAlign w:val="center"/>
          </w:tcPr>
          <w:p>
            <w:pPr>
              <w:spacing w:after="40"/>
            </w:pPr>
            <w:r>
              <w:rPr>
                <w:rFonts w:ascii="Aptos" w:hAnsi="Aptos"/>
                <w:sz w:val="17"/>
              </w:rPr>
              <w:t>Validation</w:t>
            </w:r>
          </w:p>
        </w:tc>
        <w:tc>
          <w:tcPr>
            <w:tcW w:type="dxa" w:w="5083"/>
            <w:tcMar>
              <w:top w:w="90" w:type="dxa"/>
              <w:start w:w="90" w:type="dxa"/>
              <w:bottom w:w="90" w:type="dxa"/>
              <w:end w:w="90" w:type="dxa"/>
            </w:tcMar>
            <w:vAlign w:val="center"/>
          </w:tcPr>
          <w:p>
            <w:pPr>
              <w:spacing w:after="40"/>
            </w:pPr>
            <w:r>
              <w:rPr>
                <w:rFonts w:ascii="Aptos" w:hAnsi="Aptos"/>
                <w:sz w:val="17"/>
              </w:rPr>
              <w:t>Quality gate / review checklist</w:t>
            </w:r>
          </w:p>
        </w:tc>
      </w:tr>
    </w:tbl>
    <w:p>
      <w:pPr>
        <w:pStyle w:val="Heading2"/>
      </w:pPr>
      <w:r>
        <w:t>XIII-5 — Lowest Sufficient Governing Layer</w:t>
      </w:r>
    </w:p>
    <w:p>
      <w:r>
        <w:rPr>
          <w:b/>
        </w:rPr>
        <w:t xml:space="preserve">Definition. </w:t>
      </w:r>
      <w:r>
        <w:t>Permanent correction should occur at the lowest sufficient layer.</w:t>
      </w:r>
    </w:p>
    <w:p>
      <w:r>
        <w:rPr>
          <w:b/>
        </w:rPr>
        <w:t xml:space="preserve">Directive. </w:t>
      </w:r>
      <w:r>
        <w:t>Do not amend the Constitution for a renderer bug, rewrite valuation doctrine for a field alias, or burden BBC with a defect that belongs in Tarzan calculations. Correct the cause where it lives.</w:t>
      </w:r>
    </w:p>
    <w:p>
      <w:pPr>
        <w:pStyle w:val="Heading2"/>
      </w:pPr>
      <w:r>
        <w:t>XIII-6 — Controlled Change</w:t>
      </w:r>
    </w:p>
    <w:p>
      <w:r>
        <w:rPr>
          <w:b/>
        </w:rPr>
        <w:t xml:space="preserve">Definition. </w:t>
      </w:r>
      <w:r>
        <w:t>A significant finding does not automatically require a new rule.</w:t>
      </w:r>
    </w:p>
    <w:p>
      <w:r>
        <w:rPr>
          <w:b/>
        </w:rPr>
        <w:t xml:space="preserve">Directive. </w:t>
      </w:r>
      <w:r>
        <w:t>Classify the failure, determine whether an existing control failed or a new control is required, document the change, and preserve rollback/version history.</w:t>
      </w:r>
    </w:p>
    <w:p>
      <w:pPr>
        <w:pStyle w:val="Heading1"/>
        <w:pageBreakBefore/>
        <w:pBdr>
          <w:top w:val="single" w:sz="10" w:space="4" w:color="1F4E79"/>
        </w:pBdr>
      </w:pPr>
      <w:r>
        <w:t>ARTICLE XIV — Startup and Release Checklists</w:t>
      </w:r>
    </w:p>
    <w:p>
      <w:pPr>
        <w:pStyle w:val="Heading2"/>
      </w:pPr>
      <w:r>
        <w:t>XIV-1 — Mandatory Startup Sequence</w:t>
      </w:r>
    </w:p>
    <w:p>
      <w:pPr>
        <w:ind w:left="346" w:hanging="259"/>
      </w:pPr>
      <w:r>
        <w:rPr>
          <w:b/>
        </w:rPr>
        <w:t xml:space="preserve">1. </w:t>
      </w:r>
      <w:r>
        <w:t>Read this Constitution and current approved adjustment standard.</w:t>
      </w:r>
    </w:p>
    <w:p>
      <w:pPr>
        <w:ind w:left="346" w:hanging="259"/>
      </w:pPr>
      <w:r>
        <w:rPr>
          <w:b/>
        </w:rPr>
        <w:t xml:space="preserve">2. </w:t>
      </w:r>
      <w:r>
        <w:t>Define assignment, intended user, effective date, and deliverable.</w:t>
      </w:r>
    </w:p>
    <w:p>
      <w:pPr>
        <w:ind w:left="346" w:hanging="259"/>
      </w:pPr>
      <w:r>
        <w:rPr>
          <w:b/>
        </w:rPr>
        <w:t xml:space="preserve">3. </w:t>
      </w:r>
      <w:r>
        <w:t>Build the evidence register with source names, dates, roles, and limitations.</w:t>
      </w:r>
    </w:p>
    <w:p>
      <w:pPr>
        <w:ind w:left="346" w:hanging="259"/>
      </w:pPr>
      <w:r>
        <w:rPr>
          <w:b/>
        </w:rPr>
        <w:t xml:space="preserve">4. </w:t>
      </w:r>
      <w:r>
        <w:t>Create and freeze the Assignment State.</w:t>
      </w:r>
    </w:p>
    <w:p>
      <w:pPr>
        <w:ind w:left="346" w:hanging="259"/>
      </w:pPr>
      <w:r>
        <w:rPr>
          <w:b/>
        </w:rPr>
        <w:t xml:space="preserve">5. </w:t>
      </w:r>
      <w:r>
        <w:t>Resolve subject-field conflicts and map exact source fields.</w:t>
      </w:r>
    </w:p>
    <w:p>
      <w:pPr>
        <w:ind w:left="346" w:hanging="259"/>
      </w:pPr>
      <w:r>
        <w:rPr>
          <w:b/>
        </w:rPr>
        <w:t xml:space="preserve">6. </w:t>
      </w:r>
      <w:r>
        <w:t>Identify the direct evidence search layer.</w:t>
      </w:r>
    </w:p>
    <w:p>
      <w:pPr>
        <w:ind w:left="346" w:hanging="259"/>
      </w:pPr>
      <w:r>
        <w:rPr>
          <w:b/>
        </w:rPr>
        <w:t xml:space="preserve">7. </w:t>
      </w:r>
      <w:r>
        <w:t>Build and document the evidence expansion sequence if necessary.</w:t>
      </w:r>
    </w:p>
    <w:p>
      <w:pPr>
        <w:ind w:left="346" w:hanging="259"/>
      </w:pPr>
      <w:r>
        <w:rPr>
          <w:b/>
        </w:rPr>
        <w:t xml:space="preserve">8. </w:t>
      </w:r>
      <w:r>
        <w:t>Perform independent valuation without reviewing ICHIBAN result when practical.</w:t>
      </w:r>
    </w:p>
    <w:p>
      <w:pPr>
        <w:ind w:left="346" w:hanging="259"/>
      </w:pPr>
      <w:r>
        <w:rPr>
          <w:b/>
        </w:rPr>
        <w:t xml:space="preserve">9. </w:t>
      </w:r>
      <w:r>
        <w:t>Complete adjustment audit, remarks review, market review, and reconciliation.</w:t>
      </w:r>
    </w:p>
    <w:p>
      <w:pPr>
        <w:ind w:left="346" w:hanging="259"/>
      </w:pPr>
      <w:r>
        <w:rPr>
          <w:b/>
        </w:rPr>
        <w:t xml:space="preserve">10. </w:t>
      </w:r>
      <w:r>
        <w:t>Perform the Independent Logic Review.</w:t>
      </w:r>
    </w:p>
    <w:p>
      <w:pPr>
        <w:ind w:left="346" w:hanging="259"/>
      </w:pPr>
      <w:r>
        <w:rPr>
          <w:b/>
        </w:rPr>
        <w:t xml:space="preserve">11. </w:t>
      </w:r>
      <w:r>
        <w:t>Freeze the conclusion and report version.</w:t>
      </w:r>
    </w:p>
    <w:p>
      <w:pPr>
        <w:ind w:left="346" w:hanging="259"/>
      </w:pPr>
      <w:r>
        <w:rPr>
          <w:b/>
        </w:rPr>
        <w:t xml:space="preserve">12. </w:t>
      </w:r>
      <w:r>
        <w:t>Only then review ICHIBAN and perform the Control Review.</w:t>
      </w:r>
    </w:p>
    <w:p>
      <w:pPr>
        <w:pStyle w:val="Heading2"/>
      </w:pPr>
      <w:r>
        <w:t>XIV-2 — Release Questions</w:t>
      </w:r>
    </w:p>
    <w:p>
      <w:pPr>
        <w:ind w:left="346" w:hanging="259"/>
      </w:pPr>
      <w:r>
        <w:rPr>
          <w:b/>
        </w:rPr>
        <w:t xml:space="preserve">1. </w:t>
      </w:r>
      <w:r>
        <w:t>Which source controls every current subject field?</w:t>
      </w:r>
    </w:p>
    <w:p>
      <w:pPr>
        <w:ind w:left="346" w:hanging="259"/>
      </w:pPr>
      <w:r>
        <w:rPr>
          <w:b/>
        </w:rPr>
        <w:t xml:space="preserve">2. </w:t>
      </w:r>
      <w:r>
        <w:t>Were above-grade, below-grade finished, below-grade unfinished, Living Area, and Building Area Total kept distinct?</w:t>
      </w:r>
    </w:p>
    <w:p>
      <w:pPr>
        <w:ind w:left="346" w:hanging="259"/>
      </w:pPr>
      <w:r>
        <w:rPr>
          <w:b/>
        </w:rPr>
        <w:t xml:space="preserve">3. </w:t>
      </w:r>
      <w:r>
        <w:t>What evidence most strongly supports the conclusion?</w:t>
      </w:r>
    </w:p>
    <w:p>
      <w:pPr>
        <w:ind w:left="346" w:hanging="259"/>
      </w:pPr>
      <w:r>
        <w:rPr>
          <w:b/>
        </w:rPr>
        <w:t xml:space="preserve">4. </w:t>
      </w:r>
      <w:r>
        <w:t>What evidence most strongly contradicts it?</w:t>
      </w:r>
    </w:p>
    <w:p>
      <w:pPr>
        <w:ind w:left="346" w:hanging="259"/>
      </w:pPr>
      <w:r>
        <w:rPr>
          <w:b/>
        </w:rPr>
        <w:t xml:space="preserve">5. </w:t>
      </w:r>
      <w:r>
        <w:t>Why was each primary property selected, and what question does each supporting property answer?</w:t>
      </w:r>
    </w:p>
    <w:p>
      <w:pPr>
        <w:ind w:left="346" w:hanging="259"/>
      </w:pPr>
      <w:r>
        <w:rPr>
          <w:b/>
        </w:rPr>
        <w:t xml:space="preserve">6. </w:t>
      </w:r>
      <w:r>
        <w:t>Were concessions and Net Close handled consistently?</w:t>
      </w:r>
    </w:p>
    <w:p>
      <w:pPr>
        <w:ind w:left="346" w:hanging="259"/>
      </w:pPr>
      <w:r>
        <w:rPr>
          <w:b/>
        </w:rPr>
        <w:t xml:space="preserve">7. </w:t>
      </w:r>
      <w:r>
        <w:t>Which adjustments are quantified, provisional, directional, or unresolved?</w:t>
      </w:r>
    </w:p>
    <w:p>
      <w:pPr>
        <w:ind w:left="346" w:hanging="259"/>
      </w:pPr>
      <w:r>
        <w:rPr>
          <w:b/>
        </w:rPr>
        <w:t xml:space="preserve">8. </w:t>
      </w:r>
      <w:r>
        <w:t>Did remarks reveal material facts absent from standard fields?</w:t>
      </w:r>
    </w:p>
    <w:p>
      <w:pPr>
        <w:ind w:left="346" w:hanging="259"/>
      </w:pPr>
      <w:r>
        <w:rPr>
          <w:b/>
        </w:rPr>
        <w:t xml:space="preserve">9. </w:t>
      </w:r>
      <w:r>
        <w:t>Did I distinguish observation, inference, and judgment?</w:t>
      </w:r>
    </w:p>
    <w:p>
      <w:pPr>
        <w:ind w:left="346" w:hanging="259"/>
      </w:pPr>
      <w:r>
        <w:rPr>
          <w:b/>
        </w:rPr>
        <w:t xml:space="preserve">10. </w:t>
      </w:r>
      <w:r>
        <w:t>Is the range supported independently of the contemplated price?</w:t>
      </w:r>
    </w:p>
    <w:p>
      <w:pPr>
        <w:ind w:left="346" w:hanging="259"/>
      </w:pPr>
      <w:r>
        <w:rPr>
          <w:b/>
        </w:rPr>
        <w:t xml:space="preserve">11. </w:t>
      </w:r>
      <w:r>
        <w:t>Does the recommendation reflect current market acceptance and the client objective?</w:t>
      </w:r>
    </w:p>
    <w:p>
      <w:pPr>
        <w:ind w:left="346" w:hanging="259"/>
      </w:pPr>
      <w:r>
        <w:rPr>
          <w:b/>
        </w:rPr>
        <w:t xml:space="preserve">12. </w:t>
      </w:r>
      <w:r>
        <w:t>Did the logic review dispose of every material concern?</w:t>
      </w:r>
    </w:p>
    <w:p>
      <w:pPr>
        <w:ind w:left="346" w:hanging="259"/>
      </w:pPr>
      <w:r>
        <w:rPr>
          <w:b/>
        </w:rPr>
        <w:t xml:space="preserve">13. </w:t>
      </w:r>
      <w:r>
        <w:t>Does the final status accurately match the evidence quality?</w:t>
      </w:r>
    </w:p>
    <w:p>
      <w:pPr>
        <w:pStyle w:val="Heading1"/>
        <w:pageBreakBefore/>
        <w:pBdr>
          <w:top w:val="single" w:sz="10" w:space="4" w:color="1F4E79"/>
        </w:pBdr>
      </w:pPr>
      <w:r>
        <w:t>ARTICLE XV — Controlled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9"/>
            <w:vAlign w:val="center"/>
          </w:tcPr>
          <w:p>
            <w:pPr>
              <w:spacing w:after="40"/>
            </w:pPr>
            <w:r>
              <w:rPr>
                <w:rFonts w:ascii="Aptos" w:hAnsi="Aptos"/>
                <w:b/>
                <w:color w:val="FFFFFF"/>
                <w:sz w:val="17"/>
              </w:rPr>
              <w:t>Term</w:t>
            </w:r>
          </w:p>
        </w:tc>
        <w:tc>
          <w:tcPr>
            <w:tcW w:type="dxa" w:w="5083"/>
            <w:shd w:fill="1F4E79"/>
            <w:vAlign w:val="center"/>
          </w:tcPr>
          <w:p>
            <w:pPr>
              <w:spacing w:after="40"/>
            </w:pPr>
            <w:r>
              <w:rPr>
                <w:rFonts w:ascii="Aptos" w:hAnsi="Aptos"/>
                <w:b/>
                <w:color w:val="FFFFFF"/>
                <w:sz w:val="17"/>
              </w:rPr>
              <w:t>Controlled definition</w:t>
            </w:r>
          </w:p>
        </w:tc>
      </w:tr>
      <w:tr>
        <w:tc>
          <w:tcPr>
            <w:tcW w:type="dxa" w:w="5083"/>
            <w:tcMar>
              <w:top w:w="90" w:type="dxa"/>
              <w:start w:w="90" w:type="dxa"/>
              <w:bottom w:w="90" w:type="dxa"/>
              <w:end w:w="90" w:type="dxa"/>
            </w:tcMar>
            <w:vAlign w:val="center"/>
          </w:tcPr>
          <w:p>
            <w:pPr>
              <w:spacing w:after="40"/>
            </w:pPr>
            <w:r>
              <w:rPr>
                <w:rFonts w:ascii="Aptos" w:hAnsi="Aptos"/>
                <w:b/>
                <w:sz w:val="17"/>
              </w:rPr>
              <w:t>Adjustment</w:t>
            </w:r>
          </w:p>
        </w:tc>
        <w:tc>
          <w:tcPr>
            <w:tcW w:type="dxa" w:w="5083"/>
            <w:tcMar>
              <w:top w:w="90" w:type="dxa"/>
              <w:start w:w="90" w:type="dxa"/>
              <w:bottom w:w="90" w:type="dxa"/>
              <w:end w:w="90" w:type="dxa"/>
            </w:tcMar>
            <w:vAlign w:val="center"/>
          </w:tcPr>
          <w:p>
            <w:pPr>
              <w:spacing w:after="40"/>
            </w:pPr>
            <w:r>
              <w:rPr>
                <w:rFonts w:ascii="Aptos" w:hAnsi="Aptos"/>
                <w:sz w:val="17"/>
              </w:rPr>
              <w:t>A market-supported or provisionally governed change applied to a comparable sale to reflect a material difference from the subject.</w:t>
            </w:r>
          </w:p>
        </w:tc>
      </w:tr>
      <w:tr>
        <w:tc>
          <w:tcPr>
            <w:tcW w:type="dxa" w:w="5083"/>
            <w:tcMar>
              <w:top w:w="90" w:type="dxa"/>
              <w:start w:w="90" w:type="dxa"/>
              <w:bottom w:w="90" w:type="dxa"/>
              <w:end w:w="90" w:type="dxa"/>
            </w:tcMar>
            <w:vAlign w:val="center"/>
          </w:tcPr>
          <w:p>
            <w:pPr>
              <w:spacing w:after="40"/>
            </w:pPr>
            <w:r>
              <w:rPr>
                <w:rFonts w:ascii="Aptos" w:hAnsi="Aptos"/>
                <w:b/>
                <w:sz w:val="17"/>
              </w:rPr>
              <w:t>Analytical Value Range</w:t>
            </w:r>
          </w:p>
        </w:tc>
        <w:tc>
          <w:tcPr>
            <w:tcW w:type="dxa" w:w="5083"/>
            <w:tcMar>
              <w:top w:w="90" w:type="dxa"/>
              <w:start w:w="90" w:type="dxa"/>
              <w:bottom w:w="90" w:type="dxa"/>
              <w:end w:w="90" w:type="dxa"/>
            </w:tcMar>
            <w:vAlign w:val="center"/>
          </w:tcPr>
          <w:p>
            <w:pPr>
              <w:spacing w:after="40"/>
            </w:pPr>
            <w:r>
              <w:rPr>
                <w:rFonts w:ascii="Aptos" w:hAnsi="Aptos"/>
                <w:sz w:val="17"/>
              </w:rPr>
              <w:t>The interval supported by reconciled property and market evidence before pricing strategy is selected.</w:t>
            </w:r>
          </w:p>
        </w:tc>
      </w:tr>
      <w:tr>
        <w:tc>
          <w:tcPr>
            <w:tcW w:type="dxa" w:w="5083"/>
            <w:tcMar>
              <w:top w:w="90" w:type="dxa"/>
              <w:start w:w="90" w:type="dxa"/>
              <w:bottom w:w="90" w:type="dxa"/>
              <w:end w:w="90" w:type="dxa"/>
            </w:tcMar>
            <w:vAlign w:val="center"/>
          </w:tcPr>
          <w:p>
            <w:pPr>
              <w:spacing w:after="40"/>
            </w:pPr>
            <w:r>
              <w:rPr>
                <w:rFonts w:ascii="Aptos" w:hAnsi="Aptos"/>
                <w:b/>
                <w:sz w:val="17"/>
              </w:rPr>
              <w:t>Assignment State</w:t>
            </w:r>
          </w:p>
        </w:tc>
        <w:tc>
          <w:tcPr>
            <w:tcW w:type="dxa" w:w="5083"/>
            <w:tcMar>
              <w:top w:w="90" w:type="dxa"/>
              <w:start w:w="90" w:type="dxa"/>
              <w:bottom w:w="90" w:type="dxa"/>
              <w:end w:w="90" w:type="dxa"/>
            </w:tcMar>
            <w:vAlign w:val="center"/>
          </w:tcPr>
          <w:p>
            <w:pPr>
              <w:spacing w:after="40"/>
            </w:pPr>
            <w:r>
              <w:rPr>
                <w:rFonts w:ascii="Aptos" w:hAnsi="Aptos"/>
                <w:sz w:val="17"/>
              </w:rPr>
              <w:t>The time-bound, source-controlled set of facts, evidence, assumptions, and unresolved conflicts governing one valuation.</w:t>
            </w:r>
          </w:p>
        </w:tc>
      </w:tr>
      <w:tr>
        <w:tc>
          <w:tcPr>
            <w:tcW w:type="dxa" w:w="5083"/>
            <w:tcMar>
              <w:top w:w="90" w:type="dxa"/>
              <w:start w:w="90" w:type="dxa"/>
              <w:bottom w:w="90" w:type="dxa"/>
              <w:end w:w="90" w:type="dxa"/>
            </w:tcMar>
            <w:vAlign w:val="center"/>
          </w:tcPr>
          <w:p>
            <w:pPr>
              <w:spacing w:after="40"/>
            </w:pPr>
            <w:r>
              <w:rPr>
                <w:rFonts w:ascii="Aptos" w:hAnsi="Aptos"/>
                <w:b/>
                <w:sz w:val="17"/>
              </w:rPr>
              <w:t>Authoritative Evidence</w:t>
            </w:r>
          </w:p>
        </w:tc>
        <w:tc>
          <w:tcPr>
            <w:tcW w:type="dxa" w:w="5083"/>
            <w:tcMar>
              <w:top w:w="90" w:type="dxa"/>
              <w:start w:w="90" w:type="dxa"/>
              <w:bottom w:w="90" w:type="dxa"/>
              <w:end w:w="90" w:type="dxa"/>
            </w:tcMar>
            <w:vAlign w:val="center"/>
          </w:tcPr>
          <w:p>
            <w:pPr>
              <w:spacing w:after="40"/>
            </w:pPr>
            <w:r>
              <w:rPr>
                <w:rFonts w:ascii="Aptos" w:hAnsi="Aptos"/>
                <w:sz w:val="17"/>
              </w:rPr>
              <w:t>The current verified source designated to control a factual field for the assignment.</w:t>
            </w:r>
          </w:p>
        </w:tc>
      </w:tr>
      <w:tr>
        <w:tc>
          <w:tcPr>
            <w:tcW w:type="dxa" w:w="5083"/>
            <w:tcMar>
              <w:top w:w="90" w:type="dxa"/>
              <w:start w:w="90" w:type="dxa"/>
              <w:bottom w:w="90" w:type="dxa"/>
              <w:end w:w="90" w:type="dxa"/>
            </w:tcMar>
            <w:vAlign w:val="center"/>
          </w:tcPr>
          <w:p>
            <w:pPr>
              <w:spacing w:after="40"/>
            </w:pPr>
            <w:r>
              <w:rPr>
                <w:rFonts w:ascii="Aptos" w:hAnsi="Aptos"/>
                <w:b/>
                <w:sz w:val="17"/>
              </w:rPr>
              <w:t>Comparable</w:t>
            </w:r>
          </w:p>
        </w:tc>
        <w:tc>
          <w:tcPr>
            <w:tcW w:type="dxa" w:w="5083"/>
            <w:tcMar>
              <w:top w:w="90" w:type="dxa"/>
              <w:start w:w="90" w:type="dxa"/>
              <w:bottom w:w="90" w:type="dxa"/>
              <w:end w:w="90" w:type="dxa"/>
            </w:tcMar>
            <w:vAlign w:val="center"/>
          </w:tcPr>
          <w:p>
            <w:pPr>
              <w:spacing w:after="40"/>
            </w:pPr>
            <w:r>
              <w:rPr>
                <w:rFonts w:ascii="Aptos" w:hAnsi="Aptos"/>
                <w:sz w:val="17"/>
              </w:rPr>
              <w:t>A property providing credible evidence because likely buyers could reasonably cross-shop it or because it isolates a material value component.</w:t>
            </w:r>
          </w:p>
        </w:tc>
      </w:tr>
      <w:tr>
        <w:tc>
          <w:tcPr>
            <w:tcW w:type="dxa" w:w="5083"/>
            <w:tcMar>
              <w:top w:w="90" w:type="dxa"/>
              <w:start w:w="90" w:type="dxa"/>
              <w:bottom w:w="90" w:type="dxa"/>
              <w:end w:w="90" w:type="dxa"/>
            </w:tcMar>
            <w:vAlign w:val="center"/>
          </w:tcPr>
          <w:p>
            <w:pPr>
              <w:spacing w:after="40"/>
            </w:pPr>
            <w:r>
              <w:rPr>
                <w:rFonts w:ascii="Aptos" w:hAnsi="Aptos"/>
                <w:b/>
                <w:sz w:val="17"/>
              </w:rPr>
              <w:t>Contributory Value</w:t>
            </w:r>
          </w:p>
        </w:tc>
        <w:tc>
          <w:tcPr>
            <w:tcW w:type="dxa" w:w="5083"/>
            <w:tcMar>
              <w:top w:w="90" w:type="dxa"/>
              <w:start w:w="90" w:type="dxa"/>
              <w:bottom w:w="90" w:type="dxa"/>
              <w:end w:w="90" w:type="dxa"/>
            </w:tcMar>
            <w:vAlign w:val="center"/>
          </w:tcPr>
          <w:p>
            <w:pPr>
              <w:spacing w:after="40"/>
            </w:pPr>
            <w:r>
              <w:rPr>
                <w:rFonts w:ascii="Aptos" w:hAnsi="Aptos"/>
                <w:sz w:val="17"/>
              </w:rPr>
              <w:t>The market contribution attributable to a specific difference, not the average price of the entire property divided by a unit.</w:t>
            </w:r>
          </w:p>
        </w:tc>
      </w:tr>
      <w:tr>
        <w:tc>
          <w:tcPr>
            <w:tcW w:type="dxa" w:w="5083"/>
            <w:tcMar>
              <w:top w:w="90" w:type="dxa"/>
              <w:start w:w="90" w:type="dxa"/>
              <w:bottom w:w="90" w:type="dxa"/>
              <w:end w:w="90" w:type="dxa"/>
            </w:tcMar>
            <w:vAlign w:val="center"/>
          </w:tcPr>
          <w:p>
            <w:pPr>
              <w:spacing w:after="40"/>
            </w:pPr>
            <w:r>
              <w:rPr>
                <w:rFonts w:ascii="Aptos" w:hAnsi="Aptos"/>
                <w:b/>
                <w:sz w:val="17"/>
              </w:rPr>
              <w:t>Current Market Value</w:t>
            </w:r>
          </w:p>
        </w:tc>
        <w:tc>
          <w:tcPr>
            <w:tcW w:type="dxa" w:w="5083"/>
            <w:tcMar>
              <w:top w:w="90" w:type="dxa"/>
              <w:start w:w="90" w:type="dxa"/>
              <w:bottom w:w="90" w:type="dxa"/>
              <w:end w:w="90" w:type="dxa"/>
            </w:tcMar>
            <w:vAlign w:val="center"/>
          </w:tcPr>
          <w:p>
            <w:pPr>
              <w:spacing w:after="40"/>
            </w:pPr>
            <w:r>
              <w:rPr>
                <w:rFonts w:ascii="Aptos" w:hAnsi="Aptos"/>
                <w:sz w:val="17"/>
              </w:rPr>
              <w:t>The most probable price or supported range under the defined current market conditions and assignment standard.</w:t>
            </w:r>
          </w:p>
        </w:tc>
      </w:tr>
      <w:tr>
        <w:tc>
          <w:tcPr>
            <w:tcW w:type="dxa" w:w="5083"/>
            <w:tcMar>
              <w:top w:w="90" w:type="dxa"/>
              <w:start w:w="90" w:type="dxa"/>
              <w:bottom w:w="90" w:type="dxa"/>
              <w:end w:w="90" w:type="dxa"/>
            </w:tcMar>
            <w:vAlign w:val="center"/>
          </w:tcPr>
          <w:p>
            <w:pPr>
              <w:spacing w:after="40"/>
            </w:pPr>
            <w:r>
              <w:rPr>
                <w:rFonts w:ascii="Aptos" w:hAnsi="Aptos"/>
                <w:b/>
                <w:sz w:val="17"/>
              </w:rPr>
              <w:t>Direct Evidence</w:t>
            </w:r>
          </w:p>
        </w:tc>
        <w:tc>
          <w:tcPr>
            <w:tcW w:type="dxa" w:w="5083"/>
            <w:tcMar>
              <w:top w:w="90" w:type="dxa"/>
              <w:start w:w="90" w:type="dxa"/>
              <w:bottom w:w="90" w:type="dxa"/>
              <w:end w:w="90" w:type="dxa"/>
            </w:tcMar>
            <w:vAlign w:val="center"/>
          </w:tcPr>
          <w:p>
            <w:pPr>
              <w:spacing w:after="40"/>
            </w:pPr>
            <w:r>
              <w:rPr>
                <w:rFonts w:ascii="Aptos" w:hAnsi="Aptos"/>
                <w:sz w:val="17"/>
              </w:rPr>
              <w:t>Evidence controlling the greatest number of material subject variables with the fewest significant adjustments.</w:t>
            </w:r>
          </w:p>
        </w:tc>
      </w:tr>
      <w:tr>
        <w:tc>
          <w:tcPr>
            <w:tcW w:type="dxa" w:w="5083"/>
            <w:tcMar>
              <w:top w:w="90" w:type="dxa"/>
              <w:start w:w="90" w:type="dxa"/>
              <w:bottom w:w="90" w:type="dxa"/>
              <w:end w:w="90" w:type="dxa"/>
            </w:tcMar>
            <w:vAlign w:val="center"/>
          </w:tcPr>
          <w:p>
            <w:pPr>
              <w:spacing w:after="40"/>
            </w:pPr>
            <w:r>
              <w:rPr>
                <w:rFonts w:ascii="Aptos" w:hAnsi="Aptos"/>
                <w:b/>
                <w:sz w:val="17"/>
              </w:rPr>
              <w:t>Evidence Bridge</w:t>
            </w:r>
          </w:p>
        </w:tc>
        <w:tc>
          <w:tcPr>
            <w:tcW w:type="dxa" w:w="5083"/>
            <w:tcMar>
              <w:top w:w="90" w:type="dxa"/>
              <w:start w:w="90" w:type="dxa"/>
              <w:bottom w:w="90" w:type="dxa"/>
              <w:end w:w="90" w:type="dxa"/>
            </w:tcMar>
            <w:vAlign w:val="center"/>
          </w:tcPr>
          <w:p>
            <w:pPr>
              <w:spacing w:after="40"/>
            </w:pPr>
            <w:r>
              <w:rPr>
                <w:rFonts w:ascii="Aptos" w:hAnsi="Aptos"/>
                <w:sz w:val="17"/>
              </w:rPr>
              <w:t>A deliberate connection from a poorly supported subject to broader evidence groups, with each group assigned a defined valuation purpose.</w:t>
            </w:r>
          </w:p>
        </w:tc>
      </w:tr>
      <w:tr>
        <w:tc>
          <w:tcPr>
            <w:tcW w:type="dxa" w:w="5083"/>
            <w:tcMar>
              <w:top w:w="90" w:type="dxa"/>
              <w:start w:w="90" w:type="dxa"/>
              <w:bottom w:w="90" w:type="dxa"/>
              <w:end w:w="90" w:type="dxa"/>
            </w:tcMar>
            <w:vAlign w:val="center"/>
          </w:tcPr>
          <w:p>
            <w:pPr>
              <w:spacing w:after="40"/>
            </w:pPr>
            <w:r>
              <w:rPr>
                <w:rFonts w:ascii="Aptos" w:hAnsi="Aptos"/>
                <w:b/>
                <w:sz w:val="17"/>
              </w:rPr>
              <w:t>Evidence Role</w:t>
            </w:r>
          </w:p>
        </w:tc>
        <w:tc>
          <w:tcPr>
            <w:tcW w:type="dxa" w:w="5083"/>
            <w:tcMar>
              <w:top w:w="90" w:type="dxa"/>
              <w:start w:w="90" w:type="dxa"/>
              <w:bottom w:w="90" w:type="dxa"/>
              <w:end w:w="90" w:type="dxa"/>
            </w:tcMar>
            <w:vAlign w:val="center"/>
          </w:tcPr>
          <w:p>
            <w:pPr>
              <w:spacing w:after="40"/>
            </w:pPr>
            <w:r>
              <w:rPr>
                <w:rFonts w:ascii="Aptos" w:hAnsi="Aptos"/>
                <w:sz w:val="17"/>
              </w:rPr>
              <w:t>The question a property or data group helps answer, such as direct value, lower support, upper boundary, component value, acceptance, resistance, or competition.</w:t>
            </w:r>
          </w:p>
        </w:tc>
      </w:tr>
      <w:tr>
        <w:tc>
          <w:tcPr>
            <w:tcW w:type="dxa" w:w="5083"/>
            <w:tcMar>
              <w:top w:w="90" w:type="dxa"/>
              <w:start w:w="90" w:type="dxa"/>
              <w:bottom w:w="90" w:type="dxa"/>
              <w:end w:w="90" w:type="dxa"/>
            </w:tcMar>
            <w:vAlign w:val="center"/>
          </w:tcPr>
          <w:p>
            <w:pPr>
              <w:spacing w:after="40"/>
            </w:pPr>
            <w:r>
              <w:rPr>
                <w:rFonts w:ascii="Aptos" w:hAnsi="Aptos"/>
                <w:b/>
                <w:sz w:val="17"/>
              </w:rPr>
              <w:t>Fact</w:t>
            </w:r>
          </w:p>
        </w:tc>
        <w:tc>
          <w:tcPr>
            <w:tcW w:type="dxa" w:w="5083"/>
            <w:tcMar>
              <w:top w:w="90" w:type="dxa"/>
              <w:start w:w="90" w:type="dxa"/>
              <w:bottom w:w="90" w:type="dxa"/>
              <w:end w:w="90" w:type="dxa"/>
            </w:tcMar>
            <w:vAlign w:val="center"/>
          </w:tcPr>
          <w:p>
            <w:pPr>
              <w:spacing w:after="40"/>
            </w:pPr>
            <w:r>
              <w:rPr>
                <w:rFonts w:ascii="Aptos" w:hAnsi="Aptos"/>
                <w:sz w:val="17"/>
              </w:rPr>
              <w:t>A statement directly supported by authoritative evidence.</w:t>
            </w:r>
          </w:p>
        </w:tc>
      </w:tr>
      <w:tr>
        <w:tc>
          <w:tcPr>
            <w:tcW w:type="dxa" w:w="5083"/>
            <w:tcMar>
              <w:top w:w="90" w:type="dxa"/>
              <w:start w:w="90" w:type="dxa"/>
              <w:bottom w:w="90" w:type="dxa"/>
              <w:end w:w="90" w:type="dxa"/>
            </w:tcMar>
            <w:vAlign w:val="center"/>
          </w:tcPr>
          <w:p>
            <w:pPr>
              <w:spacing w:after="40"/>
            </w:pPr>
            <w:r>
              <w:rPr>
                <w:rFonts w:ascii="Aptos" w:hAnsi="Aptos"/>
                <w:b/>
                <w:sz w:val="17"/>
              </w:rPr>
              <w:t>Historical Context</w:t>
            </w:r>
          </w:p>
        </w:tc>
        <w:tc>
          <w:tcPr>
            <w:tcW w:type="dxa" w:w="5083"/>
            <w:tcMar>
              <w:top w:w="90" w:type="dxa"/>
              <w:start w:w="90" w:type="dxa"/>
              <w:bottom w:w="90" w:type="dxa"/>
              <w:end w:w="90" w:type="dxa"/>
            </w:tcMar>
            <w:vAlign w:val="center"/>
          </w:tcPr>
          <w:p>
            <w:pPr>
              <w:spacing w:after="40"/>
            </w:pPr>
            <w:r>
              <w:rPr>
                <w:rFonts w:ascii="Aptos" w:hAnsi="Aptos"/>
                <w:sz w:val="17"/>
              </w:rPr>
              <w:t>Older evidence retained to explain positioning or change but not allowed to silently control current facts.</w:t>
            </w:r>
          </w:p>
        </w:tc>
      </w:tr>
      <w:tr>
        <w:tc>
          <w:tcPr>
            <w:tcW w:type="dxa" w:w="5083"/>
            <w:tcMar>
              <w:top w:w="90" w:type="dxa"/>
              <w:start w:w="90" w:type="dxa"/>
              <w:bottom w:w="90" w:type="dxa"/>
              <w:end w:w="90" w:type="dxa"/>
            </w:tcMar>
            <w:vAlign w:val="center"/>
          </w:tcPr>
          <w:p>
            <w:pPr>
              <w:spacing w:after="40"/>
            </w:pPr>
            <w:r>
              <w:rPr>
                <w:rFonts w:ascii="Aptos" w:hAnsi="Aptos"/>
                <w:b/>
                <w:sz w:val="17"/>
              </w:rPr>
              <w:t>Inference</w:t>
            </w:r>
          </w:p>
        </w:tc>
        <w:tc>
          <w:tcPr>
            <w:tcW w:type="dxa" w:w="5083"/>
            <w:tcMar>
              <w:top w:w="90" w:type="dxa"/>
              <w:start w:w="90" w:type="dxa"/>
              <w:bottom w:w="90" w:type="dxa"/>
              <w:end w:w="90" w:type="dxa"/>
            </w:tcMar>
            <w:vAlign w:val="center"/>
          </w:tcPr>
          <w:p>
            <w:pPr>
              <w:spacing w:after="40"/>
            </w:pPr>
            <w:r>
              <w:rPr>
                <w:rFonts w:ascii="Aptos" w:hAnsi="Aptos"/>
                <w:sz w:val="17"/>
              </w:rPr>
              <w:t>A reasoned conclusion derived from facts but not directly stated by the source.</w:t>
            </w:r>
          </w:p>
        </w:tc>
      </w:tr>
      <w:tr>
        <w:tc>
          <w:tcPr>
            <w:tcW w:type="dxa" w:w="5083"/>
            <w:tcMar>
              <w:top w:w="90" w:type="dxa"/>
              <w:start w:w="90" w:type="dxa"/>
              <w:bottom w:w="90" w:type="dxa"/>
              <w:end w:w="90" w:type="dxa"/>
            </w:tcMar>
            <w:vAlign w:val="center"/>
          </w:tcPr>
          <w:p>
            <w:pPr>
              <w:spacing w:after="40"/>
            </w:pPr>
            <w:r>
              <w:rPr>
                <w:rFonts w:ascii="Aptos" w:hAnsi="Aptos"/>
                <w:b/>
                <w:sz w:val="17"/>
              </w:rPr>
              <w:t>Market Acceptance</w:t>
            </w:r>
          </w:p>
        </w:tc>
        <w:tc>
          <w:tcPr>
            <w:tcW w:type="dxa" w:w="5083"/>
            <w:tcMar>
              <w:top w:w="90" w:type="dxa"/>
              <w:start w:w="90" w:type="dxa"/>
              <w:bottom w:w="90" w:type="dxa"/>
              <w:end w:w="90" w:type="dxa"/>
            </w:tcMar>
            <w:vAlign w:val="center"/>
          </w:tcPr>
          <w:p>
            <w:pPr>
              <w:spacing w:after="40"/>
            </w:pPr>
            <w:r>
              <w:rPr>
                <w:rFonts w:ascii="Aptos" w:hAnsi="Aptos"/>
                <w:sz w:val="17"/>
              </w:rPr>
              <w:t>Observable evidence that buyers accepted or resisted a property, price, presentation, or terms.</w:t>
            </w:r>
          </w:p>
        </w:tc>
      </w:tr>
      <w:tr>
        <w:tc>
          <w:tcPr>
            <w:tcW w:type="dxa" w:w="5083"/>
            <w:tcMar>
              <w:top w:w="90" w:type="dxa"/>
              <w:start w:w="90" w:type="dxa"/>
              <w:bottom w:w="90" w:type="dxa"/>
              <w:end w:w="90" w:type="dxa"/>
            </w:tcMar>
            <w:vAlign w:val="center"/>
          </w:tcPr>
          <w:p>
            <w:pPr>
              <w:spacing w:after="40"/>
            </w:pPr>
            <w:r>
              <w:rPr>
                <w:rFonts w:ascii="Aptos" w:hAnsi="Aptos"/>
                <w:b/>
                <w:sz w:val="17"/>
              </w:rPr>
              <w:t>Net Close Price</w:t>
            </w:r>
          </w:p>
        </w:tc>
        <w:tc>
          <w:tcPr>
            <w:tcW w:type="dxa" w:w="5083"/>
            <w:tcMar>
              <w:top w:w="90" w:type="dxa"/>
              <w:start w:w="90" w:type="dxa"/>
              <w:bottom w:w="90" w:type="dxa"/>
              <w:end w:w="90" w:type="dxa"/>
            </w:tcMar>
            <w:vAlign w:val="center"/>
          </w:tcPr>
          <w:p>
            <w:pPr>
              <w:spacing w:after="40"/>
            </w:pPr>
            <w:r>
              <w:rPr>
                <w:rFonts w:ascii="Aptos" w:hAnsi="Aptos"/>
                <w:sz w:val="17"/>
              </w:rPr>
              <w:t>Close Price less verified seller concessions when that treatment appropriately represents the economic transaction; both gross and net must be preserved.</w:t>
            </w:r>
          </w:p>
        </w:tc>
      </w:tr>
      <w:tr>
        <w:tc>
          <w:tcPr>
            <w:tcW w:type="dxa" w:w="5083"/>
            <w:tcMar>
              <w:top w:w="90" w:type="dxa"/>
              <w:start w:w="90" w:type="dxa"/>
              <w:bottom w:w="90" w:type="dxa"/>
              <w:end w:w="90" w:type="dxa"/>
            </w:tcMar>
            <w:vAlign w:val="center"/>
          </w:tcPr>
          <w:p>
            <w:pPr>
              <w:spacing w:after="40"/>
            </w:pPr>
            <w:r>
              <w:rPr>
                <w:rFonts w:ascii="Aptos" w:hAnsi="Aptos"/>
                <w:b/>
                <w:sz w:val="17"/>
              </w:rPr>
              <w:t>Observation</w:t>
            </w:r>
          </w:p>
        </w:tc>
        <w:tc>
          <w:tcPr>
            <w:tcW w:type="dxa" w:w="5083"/>
            <w:tcMar>
              <w:top w:w="90" w:type="dxa"/>
              <w:start w:w="90" w:type="dxa"/>
              <w:bottom w:w="90" w:type="dxa"/>
              <w:end w:w="90" w:type="dxa"/>
            </w:tcMar>
            <w:vAlign w:val="center"/>
          </w:tcPr>
          <w:p>
            <w:pPr>
              <w:spacing w:after="40"/>
            </w:pPr>
            <w:r>
              <w:rPr>
                <w:rFonts w:ascii="Aptos" w:hAnsi="Aptos"/>
                <w:sz w:val="17"/>
              </w:rPr>
              <w:t>A statement directly grounded in a source or visible calculation.</w:t>
            </w:r>
          </w:p>
        </w:tc>
      </w:tr>
      <w:tr>
        <w:tc>
          <w:tcPr>
            <w:tcW w:type="dxa" w:w="5083"/>
            <w:tcMar>
              <w:top w:w="90" w:type="dxa"/>
              <w:start w:w="90" w:type="dxa"/>
              <w:bottom w:w="90" w:type="dxa"/>
              <w:end w:w="90" w:type="dxa"/>
            </w:tcMar>
            <w:vAlign w:val="center"/>
          </w:tcPr>
          <w:p>
            <w:pPr>
              <w:spacing w:after="40"/>
            </w:pPr>
            <w:r>
              <w:rPr>
                <w:rFonts w:ascii="Aptos" w:hAnsi="Aptos"/>
                <w:b/>
                <w:sz w:val="17"/>
              </w:rPr>
              <w:t>Opinion / Judgment</w:t>
            </w:r>
          </w:p>
        </w:tc>
        <w:tc>
          <w:tcPr>
            <w:tcW w:type="dxa" w:w="5083"/>
            <w:tcMar>
              <w:top w:w="90" w:type="dxa"/>
              <w:start w:w="90" w:type="dxa"/>
              <w:bottom w:w="90" w:type="dxa"/>
              <w:end w:w="90" w:type="dxa"/>
            </w:tcMar>
            <w:vAlign w:val="center"/>
          </w:tcPr>
          <w:p>
            <w:pPr>
              <w:spacing w:after="40"/>
            </w:pPr>
            <w:r>
              <w:rPr>
                <w:rFonts w:ascii="Aptos" w:hAnsi="Aptos"/>
                <w:sz w:val="17"/>
              </w:rPr>
              <w:t>Professional reasoning extending beyond directly measurable fact; it must be labeled and supported.</w:t>
            </w:r>
          </w:p>
        </w:tc>
      </w:tr>
      <w:tr>
        <w:tc>
          <w:tcPr>
            <w:tcW w:type="dxa" w:w="5083"/>
            <w:tcMar>
              <w:top w:w="90" w:type="dxa"/>
              <w:start w:w="90" w:type="dxa"/>
              <w:bottom w:w="90" w:type="dxa"/>
              <w:end w:w="90" w:type="dxa"/>
            </w:tcMar>
            <w:vAlign w:val="center"/>
          </w:tcPr>
          <w:p>
            <w:pPr>
              <w:spacing w:after="40"/>
            </w:pPr>
            <w:r>
              <w:rPr>
                <w:rFonts w:ascii="Aptos" w:hAnsi="Aptos"/>
                <w:b/>
                <w:sz w:val="17"/>
              </w:rPr>
              <w:t>Price Per Square Foot</w:t>
            </w:r>
          </w:p>
        </w:tc>
        <w:tc>
          <w:tcPr>
            <w:tcW w:type="dxa" w:w="5083"/>
            <w:tcMar>
              <w:top w:w="90" w:type="dxa"/>
              <w:start w:w="90" w:type="dxa"/>
              <w:bottom w:w="90" w:type="dxa"/>
              <w:end w:w="90" w:type="dxa"/>
            </w:tcMar>
            <w:vAlign w:val="center"/>
          </w:tcPr>
          <w:p>
            <w:pPr>
              <w:spacing w:after="40"/>
            </w:pPr>
            <w:r>
              <w:rPr>
                <w:rFonts w:ascii="Aptos" w:hAnsi="Aptos"/>
                <w:sz w:val="17"/>
              </w:rPr>
              <w:t>A descriptive ratio obtained by dividing a price by a stated area denominator; it is not automatically an adjustment rate.</w:t>
            </w:r>
          </w:p>
        </w:tc>
      </w:tr>
      <w:tr>
        <w:tc>
          <w:tcPr>
            <w:tcW w:type="dxa" w:w="5083"/>
            <w:tcMar>
              <w:top w:w="90" w:type="dxa"/>
              <w:start w:w="90" w:type="dxa"/>
              <w:bottom w:w="90" w:type="dxa"/>
              <w:end w:w="90" w:type="dxa"/>
            </w:tcMar>
            <w:vAlign w:val="center"/>
          </w:tcPr>
          <w:p>
            <w:pPr>
              <w:spacing w:after="40"/>
            </w:pPr>
            <w:r>
              <w:rPr>
                <w:rFonts w:ascii="Aptos" w:hAnsi="Aptos"/>
                <w:b/>
                <w:sz w:val="17"/>
              </w:rPr>
              <w:t>Pricing Position</w:t>
            </w:r>
          </w:p>
        </w:tc>
        <w:tc>
          <w:tcPr>
            <w:tcW w:type="dxa" w:w="5083"/>
            <w:tcMar>
              <w:top w:w="90" w:type="dxa"/>
              <w:start w:w="90" w:type="dxa"/>
              <w:bottom w:w="90" w:type="dxa"/>
              <w:end w:w="90" w:type="dxa"/>
            </w:tcMar>
            <w:vAlign w:val="center"/>
          </w:tcPr>
          <w:p>
            <w:pPr>
              <w:spacing w:after="40"/>
            </w:pPr>
            <w:r>
              <w:rPr>
                <w:rFonts w:ascii="Aptos" w:hAnsi="Aptos"/>
                <w:sz w:val="17"/>
              </w:rPr>
              <w:t>The strategic list, offer, or action point selected in relation to the Analytical Value Range and current market conditions.</w:t>
            </w:r>
          </w:p>
        </w:tc>
      </w:tr>
      <w:tr>
        <w:tc>
          <w:tcPr>
            <w:tcW w:type="dxa" w:w="5083"/>
            <w:tcMar>
              <w:top w:w="90" w:type="dxa"/>
              <w:start w:w="90" w:type="dxa"/>
              <w:bottom w:w="90" w:type="dxa"/>
              <w:end w:w="90" w:type="dxa"/>
            </w:tcMar>
            <w:vAlign w:val="center"/>
          </w:tcPr>
          <w:p>
            <w:pPr>
              <w:spacing w:after="40"/>
            </w:pPr>
            <w:r>
              <w:rPr>
                <w:rFonts w:ascii="Aptos" w:hAnsi="Aptos"/>
                <w:b/>
                <w:sz w:val="17"/>
              </w:rPr>
              <w:t>Primary Comparable</w:t>
            </w:r>
          </w:p>
        </w:tc>
        <w:tc>
          <w:tcPr>
            <w:tcW w:type="dxa" w:w="5083"/>
            <w:tcMar>
              <w:top w:w="90" w:type="dxa"/>
              <w:start w:w="90" w:type="dxa"/>
              <w:bottom w:w="90" w:type="dxa"/>
              <w:end w:w="90" w:type="dxa"/>
            </w:tcMar>
            <w:vAlign w:val="center"/>
          </w:tcPr>
          <w:p>
            <w:pPr>
              <w:spacing w:after="40"/>
            </w:pPr>
            <w:r>
              <w:rPr>
                <w:rFonts w:ascii="Aptos" w:hAnsi="Aptos"/>
                <w:sz w:val="17"/>
              </w:rPr>
              <w:t>A property receiving substantial control in reconciliation because of high relevance, reliable data, and manageable differences.</w:t>
            </w:r>
          </w:p>
        </w:tc>
      </w:tr>
      <w:tr>
        <w:tc>
          <w:tcPr>
            <w:tcW w:type="dxa" w:w="5083"/>
            <w:tcMar>
              <w:top w:w="90" w:type="dxa"/>
              <w:start w:w="90" w:type="dxa"/>
              <w:bottom w:w="90" w:type="dxa"/>
              <w:end w:w="90" w:type="dxa"/>
            </w:tcMar>
            <w:vAlign w:val="center"/>
          </w:tcPr>
          <w:p>
            <w:pPr>
              <w:spacing w:after="40"/>
            </w:pPr>
            <w:r>
              <w:rPr>
                <w:rFonts w:ascii="Aptos" w:hAnsi="Aptos"/>
                <w:b/>
                <w:sz w:val="17"/>
              </w:rPr>
              <w:t>Provisional Standard</w:t>
            </w:r>
          </w:p>
        </w:tc>
        <w:tc>
          <w:tcPr>
            <w:tcW w:type="dxa" w:w="5083"/>
            <w:tcMar>
              <w:top w:w="90" w:type="dxa"/>
              <w:start w:w="90" w:type="dxa"/>
              <w:bottom w:w="90" w:type="dxa"/>
              <w:end w:w="90" w:type="dxa"/>
            </w:tcMar>
            <w:vAlign w:val="center"/>
          </w:tcPr>
          <w:p>
            <w:pPr>
              <w:spacing w:after="40"/>
            </w:pPr>
            <w:r>
              <w:rPr>
                <w:rFonts w:ascii="Aptos" w:hAnsi="Aptos"/>
                <w:sz w:val="17"/>
              </w:rPr>
              <w:t>A controlled operating reference used until a validated successor is approved; it must not be represented as permanent market truth.</w:t>
            </w:r>
          </w:p>
        </w:tc>
      </w:tr>
      <w:tr>
        <w:tc>
          <w:tcPr>
            <w:tcW w:type="dxa" w:w="5083"/>
            <w:tcMar>
              <w:top w:w="90" w:type="dxa"/>
              <w:start w:w="90" w:type="dxa"/>
              <w:bottom w:w="90" w:type="dxa"/>
              <w:end w:w="90" w:type="dxa"/>
            </w:tcMar>
            <w:vAlign w:val="center"/>
          </w:tcPr>
          <w:p>
            <w:pPr>
              <w:spacing w:after="40"/>
            </w:pPr>
            <w:r>
              <w:rPr>
                <w:rFonts w:ascii="Aptos" w:hAnsi="Aptos"/>
                <w:b/>
                <w:sz w:val="17"/>
              </w:rPr>
              <w:t>Supportable</w:t>
            </w:r>
          </w:p>
        </w:tc>
        <w:tc>
          <w:tcPr>
            <w:tcW w:type="dxa" w:w="5083"/>
            <w:tcMar>
              <w:top w:w="90" w:type="dxa"/>
              <w:start w:w="90" w:type="dxa"/>
              <w:bottom w:w="90" w:type="dxa"/>
              <w:end w:w="90" w:type="dxa"/>
            </w:tcMar>
            <w:vAlign w:val="center"/>
          </w:tcPr>
          <w:p>
            <w:pPr>
              <w:spacing w:after="40"/>
            </w:pPr>
            <w:r>
              <w:rPr>
                <w:rFonts w:ascii="Aptos" w:hAnsi="Aptos"/>
                <w:sz w:val="17"/>
              </w:rPr>
              <w:t>Defensible from the evidence and reasoning, even when uncertainty remains.</w:t>
            </w:r>
          </w:p>
        </w:tc>
      </w:tr>
      <w:tr>
        <w:tc>
          <w:tcPr>
            <w:tcW w:type="dxa" w:w="5083"/>
            <w:tcMar>
              <w:top w:w="90" w:type="dxa"/>
              <w:start w:w="90" w:type="dxa"/>
              <w:bottom w:w="90" w:type="dxa"/>
              <w:end w:w="90" w:type="dxa"/>
            </w:tcMar>
            <w:vAlign w:val="center"/>
          </w:tcPr>
          <w:p>
            <w:pPr>
              <w:spacing w:after="40"/>
            </w:pPr>
            <w:r>
              <w:rPr>
                <w:rFonts w:ascii="Aptos" w:hAnsi="Aptos"/>
                <w:b/>
                <w:sz w:val="17"/>
              </w:rPr>
              <w:t>Temporal Integrity</w:t>
            </w:r>
          </w:p>
        </w:tc>
        <w:tc>
          <w:tcPr>
            <w:tcW w:type="dxa" w:w="5083"/>
            <w:tcMar>
              <w:top w:w="90" w:type="dxa"/>
              <w:start w:w="90" w:type="dxa"/>
              <w:bottom w:w="90" w:type="dxa"/>
              <w:end w:w="90" w:type="dxa"/>
            </w:tcMar>
            <w:vAlign w:val="center"/>
          </w:tcPr>
          <w:p>
            <w:pPr>
              <w:spacing w:after="40"/>
            </w:pPr>
            <w:r>
              <w:rPr>
                <w:rFonts w:ascii="Aptos" w:hAnsi="Aptos"/>
                <w:sz w:val="17"/>
              </w:rPr>
              <w:t>The requirement that facts, evidence, and judgments used in a conclusion belong to the same identified assignment state and effective time.</w:t>
            </w:r>
          </w:p>
        </w:tc>
      </w:tr>
      <w:tr>
        <w:tc>
          <w:tcPr>
            <w:tcW w:type="dxa" w:w="5083"/>
            <w:tcMar>
              <w:top w:w="90" w:type="dxa"/>
              <w:start w:w="90" w:type="dxa"/>
              <w:bottom w:w="90" w:type="dxa"/>
              <w:end w:w="90" w:type="dxa"/>
            </w:tcMar>
            <w:vAlign w:val="center"/>
          </w:tcPr>
          <w:p>
            <w:pPr>
              <w:spacing w:after="40"/>
            </w:pPr>
            <w:r>
              <w:rPr>
                <w:rFonts w:ascii="Aptos" w:hAnsi="Aptos"/>
                <w:b/>
                <w:sz w:val="17"/>
              </w:rPr>
              <w:t>Valuation Evidence Package</w:t>
            </w:r>
          </w:p>
        </w:tc>
        <w:tc>
          <w:tcPr>
            <w:tcW w:type="dxa" w:w="5083"/>
            <w:tcMar>
              <w:top w:w="90" w:type="dxa"/>
              <w:start w:w="90" w:type="dxa"/>
              <w:bottom w:w="90" w:type="dxa"/>
              <w:end w:w="90" w:type="dxa"/>
            </w:tcMar>
            <w:vAlign w:val="center"/>
          </w:tcPr>
          <w:p>
            <w:pPr>
              <w:spacing w:after="40"/>
            </w:pPr>
            <w:r>
              <w:rPr>
                <w:rFonts w:ascii="Aptos" w:hAnsi="Aptos"/>
                <w:sz w:val="17"/>
              </w:rPr>
              <w:t>The complete set of direct comps, supporting evidence, adjustments, remarks findings, market evidence, limitations, and reasoning used to support the conclusion.</w:t>
            </w:r>
          </w:p>
        </w:tc>
      </w:tr>
    </w:tbl>
    <w:p>
      <w:pPr>
        <w:pStyle w:val="Heading1"/>
        <w:pageBreakBefore/>
        <w:pBdr>
          <w:top w:val="single" w:sz="10" w:space="4" w:color="1F4E79"/>
        </w:pBdr>
      </w:pPr>
      <w:r>
        <w:t>ARTICLE XVI — Appendices</w:t>
      </w:r>
    </w:p>
    <w:p>
      <w:pPr>
        <w:pStyle w:val="Heading2"/>
      </w:pPr>
      <w:r>
        <w:t>Appendix A — Independent Review Notes Table Template</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c>
          <w:tcPr>
            <w:tcW w:type="dxa" w:w="1271"/>
            <w:shd w:fill="1F4E79"/>
            <w:tcMar>
              <w:top w:w="60" w:type="dxa"/>
              <w:start w:w="60" w:type="dxa"/>
              <w:bottom w:w="60" w:type="dxa"/>
              <w:end w:w="60" w:type="dxa"/>
            </w:tcMar>
            <w:vAlign w:val="center"/>
          </w:tcPr>
          <w:p>
            <w:pPr>
              <w:spacing w:after="40"/>
            </w:pPr>
            <w:r>
              <w:rPr>
                <w:rFonts w:ascii="Aptos" w:hAnsi="Aptos"/>
                <w:b/>
                <w:color w:val="FFFFFF"/>
                <w:sz w:val="17"/>
              </w:rPr>
              <w:t>#</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Property / Source</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Finding</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Classification</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Value Relevance</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Signal / Approx. Range</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Already Accounted For?</w:t>
            </w:r>
          </w:p>
        </w:tc>
        <w:tc>
          <w:tcPr>
            <w:tcW w:type="dxa" w:w="1271"/>
            <w:shd w:fill="1F4E79"/>
            <w:tcMar>
              <w:top w:w="60" w:type="dxa"/>
              <w:start w:w="60" w:type="dxa"/>
              <w:bottom w:w="60" w:type="dxa"/>
              <w:end w:w="60" w:type="dxa"/>
            </w:tcMar>
            <w:vAlign w:val="center"/>
          </w:tcPr>
          <w:p>
            <w:pPr>
              <w:spacing w:after="40"/>
            </w:pPr>
            <w:r>
              <w:rPr>
                <w:rFonts w:ascii="Aptos" w:hAnsi="Aptos"/>
                <w:b/>
                <w:color w:val="FFFFFF"/>
                <w:sz w:val="17"/>
              </w:rPr>
              <w:t>Review Question / Disposition</w:t>
            </w:r>
          </w:p>
        </w:tc>
      </w:tr>
      <w:tr>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r>
      <w:tr>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r>
      <w:tr>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r>
      <w:tr>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r>
      <w:tr>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c>
          <w:tcPr>
            <w:tcW w:type="dxa" w:w="1271"/>
            <w:tcMar>
              <w:top w:w="60" w:type="dxa"/>
              <w:start w:w="60" w:type="dxa"/>
              <w:bottom w:w="60" w:type="dxa"/>
              <w:end w:w="60" w:type="dxa"/>
            </w:tcMar>
            <w:vAlign w:val="center"/>
          </w:tcPr>
          <w:p>
            <w:pPr>
              <w:spacing w:after="40"/>
            </w:pPr>
            <w:r>
              <w:rPr>
                <w:rFonts w:ascii="Aptos" w:hAnsi="Aptos"/>
                <w:sz w:val="17"/>
              </w:rPr>
            </w:r>
          </w:p>
        </w:tc>
      </w:tr>
    </w:tbl>
    <w:p>
      <w:pPr>
        <w:pStyle w:val="Heading2"/>
      </w:pPr>
      <w:r>
        <w:t>Appendix B — Evidence Expansion Record Template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1F4E79"/>
            <w:vAlign w:val="center"/>
          </w:tcPr>
          <w:p>
            <w:pPr>
              <w:spacing w:after="40"/>
            </w:pPr>
            <w:r>
              <w:rPr>
                <w:rFonts w:ascii="Aptos" w:hAnsi="Aptos"/>
                <w:b/>
                <w:color w:val="FFFFFF"/>
                <w:sz w:val="17"/>
              </w:rPr>
              <w:t>Layer</w:t>
            </w:r>
          </w:p>
        </w:tc>
        <w:tc>
          <w:tcPr>
            <w:tcW w:type="dxa" w:w="2033"/>
            <w:shd w:fill="1F4E79"/>
            <w:vAlign w:val="center"/>
          </w:tcPr>
          <w:p>
            <w:pPr>
              <w:spacing w:after="40"/>
            </w:pPr>
            <w:r>
              <w:rPr>
                <w:rFonts w:ascii="Aptos" w:hAnsi="Aptos"/>
                <w:b/>
                <w:color w:val="FFFFFF"/>
                <w:sz w:val="17"/>
              </w:rPr>
              <w:t>Evidence found</w:t>
            </w:r>
          </w:p>
        </w:tc>
        <w:tc>
          <w:tcPr>
            <w:tcW w:type="dxa" w:w="2033"/>
            <w:shd w:fill="1F4E79"/>
            <w:vAlign w:val="center"/>
          </w:tcPr>
          <w:p>
            <w:pPr>
              <w:spacing w:after="40"/>
            </w:pPr>
            <w:r>
              <w:rPr>
                <w:rFonts w:ascii="Aptos" w:hAnsi="Aptos"/>
                <w:b/>
                <w:color w:val="FFFFFF"/>
                <w:sz w:val="17"/>
              </w:rPr>
              <w:t>Characteristic preserved</w:t>
            </w:r>
          </w:p>
        </w:tc>
        <w:tc>
          <w:tcPr>
            <w:tcW w:type="dxa" w:w="2033"/>
            <w:shd w:fill="1F4E79"/>
            <w:vAlign w:val="center"/>
          </w:tcPr>
          <w:p>
            <w:pPr>
              <w:spacing w:after="40"/>
            </w:pPr>
            <w:r>
              <w:rPr>
                <w:rFonts w:ascii="Aptos" w:hAnsi="Aptos"/>
                <w:b/>
                <w:color w:val="FFFFFF"/>
                <w:sz w:val="17"/>
              </w:rPr>
              <w:t>Characteristic relaxed</w:t>
            </w:r>
          </w:p>
        </w:tc>
        <w:tc>
          <w:tcPr>
            <w:tcW w:type="dxa" w:w="2033"/>
            <w:shd w:fill="1F4E79"/>
            <w:vAlign w:val="center"/>
          </w:tcPr>
          <w:p>
            <w:pPr>
              <w:spacing w:after="40"/>
            </w:pPr>
            <w:r>
              <w:rPr>
                <w:rFonts w:ascii="Aptos" w:hAnsi="Aptos"/>
                <w:b/>
                <w:color w:val="FFFFFF"/>
                <w:sz w:val="17"/>
              </w:rPr>
              <w:t>Question answered / limitation</w:t>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r>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c>
          <w:tcPr>
            <w:tcW w:type="dxa" w:w="2033"/>
            <w:tcMar>
              <w:top w:w="90" w:type="dxa"/>
              <w:start w:w="90" w:type="dxa"/>
              <w:bottom w:w="90" w:type="dxa"/>
              <w:end w:w="90" w:type="dxa"/>
            </w:tcMar>
            <w:vAlign w:val="center"/>
          </w:tcPr>
          <w:p>
            <w:pPr>
              <w:spacing w:after="40"/>
            </w:pPr>
            <w:r>
              <w:rPr>
                <w:rFonts w:ascii="Aptos" w:hAnsi="Aptos"/>
                <w:sz w:val="17"/>
              </w:rPr>
            </w:r>
          </w:p>
        </w:tc>
      </w:tr>
    </w:tbl>
    <w:p>
      <w:pPr>
        <w:pStyle w:val="Heading2"/>
      </w:pPr>
      <w:r>
        <w:t>Appendix C — Adjustment Audit Template</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c>
          <w:tcPr>
            <w:tcW w:type="dxa" w:w="1271"/>
            <w:shd w:fill="1F4E79"/>
            <w:vAlign w:val="center"/>
          </w:tcPr>
          <w:p>
            <w:pPr>
              <w:spacing w:after="40"/>
            </w:pPr>
            <w:r>
              <w:rPr>
                <w:rFonts w:ascii="Aptos" w:hAnsi="Aptos"/>
                <w:b/>
                <w:color w:val="FFFFFF"/>
                <w:sz w:val="17"/>
              </w:rPr>
              <w:t>Comp</w:t>
            </w:r>
          </w:p>
        </w:tc>
        <w:tc>
          <w:tcPr>
            <w:tcW w:type="dxa" w:w="1271"/>
            <w:shd w:fill="1F4E79"/>
            <w:vAlign w:val="center"/>
          </w:tcPr>
          <w:p>
            <w:pPr>
              <w:spacing w:after="40"/>
            </w:pPr>
            <w:r>
              <w:rPr>
                <w:rFonts w:ascii="Aptos" w:hAnsi="Aptos"/>
                <w:b/>
                <w:color w:val="FFFFFF"/>
                <w:sz w:val="17"/>
              </w:rPr>
              <w:t>Category</w:t>
            </w:r>
          </w:p>
        </w:tc>
        <w:tc>
          <w:tcPr>
            <w:tcW w:type="dxa" w:w="1271"/>
            <w:shd w:fill="1F4E79"/>
            <w:vAlign w:val="center"/>
          </w:tcPr>
          <w:p>
            <w:pPr>
              <w:spacing w:after="40"/>
            </w:pPr>
            <w:r>
              <w:rPr>
                <w:rFonts w:ascii="Aptos" w:hAnsi="Aptos"/>
                <w:b/>
                <w:color w:val="FFFFFF"/>
                <w:sz w:val="17"/>
              </w:rPr>
              <w:t>Subject</w:t>
            </w:r>
          </w:p>
        </w:tc>
        <w:tc>
          <w:tcPr>
            <w:tcW w:type="dxa" w:w="1271"/>
            <w:shd w:fill="1F4E79"/>
            <w:vAlign w:val="center"/>
          </w:tcPr>
          <w:p>
            <w:pPr>
              <w:spacing w:after="40"/>
            </w:pPr>
            <w:r>
              <w:rPr>
                <w:rFonts w:ascii="Aptos" w:hAnsi="Aptos"/>
                <w:b/>
                <w:color w:val="FFFFFF"/>
                <w:sz w:val="17"/>
              </w:rPr>
              <w:t>Comp</w:t>
            </w:r>
          </w:p>
        </w:tc>
        <w:tc>
          <w:tcPr>
            <w:tcW w:type="dxa" w:w="1271"/>
            <w:shd w:fill="1F4E79"/>
            <w:vAlign w:val="center"/>
          </w:tcPr>
          <w:p>
            <w:pPr>
              <w:spacing w:after="40"/>
            </w:pPr>
            <w:r>
              <w:rPr>
                <w:rFonts w:ascii="Aptos" w:hAnsi="Aptos"/>
                <w:b/>
                <w:color w:val="FFFFFF"/>
                <w:sz w:val="17"/>
              </w:rPr>
              <w:t>Difference</w:t>
            </w:r>
          </w:p>
        </w:tc>
        <w:tc>
          <w:tcPr>
            <w:tcW w:type="dxa" w:w="1271"/>
            <w:shd w:fill="1F4E79"/>
            <w:vAlign w:val="center"/>
          </w:tcPr>
          <w:p>
            <w:pPr>
              <w:spacing w:after="40"/>
            </w:pPr>
            <w:r>
              <w:rPr>
                <w:rFonts w:ascii="Aptos" w:hAnsi="Aptos"/>
                <w:b/>
                <w:color w:val="FFFFFF"/>
                <w:sz w:val="17"/>
              </w:rPr>
              <w:t>Rate / Rationale</w:t>
            </w:r>
          </w:p>
        </w:tc>
        <w:tc>
          <w:tcPr>
            <w:tcW w:type="dxa" w:w="1271"/>
            <w:shd w:fill="1F4E79"/>
            <w:vAlign w:val="center"/>
          </w:tcPr>
          <w:p>
            <w:pPr>
              <w:spacing w:after="40"/>
            </w:pPr>
            <w:r>
              <w:rPr>
                <w:rFonts w:ascii="Aptos" w:hAnsi="Aptos"/>
                <w:b/>
                <w:color w:val="FFFFFF"/>
                <w:sz w:val="17"/>
              </w:rPr>
              <w:t>Direction</w:t>
            </w:r>
          </w:p>
        </w:tc>
        <w:tc>
          <w:tcPr>
            <w:tcW w:type="dxa" w:w="1271"/>
            <w:shd w:fill="1F4E79"/>
            <w:vAlign w:val="center"/>
          </w:tcPr>
          <w:p>
            <w:pPr>
              <w:spacing w:after="40"/>
            </w:pPr>
            <w:r>
              <w:rPr>
                <w:rFonts w:ascii="Aptos" w:hAnsi="Aptos"/>
                <w:b/>
                <w:color w:val="FFFFFF"/>
                <w:sz w:val="17"/>
              </w:rPr>
              <w:t>Adjustment</w:t>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r>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c>
          <w:tcPr>
            <w:tcW w:type="dxa" w:w="1271"/>
            <w:tcMar>
              <w:top w:w="90" w:type="dxa"/>
              <w:start w:w="90" w:type="dxa"/>
              <w:bottom w:w="90" w:type="dxa"/>
              <w:end w:w="90" w:type="dxa"/>
            </w:tcMar>
            <w:vAlign w:val="center"/>
          </w:tcPr>
          <w:p>
            <w:pPr>
              <w:spacing w:after="40"/>
            </w:pPr>
            <w:r>
              <w:rPr>
                <w:rFonts w:ascii="Aptos" w:hAnsi="Aptos"/>
                <w:sz w:val="17"/>
              </w:rPr>
            </w:r>
          </w:p>
        </w:tc>
      </w:tr>
    </w:tbl>
    <w:p>
      <w:pPr>
        <w:pStyle w:val="Heading2"/>
      </w:pPr>
      <w:r>
        <w:t>Appendix D — Scope Deferred for Later Standards</w:t>
      </w:r>
    </w:p>
    <w:p>
      <w:pPr>
        <w:pStyle w:val="ListBullet"/>
      </w:pPr>
      <w:r>
        <w:t>Independent market adjustment study to validate or replace provisional $40 / $20 / $5 area rates.</w:t>
      </w:r>
    </w:p>
    <w:p>
      <w:pPr>
        <w:pStyle w:val="ListBullet"/>
      </w:pPr>
      <w:r>
        <w:t>Formal tax, metro-district, and total recurring property-burden analysis.</w:t>
      </w:r>
    </w:p>
    <w:p>
      <w:pPr>
        <w:pStyle w:val="ListBullet"/>
      </w:pPr>
      <w:r>
        <w:t>Automated paired-sales and regression adjustment support.</w:t>
      </w:r>
    </w:p>
    <w:p>
      <w:pPr>
        <w:pStyle w:val="ListBullet"/>
      </w:pPr>
      <w:r>
        <w:t>Condo-specific project financeability, reserves, insurance, assessments, and HOA burden model.</w:t>
      </w:r>
    </w:p>
    <w:p>
      <w:pPr>
        <w:pStyle w:val="ListBullet"/>
      </w:pPr>
      <w:r>
        <w:t>Retrospect / after-active tactical review.</w:t>
      </w:r>
    </w:p>
    <w:p>
      <w:pPr>
        <w:pStyle w:val="ListBullet"/>
      </w:pPr>
      <w:r>
        <w:t>Full ICHIBAN BBC underwriting charter and seller-report implementation.</w:t>
      </w:r>
    </w:p>
    <w:p>
      <w:pPr>
        <w:pStyle w:val="Heading2"/>
      </w:pPr>
      <w:r>
        <w:t>Appendix E — Document History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F4E79"/>
            <w:vAlign w:val="center"/>
          </w:tcPr>
          <w:p>
            <w:pPr>
              <w:spacing w:after="40"/>
            </w:pPr>
            <w:r>
              <w:rPr>
                <w:rFonts w:ascii="Aptos" w:hAnsi="Aptos"/>
                <w:b/>
                <w:color w:val="FFFFFF"/>
                <w:sz w:val="17"/>
              </w:rPr>
              <w:t>Version</w:t>
            </w:r>
          </w:p>
        </w:tc>
        <w:tc>
          <w:tcPr>
            <w:tcW w:type="dxa" w:w="2541"/>
            <w:shd w:fill="1F4E79"/>
            <w:vAlign w:val="center"/>
          </w:tcPr>
          <w:p>
            <w:pPr>
              <w:spacing w:after="40"/>
            </w:pPr>
            <w:r>
              <w:rPr>
                <w:rFonts w:ascii="Aptos" w:hAnsi="Aptos"/>
                <w:b/>
                <w:color w:val="FFFFFF"/>
                <w:sz w:val="17"/>
              </w:rPr>
              <w:t>Date</w:t>
            </w:r>
          </w:p>
        </w:tc>
        <w:tc>
          <w:tcPr>
            <w:tcW w:type="dxa" w:w="2541"/>
            <w:shd w:fill="1F4E79"/>
            <w:vAlign w:val="center"/>
          </w:tcPr>
          <w:p>
            <w:pPr>
              <w:spacing w:after="40"/>
            </w:pPr>
            <w:r>
              <w:rPr>
                <w:rFonts w:ascii="Aptos" w:hAnsi="Aptos"/>
                <w:b/>
                <w:color w:val="FFFFFF"/>
                <w:sz w:val="17"/>
              </w:rPr>
              <w:t>Purpose</w:t>
            </w:r>
          </w:p>
        </w:tc>
        <w:tc>
          <w:tcPr>
            <w:tcW w:type="dxa" w:w="2541"/>
            <w:shd w:fill="1F4E79"/>
            <w:vAlign w:val="center"/>
          </w:tcPr>
          <w:p>
            <w:pPr>
              <w:spacing w:after="40"/>
            </w:pPr>
            <w:r>
              <w:rPr>
                <w:rFonts w:ascii="Aptos" w:hAnsi="Aptos"/>
                <w:b/>
                <w:color w:val="FFFFFF"/>
                <w:sz w:val="17"/>
              </w:rPr>
              <w:t>Status</w:t>
            </w:r>
          </w:p>
        </w:tc>
      </w:tr>
      <w:tr>
        <w:tc>
          <w:tcPr>
            <w:tcW w:type="dxa" w:w="2541"/>
            <w:tcMar>
              <w:top w:w="90" w:type="dxa"/>
              <w:start w:w="90" w:type="dxa"/>
              <w:bottom w:w="90" w:type="dxa"/>
              <w:end w:w="90" w:type="dxa"/>
            </w:tcMar>
            <w:vAlign w:val="center"/>
          </w:tcPr>
          <w:p>
            <w:pPr>
              <w:spacing w:after="40"/>
            </w:pPr>
            <w:r>
              <w:rPr>
                <w:rFonts w:ascii="Aptos" w:hAnsi="Aptos"/>
                <w:sz w:val="17"/>
              </w:rPr>
              <w:t>1.0</w:t>
            </w:r>
          </w:p>
        </w:tc>
        <w:tc>
          <w:tcPr>
            <w:tcW w:type="dxa" w:w="2541"/>
            <w:tcMar>
              <w:top w:w="90" w:type="dxa"/>
              <w:start w:w="90" w:type="dxa"/>
              <w:bottom w:w="90" w:type="dxa"/>
              <w:end w:w="90" w:type="dxa"/>
            </w:tcMar>
            <w:vAlign w:val="center"/>
          </w:tcPr>
          <w:p>
            <w:pPr>
              <w:spacing w:after="40"/>
            </w:pPr>
            <w:r>
              <w:rPr>
                <w:rFonts w:ascii="Aptos" w:hAnsi="Aptos"/>
                <w:sz w:val="17"/>
              </w:rPr>
              <w:t>July 2026</w:t>
            </w:r>
          </w:p>
        </w:tc>
        <w:tc>
          <w:tcPr>
            <w:tcW w:type="dxa" w:w="2541"/>
            <w:tcMar>
              <w:top w:w="90" w:type="dxa"/>
              <w:start w:w="90" w:type="dxa"/>
              <w:bottom w:w="90" w:type="dxa"/>
              <w:end w:w="90" w:type="dxa"/>
            </w:tcMar>
            <w:vAlign w:val="center"/>
          </w:tcPr>
          <w:p>
            <w:pPr>
              <w:spacing w:after="40"/>
            </w:pPr>
            <w:r>
              <w:rPr>
                <w:rFonts w:ascii="Aptos" w:hAnsi="Aptos"/>
                <w:sz w:val="17"/>
              </w:rPr>
              <w:t>Initial independent valuation control constitution developed from the ICHIBAN/Tarzan/BBC repair work and 10006 Boca regression case.</w:t>
            </w:r>
          </w:p>
        </w:tc>
        <w:tc>
          <w:tcPr>
            <w:tcW w:type="dxa" w:w="2541"/>
            <w:tcMar>
              <w:top w:w="90" w:type="dxa"/>
              <w:start w:w="90" w:type="dxa"/>
              <w:bottom w:w="90" w:type="dxa"/>
              <w:end w:w="90" w:type="dxa"/>
            </w:tcMar>
            <w:vAlign w:val="center"/>
          </w:tcPr>
          <w:p>
            <w:pPr>
              <w:spacing w:after="40"/>
            </w:pPr>
            <w:r>
              <w:rPr>
                <w:rFonts w:ascii="Aptos" w:hAnsi="Aptos"/>
                <w:sz w:val="17"/>
              </w:rPr>
              <w:t>Ready for controlled field testing; provisional adjustment rates remain subject to independent study.</w:t>
            </w:r>
          </w:p>
        </w:tc>
      </w:tr>
    </w:tbl>
    <w:p>
      <w:pPr>
        <w:pStyle w:val="ConstitutionQuote"/>
        <w:jc w:val="center"/>
      </w:pPr>
      <w:r>
        <w:t>The Matrix shall not justify the number. It shall test the number, explain the evidence, disclose the limits, and recommend only what the complete record can reasonably support.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Independent valuation control standard • Effective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MATRIX INDEPENDENT VALUATION CONSTITUTION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w:hAnsi="Aptos"/>
      <w:b/>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titutionQuote">
    <w:name w:val="Constitution Quote"/>
    <w:pPr>
      <w:spacing w:before="140" w:after="140"/>
      <w:ind w:left="403" w:right="288"/>
    </w:pPr>
    <w:rPr>
      <w:rFonts w:ascii="Aptos" w:hAnsi="Aptos"/>
      <w:b/>
      <w:color w:val="17365D"/>
      <w:sz w:val="22"/>
    </w:rPr>
  </w:style>
  <w:style w:type="paragraph" w:customStyle="1" w:styleId="SmallNote">
    <w:name w:val="Small Note"/>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Independent Valuation Constitution v1.0</dc:title>
  <dc:subject>Independent residential market valuation and ICHIBAN control review</dc:subject>
  <dc:creator>python-docx</dc:creator>
  <cp:keywords>ICHIBAN, Matrix, Tarzan, BBC, valuation, comparables, adjustments, market analysis</cp:keywords>
  <dc:description>Standalone independent valuation governing standard.</dc:description>
  <cp:lastModifiedBy/>
  <cp:revision>1</cp:revision>
  <dcterms:created xsi:type="dcterms:W3CDTF">2013-12-23T23:15:00Z</dcterms:created>
  <dcterms:modified xsi:type="dcterms:W3CDTF">2013-12-23T23:15:00Z</dcterms:modified>
  <cp:category/>
</cp:coreProperties>
</file>