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7122b093bb767bc7d88826672dacb47493c6e01"/>
    <w:p>
      <w:pPr>
        <w:pStyle w:val="Heading1"/>
      </w:pPr>
      <w:r>
        <w:t xml:space="preserve">FlinkISO QMS Expansion — ISO Module Parameters for Estimation</w:t>
      </w:r>
    </w:p>
    <w:bookmarkStart w:id="27" w:name="X0a993182affe836fd155fdf12f30d25b09ab79f"/>
    <w:p>
      <w:pPr>
        <w:pStyle w:val="Heading2"/>
      </w:pPr>
      <w:r>
        <w:t xml:space="preserve">1. Shared Core Parameters (common across most standards)</w:t>
      </w:r>
    </w:p>
    <w:p>
      <w:pPr>
        <w:pStyle w:val="FirstParagraph"/>
      </w:pPr>
      <w:r>
        <w:t xml:space="preserve">These are not tied to one ISO only and should be estimated as reusable core modules:</w:t>
      </w:r>
    </w:p>
    <w:bookmarkStart w:id="20" w:name="organization-structure-master-data"/>
    <w:p>
      <w:pPr>
        <w:pStyle w:val="Heading3"/>
      </w:pPr>
      <w:r>
        <w:t xml:space="preserve">1.1 Organization / structure master data</w:t>
      </w:r>
    </w:p>
    <w:p>
      <w:pPr>
        <w:pStyle w:val="Compact"/>
        <w:numPr>
          <w:ilvl w:val="0"/>
          <w:numId w:val="1001"/>
        </w:numPr>
      </w:pPr>
      <w:r>
        <w:t xml:space="preserve">company</w:t>
      </w:r>
    </w:p>
    <w:p>
      <w:pPr>
        <w:pStyle w:val="Compact"/>
        <w:numPr>
          <w:ilvl w:val="0"/>
          <w:numId w:val="1001"/>
        </w:numPr>
      </w:pPr>
      <w:r>
        <w:t xml:space="preserve">branch</w:t>
      </w:r>
    </w:p>
    <w:p>
      <w:pPr>
        <w:pStyle w:val="Compact"/>
        <w:numPr>
          <w:ilvl w:val="0"/>
          <w:numId w:val="1001"/>
        </w:numPr>
      </w:pPr>
      <w:r>
        <w:t xml:space="preserve">department</w:t>
      </w:r>
    </w:p>
    <w:p>
      <w:pPr>
        <w:pStyle w:val="Compact"/>
        <w:numPr>
          <w:ilvl w:val="0"/>
          <w:numId w:val="1001"/>
        </w:numPr>
      </w:pPr>
      <w:r>
        <w:t xml:space="preserve">site</w:t>
      </w:r>
    </w:p>
    <w:p>
      <w:pPr>
        <w:pStyle w:val="Compact"/>
        <w:numPr>
          <w:ilvl w:val="0"/>
          <w:numId w:val="1001"/>
        </w:numPr>
      </w:pPr>
      <w:r>
        <w:t xml:space="preserve">process</w:t>
      </w:r>
    </w:p>
    <w:p>
      <w:pPr>
        <w:pStyle w:val="Compact"/>
        <w:numPr>
          <w:ilvl w:val="0"/>
          <w:numId w:val="1001"/>
        </w:numPr>
      </w:pPr>
      <w:r>
        <w:t xml:space="preserve">sub-process</w:t>
      </w:r>
    </w:p>
    <w:p>
      <w:pPr>
        <w:pStyle w:val="Compact"/>
        <w:numPr>
          <w:ilvl w:val="0"/>
          <w:numId w:val="1001"/>
        </w:numPr>
      </w:pPr>
      <w:r>
        <w:t xml:space="preserve">work center / production line</w:t>
      </w:r>
    </w:p>
    <w:p>
      <w:pPr>
        <w:pStyle w:val="Compact"/>
        <w:numPr>
          <w:ilvl w:val="0"/>
          <w:numId w:val="1001"/>
        </w:numPr>
      </w:pPr>
      <w:r>
        <w:t xml:space="preserve">owner / responsible person</w:t>
      </w:r>
    </w:p>
    <w:p>
      <w:pPr>
        <w:pStyle w:val="Compact"/>
        <w:numPr>
          <w:ilvl w:val="0"/>
          <w:numId w:val="1001"/>
        </w:numPr>
      </w:pPr>
      <w:r>
        <w:t xml:space="preserve">approver / reviewer</w:t>
      </w:r>
    </w:p>
    <w:p>
      <w:pPr>
        <w:pStyle w:val="Compact"/>
        <w:numPr>
          <w:ilvl w:val="0"/>
          <w:numId w:val="1001"/>
        </w:numPr>
      </w:pPr>
      <w:r>
        <w:t xml:space="preserve">employee role / designation</w:t>
      </w:r>
    </w:p>
    <w:bookmarkEnd w:id="20"/>
    <w:bookmarkStart w:id="21" w:name="standards-mapping"/>
    <w:p>
      <w:pPr>
        <w:pStyle w:val="Heading3"/>
      </w:pPr>
      <w:r>
        <w:t xml:space="preserve">1.2 Standards mapping</w:t>
      </w:r>
    </w:p>
    <w:p>
      <w:pPr>
        <w:pStyle w:val="Compact"/>
        <w:numPr>
          <w:ilvl w:val="0"/>
          <w:numId w:val="1002"/>
        </w:numPr>
      </w:pPr>
      <w:r>
        <w:t xml:space="preserve">standard code</w:t>
      </w:r>
    </w:p>
    <w:p>
      <w:pPr>
        <w:pStyle w:val="Compact"/>
        <w:numPr>
          <w:ilvl w:val="0"/>
          <w:numId w:val="1002"/>
        </w:numPr>
      </w:pPr>
      <w:r>
        <w:t xml:space="preserve">clause / subclause</w:t>
      </w:r>
    </w:p>
    <w:p>
      <w:pPr>
        <w:pStyle w:val="Compact"/>
        <w:numPr>
          <w:ilvl w:val="0"/>
          <w:numId w:val="1002"/>
        </w:numPr>
      </w:pPr>
      <w:r>
        <w:t xml:space="preserve">process-to-clause mapping</w:t>
      </w:r>
    </w:p>
    <w:p>
      <w:pPr>
        <w:pStyle w:val="Compact"/>
        <w:numPr>
          <w:ilvl w:val="0"/>
          <w:numId w:val="1002"/>
        </w:numPr>
      </w:pPr>
      <w:r>
        <w:t xml:space="preserve">site-to-standard applicability</w:t>
      </w:r>
    </w:p>
    <w:p>
      <w:pPr>
        <w:pStyle w:val="Compact"/>
        <w:numPr>
          <w:ilvl w:val="0"/>
          <w:numId w:val="1002"/>
        </w:numPr>
      </w:pPr>
      <w:r>
        <w:t xml:space="preserve">department-to-standard applicability</w:t>
      </w:r>
    </w:p>
    <w:bookmarkEnd w:id="21"/>
    <w:bookmarkStart w:id="22" w:name="document-control-v2"/>
    <w:p>
      <w:pPr>
        <w:pStyle w:val="Heading3"/>
      </w:pPr>
      <w:r>
        <w:t xml:space="preserve">1.3 Document Control v2</w:t>
      </w:r>
    </w:p>
    <w:p>
      <w:pPr>
        <w:pStyle w:val="Compact"/>
        <w:numPr>
          <w:ilvl w:val="0"/>
          <w:numId w:val="1003"/>
        </w:numPr>
      </w:pPr>
      <w:r>
        <w:t xml:space="preserve">document category</w:t>
      </w:r>
    </w:p>
    <w:p>
      <w:pPr>
        <w:pStyle w:val="Compact"/>
        <w:numPr>
          <w:ilvl w:val="0"/>
          <w:numId w:val="1003"/>
        </w:numPr>
      </w:pPr>
      <w:r>
        <w:t xml:space="preserve">document type</w:t>
      </w:r>
    </w:p>
    <w:p>
      <w:pPr>
        <w:pStyle w:val="Compact"/>
        <w:numPr>
          <w:ilvl w:val="0"/>
          <w:numId w:val="1003"/>
        </w:numPr>
      </w:pPr>
      <w:r>
        <w:t xml:space="preserve">document number</w:t>
      </w:r>
    </w:p>
    <w:p>
      <w:pPr>
        <w:pStyle w:val="Compact"/>
        <w:numPr>
          <w:ilvl w:val="0"/>
          <w:numId w:val="1003"/>
        </w:numPr>
      </w:pPr>
      <w:r>
        <w:t xml:space="preserve">issue number</w:t>
      </w:r>
    </w:p>
    <w:p>
      <w:pPr>
        <w:pStyle w:val="Compact"/>
        <w:numPr>
          <w:ilvl w:val="0"/>
          <w:numId w:val="1003"/>
        </w:numPr>
      </w:pPr>
      <w:r>
        <w:t xml:space="preserve">revision number</w:t>
      </w:r>
    </w:p>
    <w:p>
      <w:pPr>
        <w:pStyle w:val="Compact"/>
        <w:numPr>
          <w:ilvl w:val="0"/>
          <w:numId w:val="1003"/>
        </w:numPr>
      </w:pPr>
      <w:r>
        <w:t xml:space="preserve">effective date</w:t>
      </w:r>
    </w:p>
    <w:p>
      <w:pPr>
        <w:pStyle w:val="Compact"/>
        <w:numPr>
          <w:ilvl w:val="0"/>
          <w:numId w:val="1003"/>
        </w:numPr>
      </w:pPr>
      <w:r>
        <w:t xml:space="preserve">review due date</w:t>
      </w:r>
    </w:p>
    <w:p>
      <w:pPr>
        <w:pStyle w:val="Compact"/>
        <w:numPr>
          <w:ilvl w:val="0"/>
          <w:numId w:val="1003"/>
        </w:numPr>
      </w:pPr>
      <w:r>
        <w:t xml:space="preserve">owner</w:t>
      </w:r>
    </w:p>
    <w:p>
      <w:pPr>
        <w:pStyle w:val="Compact"/>
        <w:numPr>
          <w:ilvl w:val="0"/>
          <w:numId w:val="1003"/>
        </w:numPr>
      </w:pPr>
      <w:r>
        <w:t xml:space="preserve">approver(s)</w:t>
      </w:r>
    </w:p>
    <w:p>
      <w:pPr>
        <w:pStyle w:val="Compact"/>
        <w:numPr>
          <w:ilvl w:val="0"/>
          <w:numId w:val="1003"/>
        </w:numPr>
      </w:pPr>
      <w:r>
        <w:t xml:space="preserve">reviewer(s)</w:t>
      </w:r>
    </w:p>
    <w:p>
      <w:pPr>
        <w:pStyle w:val="Compact"/>
        <w:numPr>
          <w:ilvl w:val="0"/>
          <w:numId w:val="1003"/>
        </w:numPr>
      </w:pPr>
      <w:r>
        <w:t xml:space="preserve">related standard / clause</w:t>
      </w:r>
    </w:p>
    <w:p>
      <w:pPr>
        <w:pStyle w:val="Compact"/>
        <w:numPr>
          <w:ilvl w:val="0"/>
          <w:numId w:val="1003"/>
        </w:numPr>
      </w:pPr>
      <w:r>
        <w:t xml:space="preserve">related process / site / department</w:t>
      </w:r>
    </w:p>
    <w:p>
      <w:pPr>
        <w:pStyle w:val="Compact"/>
        <w:numPr>
          <w:ilvl w:val="0"/>
          <w:numId w:val="1003"/>
        </w:numPr>
      </w:pPr>
      <w:r>
        <w:t xml:space="preserve">document status</w:t>
      </w:r>
    </w:p>
    <w:p>
      <w:pPr>
        <w:pStyle w:val="Compact"/>
        <w:numPr>
          <w:ilvl w:val="0"/>
          <w:numId w:val="1003"/>
        </w:numPr>
      </w:pPr>
      <w:r>
        <w:t xml:space="preserve">obsolete flag</w:t>
      </w:r>
    </w:p>
    <w:p>
      <w:pPr>
        <w:pStyle w:val="Compact"/>
        <w:numPr>
          <w:ilvl w:val="0"/>
          <w:numId w:val="1003"/>
        </w:numPr>
      </w:pPr>
      <w:r>
        <w:t xml:space="preserve">controlled copy tracking</w:t>
      </w:r>
    </w:p>
    <w:p>
      <w:pPr>
        <w:pStyle w:val="Compact"/>
        <w:numPr>
          <w:ilvl w:val="0"/>
          <w:numId w:val="1003"/>
        </w:numPr>
      </w:pPr>
      <w:r>
        <w:t xml:space="preserve">digital approval / signature fields</w:t>
      </w:r>
    </w:p>
    <w:p>
      <w:pPr>
        <w:pStyle w:val="Compact"/>
        <w:numPr>
          <w:ilvl w:val="0"/>
          <w:numId w:val="1003"/>
        </w:numPr>
      </w:pPr>
      <w:r>
        <w:t xml:space="preserve">full audit trail</w:t>
      </w:r>
    </w:p>
    <w:p>
      <w:pPr>
        <w:pStyle w:val="Compact"/>
        <w:numPr>
          <w:ilvl w:val="0"/>
          <w:numId w:val="1003"/>
        </w:numPr>
      </w:pPr>
      <w:r>
        <w:t xml:space="preserve">change request linkage</w:t>
      </w:r>
    </w:p>
    <w:bookmarkEnd w:id="22"/>
    <w:bookmarkStart w:id="23" w:name="risk-control-incident-capa-core"/>
    <w:p>
      <w:pPr>
        <w:pStyle w:val="Heading3"/>
      </w:pPr>
      <w:r>
        <w:t xml:space="preserve">1.4 Risk / Control / Incident / CAPA core</w:t>
      </w:r>
    </w:p>
    <w:p>
      <w:pPr>
        <w:pStyle w:val="Compact"/>
        <w:numPr>
          <w:ilvl w:val="0"/>
          <w:numId w:val="1004"/>
        </w:numPr>
      </w:pPr>
      <w:r>
        <w:t xml:space="preserve">risk register</w:t>
      </w:r>
    </w:p>
    <w:p>
      <w:pPr>
        <w:pStyle w:val="Compact"/>
        <w:numPr>
          <w:ilvl w:val="0"/>
          <w:numId w:val="1004"/>
        </w:numPr>
      </w:pPr>
      <w:r>
        <w:t xml:space="preserve">risk scoring method</w:t>
      </w:r>
    </w:p>
    <w:p>
      <w:pPr>
        <w:pStyle w:val="Compact"/>
        <w:numPr>
          <w:ilvl w:val="0"/>
          <w:numId w:val="1004"/>
        </w:numPr>
      </w:pPr>
      <w:r>
        <w:t xml:space="preserve">control definition</w:t>
      </w:r>
    </w:p>
    <w:p>
      <w:pPr>
        <w:pStyle w:val="Compact"/>
        <w:numPr>
          <w:ilvl w:val="0"/>
          <w:numId w:val="1004"/>
        </w:numPr>
      </w:pPr>
      <w:r>
        <w:t xml:space="preserve">incident / deviation / NC type</w:t>
      </w:r>
    </w:p>
    <w:p>
      <w:pPr>
        <w:pStyle w:val="Compact"/>
        <w:numPr>
          <w:ilvl w:val="0"/>
          <w:numId w:val="1004"/>
        </w:numPr>
      </w:pPr>
      <w:r>
        <w:t xml:space="preserve">severity / likelihood / detection</w:t>
      </w:r>
    </w:p>
    <w:p>
      <w:pPr>
        <w:pStyle w:val="Compact"/>
        <w:numPr>
          <w:ilvl w:val="0"/>
          <w:numId w:val="1004"/>
        </w:numPr>
      </w:pPr>
      <w:r>
        <w:t xml:space="preserve">incident source</w:t>
      </w:r>
    </w:p>
    <w:p>
      <w:pPr>
        <w:pStyle w:val="Compact"/>
        <w:numPr>
          <w:ilvl w:val="0"/>
          <w:numId w:val="1004"/>
        </w:numPr>
      </w:pPr>
      <w:r>
        <w:t xml:space="preserve">root cause</w:t>
      </w:r>
    </w:p>
    <w:p>
      <w:pPr>
        <w:pStyle w:val="Compact"/>
        <w:numPr>
          <w:ilvl w:val="0"/>
          <w:numId w:val="1004"/>
        </w:numPr>
      </w:pPr>
      <w:r>
        <w:t xml:space="preserve">containment action</w:t>
      </w:r>
    </w:p>
    <w:p>
      <w:pPr>
        <w:pStyle w:val="Compact"/>
        <w:numPr>
          <w:ilvl w:val="0"/>
          <w:numId w:val="1004"/>
        </w:numPr>
      </w:pPr>
      <w:r>
        <w:t xml:space="preserve">corrective action</w:t>
      </w:r>
    </w:p>
    <w:p>
      <w:pPr>
        <w:pStyle w:val="Compact"/>
        <w:numPr>
          <w:ilvl w:val="0"/>
          <w:numId w:val="1004"/>
        </w:numPr>
      </w:pPr>
      <w:r>
        <w:t xml:space="preserve">preventive action</w:t>
      </w:r>
    </w:p>
    <w:p>
      <w:pPr>
        <w:pStyle w:val="Compact"/>
        <w:numPr>
          <w:ilvl w:val="0"/>
          <w:numId w:val="1004"/>
        </w:numPr>
      </w:pPr>
      <w:r>
        <w:t xml:space="preserve">effectiveness check</w:t>
      </w:r>
    </w:p>
    <w:p>
      <w:pPr>
        <w:pStyle w:val="Compact"/>
        <w:numPr>
          <w:ilvl w:val="0"/>
          <w:numId w:val="1004"/>
        </w:numPr>
      </w:pPr>
      <w:r>
        <w:t xml:space="preserve">closure status</w:t>
      </w:r>
    </w:p>
    <w:p>
      <w:pPr>
        <w:pStyle w:val="Compact"/>
        <w:numPr>
          <w:ilvl w:val="0"/>
          <w:numId w:val="1004"/>
        </w:numPr>
      </w:pPr>
      <w:r>
        <w:t xml:space="preserve">evidence attachments</w:t>
      </w:r>
    </w:p>
    <w:bookmarkEnd w:id="23"/>
    <w:bookmarkStart w:id="24" w:name="workflow-notification-core"/>
    <w:p>
      <w:pPr>
        <w:pStyle w:val="Heading3"/>
      </w:pPr>
      <w:r>
        <w:t xml:space="preserve">1.5 Workflow / notification core</w:t>
      </w:r>
    </w:p>
    <w:p>
      <w:pPr>
        <w:pStyle w:val="Compact"/>
        <w:numPr>
          <w:ilvl w:val="0"/>
          <w:numId w:val="1005"/>
        </w:numPr>
      </w:pPr>
      <w:r>
        <w:t xml:space="preserve">trigger type</w:t>
      </w:r>
    </w:p>
    <w:p>
      <w:pPr>
        <w:pStyle w:val="Compact"/>
        <w:numPr>
          <w:ilvl w:val="0"/>
          <w:numId w:val="1005"/>
        </w:numPr>
      </w:pPr>
      <w:r>
        <w:t xml:space="preserve">condition logic</w:t>
      </w:r>
    </w:p>
    <w:p>
      <w:pPr>
        <w:pStyle w:val="Compact"/>
        <w:numPr>
          <w:ilvl w:val="0"/>
          <w:numId w:val="1005"/>
        </w:numPr>
      </w:pPr>
      <w:r>
        <w:t xml:space="preserve">approval flow</w:t>
      </w:r>
    </w:p>
    <w:p>
      <w:pPr>
        <w:pStyle w:val="Compact"/>
        <w:numPr>
          <w:ilvl w:val="0"/>
          <w:numId w:val="1005"/>
        </w:numPr>
      </w:pPr>
      <w:r>
        <w:t xml:space="preserve">escalation rules</w:t>
      </w:r>
    </w:p>
    <w:p>
      <w:pPr>
        <w:pStyle w:val="Compact"/>
        <w:numPr>
          <w:ilvl w:val="0"/>
          <w:numId w:val="1005"/>
        </w:numPr>
      </w:pPr>
      <w:r>
        <w:t xml:space="preserve">reminder rules</w:t>
      </w:r>
    </w:p>
    <w:p>
      <w:pPr>
        <w:pStyle w:val="Compact"/>
        <w:numPr>
          <w:ilvl w:val="0"/>
          <w:numId w:val="1005"/>
        </w:numPr>
      </w:pPr>
      <w:r>
        <w:t xml:space="preserve">overdue rules</w:t>
      </w:r>
    </w:p>
    <w:p>
      <w:pPr>
        <w:pStyle w:val="Compact"/>
        <w:numPr>
          <w:ilvl w:val="0"/>
          <w:numId w:val="1005"/>
        </w:numPr>
      </w:pPr>
      <w:r>
        <w:t xml:space="preserve">email / in-app notifications</w:t>
      </w:r>
    </w:p>
    <w:p>
      <w:pPr>
        <w:pStyle w:val="Compact"/>
        <w:numPr>
          <w:ilvl w:val="0"/>
          <w:numId w:val="1005"/>
        </w:numPr>
      </w:pPr>
      <w:r>
        <w:t xml:space="preserve">task creation</w:t>
      </w:r>
    </w:p>
    <w:p>
      <w:pPr>
        <w:pStyle w:val="Compact"/>
        <w:numPr>
          <w:ilvl w:val="0"/>
          <w:numId w:val="1005"/>
        </w:numPr>
      </w:pPr>
      <w:r>
        <w:t xml:space="preserve">CAPA auto-creation</w:t>
      </w:r>
    </w:p>
    <w:p>
      <w:pPr>
        <w:pStyle w:val="Compact"/>
        <w:numPr>
          <w:ilvl w:val="0"/>
          <w:numId w:val="1005"/>
        </w:numPr>
      </w:pPr>
      <w:r>
        <w:t xml:space="preserve">approval request generation</w:t>
      </w:r>
    </w:p>
    <w:bookmarkEnd w:id="24"/>
    <w:bookmarkStart w:id="25" w:name="evidence-records-signatures"/>
    <w:p>
      <w:pPr>
        <w:pStyle w:val="Heading3"/>
      </w:pPr>
      <w:r>
        <w:t xml:space="preserve">1.6 Evidence / records / signatures</w:t>
      </w:r>
    </w:p>
    <w:p>
      <w:pPr>
        <w:pStyle w:val="Compact"/>
        <w:numPr>
          <w:ilvl w:val="0"/>
          <w:numId w:val="1006"/>
        </w:numPr>
      </w:pPr>
      <w:r>
        <w:t xml:space="preserve">file attachments</w:t>
      </w:r>
    </w:p>
    <w:p>
      <w:pPr>
        <w:pStyle w:val="Compact"/>
        <w:numPr>
          <w:ilvl w:val="0"/>
          <w:numId w:val="1006"/>
        </w:numPr>
      </w:pPr>
      <w:r>
        <w:t xml:space="preserve">measurements</w:t>
      </w:r>
    </w:p>
    <w:p>
      <w:pPr>
        <w:pStyle w:val="Compact"/>
        <w:numPr>
          <w:ilvl w:val="0"/>
          <w:numId w:val="1006"/>
        </w:numPr>
      </w:pPr>
      <w:r>
        <w:t xml:space="preserve">photos</w:t>
      </w:r>
    </w:p>
    <w:p>
      <w:pPr>
        <w:pStyle w:val="Compact"/>
        <w:numPr>
          <w:ilvl w:val="0"/>
          <w:numId w:val="1006"/>
        </w:numPr>
      </w:pPr>
      <w:r>
        <w:t xml:space="preserve">validation records</w:t>
      </w:r>
    </w:p>
    <w:p>
      <w:pPr>
        <w:pStyle w:val="Compact"/>
        <w:numPr>
          <w:ilvl w:val="0"/>
          <w:numId w:val="1006"/>
        </w:numPr>
      </w:pPr>
      <w:r>
        <w:t xml:space="preserve">audit trail logs</w:t>
      </w:r>
    </w:p>
    <w:p>
      <w:pPr>
        <w:pStyle w:val="Compact"/>
        <w:numPr>
          <w:ilvl w:val="0"/>
          <w:numId w:val="1006"/>
        </w:numPr>
      </w:pPr>
      <w:r>
        <w:t xml:space="preserve">electronic signature fields</w:t>
      </w:r>
    </w:p>
    <w:p>
      <w:pPr>
        <w:pStyle w:val="Compact"/>
        <w:numPr>
          <w:ilvl w:val="0"/>
          <w:numId w:val="1006"/>
        </w:numPr>
      </w:pPr>
      <w:r>
        <w:t xml:space="preserve">signer role</w:t>
      </w:r>
    </w:p>
    <w:p>
      <w:pPr>
        <w:pStyle w:val="Compact"/>
        <w:numPr>
          <w:ilvl w:val="0"/>
          <w:numId w:val="1006"/>
        </w:numPr>
      </w:pPr>
      <w:r>
        <w:t xml:space="preserve">reason for signature</w:t>
      </w:r>
    </w:p>
    <w:p>
      <w:pPr>
        <w:pStyle w:val="Compact"/>
        <w:numPr>
          <w:ilvl w:val="0"/>
          <w:numId w:val="1006"/>
        </w:numPr>
      </w:pPr>
      <w:r>
        <w:t xml:space="preserve">timestamp and immutable history</w:t>
      </w:r>
    </w:p>
    <w:bookmarkEnd w:id="25"/>
    <w:bookmarkStart w:id="26" w:name="reporting-kpi-foundation"/>
    <w:p>
      <w:pPr>
        <w:pStyle w:val="Heading3"/>
      </w:pPr>
      <w:r>
        <w:t xml:space="preserve">1.7 Reporting / KPI foundation</w:t>
      </w:r>
    </w:p>
    <w:p>
      <w:pPr>
        <w:pStyle w:val="Compact"/>
        <w:numPr>
          <w:ilvl w:val="0"/>
          <w:numId w:val="1007"/>
        </w:numPr>
      </w:pPr>
      <w:r>
        <w:t xml:space="preserve">KPI definition</w:t>
      </w:r>
    </w:p>
    <w:p>
      <w:pPr>
        <w:pStyle w:val="Compact"/>
        <w:numPr>
          <w:ilvl w:val="0"/>
          <w:numId w:val="1007"/>
        </w:numPr>
      </w:pPr>
      <w:r>
        <w:t xml:space="preserve">target value</w:t>
      </w:r>
    </w:p>
    <w:p>
      <w:pPr>
        <w:pStyle w:val="Compact"/>
        <w:numPr>
          <w:ilvl w:val="0"/>
          <w:numId w:val="1007"/>
        </w:numPr>
      </w:pPr>
      <w:r>
        <w:t xml:space="preserve">unit</w:t>
      </w:r>
    </w:p>
    <w:p>
      <w:pPr>
        <w:pStyle w:val="Compact"/>
        <w:numPr>
          <w:ilvl w:val="0"/>
          <w:numId w:val="1007"/>
        </w:numPr>
      </w:pPr>
      <w:r>
        <w:t xml:space="preserve">aggregation period</w:t>
      </w:r>
    </w:p>
    <w:p>
      <w:pPr>
        <w:pStyle w:val="Compact"/>
        <w:numPr>
          <w:ilvl w:val="0"/>
          <w:numId w:val="1007"/>
        </w:numPr>
      </w:pPr>
      <w:r>
        <w:t xml:space="preserve">threshold rules</w:t>
      </w:r>
    </w:p>
    <w:p>
      <w:pPr>
        <w:pStyle w:val="Compact"/>
        <w:numPr>
          <w:ilvl w:val="0"/>
          <w:numId w:val="1007"/>
        </w:numPr>
      </w:pPr>
      <w:r>
        <w:t xml:space="preserve">process / site / department filters</w:t>
      </w:r>
    </w:p>
    <w:p>
      <w:pPr>
        <w:pStyle w:val="Compact"/>
        <w:numPr>
          <w:ilvl w:val="0"/>
          <w:numId w:val="1007"/>
        </w:numPr>
      </w:pPr>
      <w:r>
        <w:t xml:space="preserve">dashboard widgets</w:t>
      </w:r>
    </w:p>
    <w:p>
      <w:pPr>
        <w:pStyle w:val="Compact"/>
        <w:numPr>
          <w:ilvl w:val="0"/>
          <w:numId w:val="1007"/>
        </w:numPr>
      </w:pPr>
      <w:r>
        <w:t xml:space="preserve">PDF / Excel reporting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so-9001-overlay-parameters"/>
    <w:p>
      <w:pPr>
        <w:pStyle w:val="Heading2"/>
      </w:pPr>
      <w:r>
        <w:t xml:space="preserve">2. ISO 9001 Overlay Parameters</w:t>
      </w:r>
    </w:p>
    <w:bookmarkStart w:id="28" w:name="core-entities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08"/>
        </w:numPr>
      </w:pPr>
      <w:r>
        <w:t xml:space="preserve">quality objectives</w:t>
      </w:r>
    </w:p>
    <w:p>
      <w:pPr>
        <w:pStyle w:val="Compact"/>
        <w:numPr>
          <w:ilvl w:val="0"/>
          <w:numId w:val="1008"/>
        </w:numPr>
      </w:pPr>
      <w:r>
        <w:t xml:space="preserve">KPIs</w:t>
      </w:r>
    </w:p>
    <w:p>
      <w:pPr>
        <w:pStyle w:val="Compact"/>
        <w:numPr>
          <w:ilvl w:val="0"/>
          <w:numId w:val="1008"/>
        </w:numPr>
      </w:pPr>
      <w:r>
        <w:t xml:space="preserve">process map</w:t>
      </w:r>
    </w:p>
    <w:p>
      <w:pPr>
        <w:pStyle w:val="Compact"/>
        <w:numPr>
          <w:ilvl w:val="0"/>
          <w:numId w:val="1008"/>
        </w:numPr>
      </w:pPr>
      <w:r>
        <w:t xml:space="preserve">interested parties</w:t>
      </w:r>
    </w:p>
    <w:p>
      <w:pPr>
        <w:pStyle w:val="Compact"/>
        <w:numPr>
          <w:ilvl w:val="0"/>
          <w:numId w:val="1008"/>
        </w:numPr>
      </w:pPr>
      <w:r>
        <w:t xml:space="preserve">context issues</w:t>
      </w:r>
    </w:p>
    <w:p>
      <w:pPr>
        <w:pStyle w:val="Compact"/>
        <w:numPr>
          <w:ilvl w:val="0"/>
          <w:numId w:val="1008"/>
        </w:numPr>
      </w:pPr>
      <w:r>
        <w:t xml:space="preserve">risks and opportunities</w:t>
      </w:r>
    </w:p>
    <w:p>
      <w:pPr>
        <w:pStyle w:val="Compact"/>
        <w:numPr>
          <w:ilvl w:val="0"/>
          <w:numId w:val="1008"/>
        </w:numPr>
      </w:pPr>
      <w:r>
        <w:t xml:space="preserve">customer requirements</w:t>
      </w:r>
    </w:p>
    <w:p>
      <w:pPr>
        <w:pStyle w:val="Compact"/>
        <w:numPr>
          <w:ilvl w:val="0"/>
          <w:numId w:val="1008"/>
        </w:numPr>
      </w:pPr>
      <w:r>
        <w:t xml:space="preserve">supplier evaluation</w:t>
      </w:r>
    </w:p>
    <w:p>
      <w:pPr>
        <w:pStyle w:val="Compact"/>
        <w:numPr>
          <w:ilvl w:val="0"/>
          <w:numId w:val="1008"/>
        </w:numPr>
      </w:pPr>
      <w:r>
        <w:t xml:space="preserve">nonconformities</w:t>
      </w:r>
    </w:p>
    <w:p>
      <w:pPr>
        <w:pStyle w:val="Compact"/>
        <w:numPr>
          <w:ilvl w:val="0"/>
          <w:numId w:val="1008"/>
        </w:numPr>
      </w:pPr>
      <w:r>
        <w:t xml:space="preserve">CAPA</w:t>
      </w:r>
    </w:p>
    <w:p>
      <w:pPr>
        <w:pStyle w:val="Compact"/>
        <w:numPr>
          <w:ilvl w:val="0"/>
          <w:numId w:val="1008"/>
        </w:numPr>
      </w:pPr>
      <w:r>
        <w:t xml:space="preserve">management review</w:t>
      </w:r>
    </w:p>
    <w:p>
      <w:pPr>
        <w:pStyle w:val="Compact"/>
        <w:numPr>
          <w:ilvl w:val="0"/>
          <w:numId w:val="1008"/>
        </w:numPr>
      </w:pPr>
      <w:r>
        <w:t xml:space="preserve">competence and training</w:t>
      </w:r>
    </w:p>
    <w:p>
      <w:pPr>
        <w:pStyle w:val="Compact"/>
        <w:numPr>
          <w:ilvl w:val="0"/>
          <w:numId w:val="1008"/>
        </w:numPr>
      </w:pPr>
      <w:r>
        <w:t xml:space="preserve">document control</w:t>
      </w:r>
    </w:p>
    <w:p>
      <w:pPr>
        <w:pStyle w:val="Compact"/>
        <w:numPr>
          <w:ilvl w:val="0"/>
          <w:numId w:val="1008"/>
        </w:numPr>
      </w:pPr>
      <w:r>
        <w:t xml:space="preserve">internal audits</w:t>
      </w:r>
    </w:p>
    <w:bookmarkEnd w:id="28"/>
    <w:bookmarkStart w:id="29" w:name="parameters-to-add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09"/>
        </w:numPr>
      </w:pPr>
      <w:r>
        <w:t xml:space="preserve">quality objective title</w:t>
      </w:r>
    </w:p>
    <w:p>
      <w:pPr>
        <w:pStyle w:val="Compact"/>
        <w:numPr>
          <w:ilvl w:val="0"/>
          <w:numId w:val="1009"/>
        </w:numPr>
      </w:pPr>
      <w:r>
        <w:t xml:space="preserve">related process</w:t>
      </w:r>
    </w:p>
    <w:p>
      <w:pPr>
        <w:pStyle w:val="Compact"/>
        <w:numPr>
          <w:ilvl w:val="0"/>
          <w:numId w:val="1009"/>
        </w:numPr>
      </w:pPr>
      <w:r>
        <w:t xml:space="preserve">related department</w:t>
      </w:r>
    </w:p>
    <w:p>
      <w:pPr>
        <w:pStyle w:val="Compact"/>
        <w:numPr>
          <w:ilvl w:val="0"/>
          <w:numId w:val="1009"/>
        </w:numPr>
      </w:pPr>
      <w:r>
        <w:t xml:space="preserve">target value</w:t>
      </w:r>
    </w:p>
    <w:p>
      <w:pPr>
        <w:pStyle w:val="Compact"/>
        <w:numPr>
          <w:ilvl w:val="0"/>
          <w:numId w:val="1009"/>
        </w:numPr>
      </w:pPr>
      <w:r>
        <w:t xml:space="preserve">frequency</w:t>
      </w:r>
    </w:p>
    <w:p>
      <w:pPr>
        <w:pStyle w:val="Compact"/>
        <w:numPr>
          <w:ilvl w:val="0"/>
          <w:numId w:val="1009"/>
        </w:numPr>
      </w:pPr>
      <w:r>
        <w:t xml:space="preserve">owner</w:t>
      </w:r>
    </w:p>
    <w:p>
      <w:pPr>
        <w:pStyle w:val="Compact"/>
        <w:numPr>
          <w:ilvl w:val="0"/>
          <w:numId w:val="1009"/>
        </w:numPr>
      </w:pPr>
      <w:r>
        <w:t xml:space="preserve">measurement source</w:t>
      </w:r>
    </w:p>
    <w:p>
      <w:pPr>
        <w:pStyle w:val="Compact"/>
        <w:numPr>
          <w:ilvl w:val="0"/>
          <w:numId w:val="1009"/>
        </w:numPr>
      </w:pPr>
      <w:r>
        <w:t xml:space="preserve">result trend</w:t>
      </w:r>
    </w:p>
    <w:p>
      <w:pPr>
        <w:pStyle w:val="Compact"/>
        <w:numPr>
          <w:ilvl w:val="0"/>
          <w:numId w:val="1009"/>
        </w:numPr>
      </w:pPr>
      <w:r>
        <w:t xml:space="preserve">action threshold</w:t>
      </w:r>
    </w:p>
    <w:p>
      <w:pPr>
        <w:pStyle w:val="Compact"/>
        <w:numPr>
          <w:ilvl w:val="0"/>
          <w:numId w:val="1009"/>
        </w:numPr>
      </w:pPr>
      <w:r>
        <w:t xml:space="preserve">customer complaint category</w:t>
      </w:r>
    </w:p>
    <w:p>
      <w:pPr>
        <w:pStyle w:val="Compact"/>
        <w:numPr>
          <w:ilvl w:val="0"/>
          <w:numId w:val="1009"/>
        </w:numPr>
      </w:pPr>
      <w:r>
        <w:t xml:space="preserve">complaint severity</w:t>
      </w:r>
    </w:p>
    <w:p>
      <w:pPr>
        <w:pStyle w:val="Compact"/>
        <w:numPr>
          <w:ilvl w:val="0"/>
          <w:numId w:val="1009"/>
        </w:numPr>
      </w:pPr>
      <w:r>
        <w:t xml:space="preserve">complaint root cause</w:t>
      </w:r>
    </w:p>
    <w:p>
      <w:pPr>
        <w:pStyle w:val="Compact"/>
        <w:numPr>
          <w:ilvl w:val="0"/>
          <w:numId w:val="1009"/>
        </w:numPr>
      </w:pPr>
      <w:r>
        <w:t xml:space="preserve">supplier category</w:t>
      </w:r>
    </w:p>
    <w:p>
      <w:pPr>
        <w:pStyle w:val="Compact"/>
        <w:numPr>
          <w:ilvl w:val="0"/>
          <w:numId w:val="1009"/>
        </w:numPr>
      </w:pPr>
      <w:r>
        <w:t xml:space="preserve">supplier approval status</w:t>
      </w:r>
    </w:p>
    <w:p>
      <w:pPr>
        <w:pStyle w:val="Compact"/>
        <w:numPr>
          <w:ilvl w:val="0"/>
          <w:numId w:val="1009"/>
        </w:numPr>
      </w:pPr>
      <w:r>
        <w:t xml:space="preserve">supplier evaluation score</w:t>
      </w:r>
    </w:p>
    <w:p>
      <w:pPr>
        <w:pStyle w:val="Compact"/>
        <w:numPr>
          <w:ilvl w:val="0"/>
          <w:numId w:val="1009"/>
        </w:numPr>
      </w:pPr>
      <w:r>
        <w:t xml:space="preserve">re-evaluation frequency</w:t>
      </w:r>
    </w:p>
    <w:p>
      <w:pPr>
        <w:pStyle w:val="Compact"/>
        <w:numPr>
          <w:ilvl w:val="0"/>
          <w:numId w:val="1009"/>
        </w:numPr>
      </w:pPr>
      <w:r>
        <w:t xml:space="preserve">management review agenda items</w:t>
      </w:r>
    </w:p>
    <w:p>
      <w:pPr>
        <w:pStyle w:val="Compact"/>
        <w:numPr>
          <w:ilvl w:val="0"/>
          <w:numId w:val="1009"/>
        </w:numPr>
      </w:pPr>
      <w:r>
        <w:t xml:space="preserve">management review outputs</w:t>
      </w:r>
    </w:p>
    <w:p>
      <w:pPr>
        <w:pStyle w:val="Compact"/>
        <w:numPr>
          <w:ilvl w:val="0"/>
          <w:numId w:val="1009"/>
        </w:numPr>
      </w:pPr>
      <w:r>
        <w:t xml:space="preserve">process inputs / outputs</w:t>
      </w:r>
    </w:p>
    <w:p>
      <w:pPr>
        <w:pStyle w:val="Compact"/>
        <w:numPr>
          <w:ilvl w:val="0"/>
          <w:numId w:val="1009"/>
        </w:numPr>
      </w:pPr>
      <w:r>
        <w:t xml:space="preserve">process owner</w:t>
      </w:r>
    </w:p>
    <w:p>
      <w:pPr>
        <w:pStyle w:val="Compact"/>
        <w:numPr>
          <w:ilvl w:val="0"/>
          <w:numId w:val="1009"/>
        </w:numPr>
      </w:pPr>
      <w:r>
        <w:t xml:space="preserve">process KPI mapping</w:t>
      </w:r>
    </w:p>
    <w:p>
      <w:pPr>
        <w:pStyle w:val="Compact"/>
        <w:numPr>
          <w:ilvl w:val="0"/>
          <w:numId w:val="1009"/>
        </w:numPr>
      </w:pPr>
      <w:r>
        <w:t xml:space="preserve">risk / opportunity type</w:t>
      </w:r>
    </w:p>
    <w:p>
      <w:pPr>
        <w:pStyle w:val="Compact"/>
        <w:numPr>
          <w:ilvl w:val="0"/>
          <w:numId w:val="1009"/>
        </w:numPr>
      </w:pPr>
      <w:r>
        <w:t xml:space="preserve">treatment plan</w:t>
      </w:r>
    </w:p>
    <w:p>
      <w:pPr>
        <w:pStyle w:val="Compact"/>
        <w:numPr>
          <w:ilvl w:val="0"/>
          <w:numId w:val="1009"/>
        </w:numPr>
      </w:pPr>
      <w:r>
        <w:t xml:space="preserve">effectiveness review date</w:t>
      </w:r>
    </w:p>
    <w:bookmarkEnd w:id="29"/>
    <w:bookmarkStart w:id="30" w:name="main-workflows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10"/>
        </w:numPr>
      </w:pPr>
      <w:r>
        <w:t xml:space="preserve">complaint -&gt; investigation -&gt; CAPA</w:t>
      </w:r>
    </w:p>
    <w:p>
      <w:pPr>
        <w:pStyle w:val="Compact"/>
        <w:numPr>
          <w:ilvl w:val="0"/>
          <w:numId w:val="1010"/>
        </w:numPr>
      </w:pPr>
      <w:r>
        <w:t xml:space="preserve">audit finding -&gt; NC -&gt; CAPA</w:t>
      </w:r>
    </w:p>
    <w:p>
      <w:pPr>
        <w:pStyle w:val="Compact"/>
        <w:numPr>
          <w:ilvl w:val="0"/>
          <w:numId w:val="1010"/>
        </w:numPr>
      </w:pPr>
      <w:r>
        <w:t xml:space="preserve">objective underperformance -&gt; action plan</w:t>
      </w:r>
    </w:p>
    <w:p>
      <w:pPr>
        <w:pStyle w:val="Compact"/>
        <w:numPr>
          <w:ilvl w:val="0"/>
          <w:numId w:val="1010"/>
        </w:numPr>
      </w:pPr>
      <w:r>
        <w:t xml:space="preserve">document revision -&gt; approval -&gt; release</w:t>
      </w:r>
    </w:p>
    <w:p>
      <w:pPr>
        <w:pStyle w:val="Compact"/>
        <w:numPr>
          <w:ilvl w:val="0"/>
          <w:numId w:val="1010"/>
        </w:numPr>
      </w:pPr>
      <w:r>
        <w:t xml:space="preserve">supplier evaluation -&gt; approval / disqualification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so-14001-overlay-parameters"/>
    <w:p>
      <w:pPr>
        <w:pStyle w:val="Heading2"/>
      </w:pPr>
      <w:r>
        <w:t xml:space="preserve">3. ISO 14001 Overlay Parameters</w:t>
      </w:r>
    </w:p>
    <w:bookmarkStart w:id="32" w:name="core-entities-1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11"/>
        </w:numPr>
      </w:pPr>
      <w:r>
        <w:t xml:space="preserve">environmental aspects</w:t>
      </w:r>
    </w:p>
    <w:p>
      <w:pPr>
        <w:pStyle w:val="Compact"/>
        <w:numPr>
          <w:ilvl w:val="0"/>
          <w:numId w:val="1011"/>
        </w:numPr>
      </w:pPr>
      <w:r>
        <w:t xml:space="preserve">impacts</w:t>
      </w:r>
    </w:p>
    <w:p>
      <w:pPr>
        <w:pStyle w:val="Compact"/>
        <w:numPr>
          <w:ilvl w:val="0"/>
          <w:numId w:val="1011"/>
        </w:numPr>
      </w:pPr>
      <w:r>
        <w:t xml:space="preserve">legal and compliance obligations</w:t>
      </w:r>
    </w:p>
    <w:p>
      <w:pPr>
        <w:pStyle w:val="Compact"/>
        <w:numPr>
          <w:ilvl w:val="0"/>
          <w:numId w:val="1011"/>
        </w:numPr>
      </w:pPr>
      <w:r>
        <w:t xml:space="preserve">environmental objectives</w:t>
      </w:r>
    </w:p>
    <w:p>
      <w:pPr>
        <w:pStyle w:val="Compact"/>
        <w:numPr>
          <w:ilvl w:val="0"/>
          <w:numId w:val="1011"/>
        </w:numPr>
      </w:pPr>
      <w:r>
        <w:t xml:space="preserve">emissions / waste / water / energy records</w:t>
      </w:r>
    </w:p>
    <w:p>
      <w:pPr>
        <w:pStyle w:val="Compact"/>
        <w:numPr>
          <w:ilvl w:val="0"/>
          <w:numId w:val="1011"/>
        </w:numPr>
      </w:pPr>
      <w:r>
        <w:t xml:space="preserve">environmental incidents / spills</w:t>
      </w:r>
    </w:p>
    <w:p>
      <w:pPr>
        <w:pStyle w:val="Compact"/>
        <w:numPr>
          <w:ilvl w:val="0"/>
          <w:numId w:val="1011"/>
        </w:numPr>
      </w:pPr>
      <w:r>
        <w:t xml:space="preserve">emergency preparedness</w:t>
      </w:r>
    </w:p>
    <w:p>
      <w:pPr>
        <w:pStyle w:val="Compact"/>
        <w:numPr>
          <w:ilvl w:val="0"/>
          <w:numId w:val="1011"/>
        </w:numPr>
      </w:pPr>
      <w:r>
        <w:t xml:space="preserve">monitoring and measurement</w:t>
      </w:r>
    </w:p>
    <w:p>
      <w:pPr>
        <w:pStyle w:val="Compact"/>
        <w:numPr>
          <w:ilvl w:val="0"/>
          <w:numId w:val="1011"/>
        </w:numPr>
      </w:pPr>
      <w:r>
        <w:t xml:space="preserve">permits / licenses</w:t>
      </w:r>
    </w:p>
    <w:bookmarkEnd w:id="32"/>
    <w:bookmarkStart w:id="33" w:name="parameters-to-add-1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12"/>
        </w:numPr>
      </w:pPr>
      <w:r>
        <w:t xml:space="preserve">aspect category</w:t>
      </w:r>
    </w:p>
    <w:p>
      <w:pPr>
        <w:pStyle w:val="Compact"/>
        <w:numPr>
          <w:ilvl w:val="0"/>
          <w:numId w:val="1012"/>
        </w:numPr>
      </w:pPr>
      <w:r>
        <w:t xml:space="preserve">impact category</w:t>
      </w:r>
    </w:p>
    <w:p>
      <w:pPr>
        <w:pStyle w:val="Compact"/>
        <w:numPr>
          <w:ilvl w:val="0"/>
          <w:numId w:val="1012"/>
        </w:numPr>
      </w:pPr>
      <w:r>
        <w:t xml:space="preserve">normal / abnormal / emergency condition</w:t>
      </w:r>
    </w:p>
    <w:p>
      <w:pPr>
        <w:pStyle w:val="Compact"/>
        <w:numPr>
          <w:ilvl w:val="0"/>
          <w:numId w:val="1012"/>
        </w:numPr>
      </w:pPr>
      <w:r>
        <w:t xml:space="preserve">significance criteria</w:t>
      </w:r>
    </w:p>
    <w:p>
      <w:pPr>
        <w:pStyle w:val="Compact"/>
        <w:numPr>
          <w:ilvl w:val="0"/>
          <w:numId w:val="1012"/>
        </w:numPr>
      </w:pPr>
      <w:r>
        <w:t xml:space="preserve">severity</w:t>
      </w:r>
    </w:p>
    <w:p>
      <w:pPr>
        <w:pStyle w:val="Compact"/>
        <w:numPr>
          <w:ilvl w:val="0"/>
          <w:numId w:val="1012"/>
        </w:numPr>
      </w:pPr>
      <w:r>
        <w:t xml:space="preserve">frequency</w:t>
      </w:r>
    </w:p>
    <w:p>
      <w:pPr>
        <w:pStyle w:val="Compact"/>
        <w:numPr>
          <w:ilvl w:val="0"/>
          <w:numId w:val="1012"/>
        </w:numPr>
      </w:pPr>
      <w:r>
        <w:t xml:space="preserve">legal requirement reference</w:t>
      </w:r>
    </w:p>
    <w:p>
      <w:pPr>
        <w:pStyle w:val="Compact"/>
        <w:numPr>
          <w:ilvl w:val="0"/>
          <w:numId w:val="1012"/>
        </w:numPr>
      </w:pPr>
      <w:r>
        <w:t xml:space="preserve">permit type / permit expiry</w:t>
      </w:r>
    </w:p>
    <w:p>
      <w:pPr>
        <w:pStyle w:val="Compact"/>
        <w:numPr>
          <w:ilvl w:val="0"/>
          <w:numId w:val="1012"/>
        </w:numPr>
      </w:pPr>
      <w:r>
        <w:t xml:space="preserve">waste stream type</w:t>
      </w:r>
    </w:p>
    <w:p>
      <w:pPr>
        <w:pStyle w:val="Compact"/>
        <w:numPr>
          <w:ilvl w:val="0"/>
          <w:numId w:val="1012"/>
        </w:numPr>
      </w:pPr>
      <w:r>
        <w:t xml:space="preserve">hazardous / non-hazardous flag</w:t>
      </w:r>
    </w:p>
    <w:p>
      <w:pPr>
        <w:pStyle w:val="Compact"/>
        <w:numPr>
          <w:ilvl w:val="0"/>
          <w:numId w:val="1012"/>
        </w:numPr>
      </w:pPr>
      <w:r>
        <w:t xml:space="preserve">disposal method</w:t>
      </w:r>
    </w:p>
    <w:p>
      <w:pPr>
        <w:pStyle w:val="Compact"/>
        <w:numPr>
          <w:ilvl w:val="0"/>
          <w:numId w:val="1012"/>
        </w:numPr>
      </w:pPr>
      <w:r>
        <w:t xml:space="preserve">emission source</w:t>
      </w:r>
    </w:p>
    <w:p>
      <w:pPr>
        <w:pStyle w:val="Compact"/>
        <w:numPr>
          <w:ilvl w:val="0"/>
          <w:numId w:val="1012"/>
        </w:numPr>
      </w:pPr>
      <w:r>
        <w:t xml:space="preserve">water consumption point</w:t>
      </w:r>
    </w:p>
    <w:p>
      <w:pPr>
        <w:pStyle w:val="Compact"/>
        <w:numPr>
          <w:ilvl w:val="0"/>
          <w:numId w:val="1012"/>
        </w:numPr>
      </w:pPr>
      <w:r>
        <w:t xml:space="preserve">energy meter / source</w:t>
      </w:r>
    </w:p>
    <w:p>
      <w:pPr>
        <w:pStyle w:val="Compact"/>
        <w:numPr>
          <w:ilvl w:val="0"/>
          <w:numId w:val="1012"/>
        </w:numPr>
      </w:pPr>
      <w:r>
        <w:t xml:space="preserve">noise source</w:t>
      </w:r>
    </w:p>
    <w:p>
      <w:pPr>
        <w:pStyle w:val="Compact"/>
        <w:numPr>
          <w:ilvl w:val="0"/>
          <w:numId w:val="1012"/>
        </w:numPr>
      </w:pPr>
      <w:r>
        <w:t xml:space="preserve">chemical / substance register</w:t>
      </w:r>
    </w:p>
    <w:p>
      <w:pPr>
        <w:pStyle w:val="Compact"/>
        <w:numPr>
          <w:ilvl w:val="0"/>
          <w:numId w:val="1012"/>
        </w:numPr>
      </w:pPr>
      <w:r>
        <w:t xml:space="preserve">emergency scenario</w:t>
      </w:r>
    </w:p>
    <w:p>
      <w:pPr>
        <w:pStyle w:val="Compact"/>
        <w:numPr>
          <w:ilvl w:val="0"/>
          <w:numId w:val="1012"/>
        </w:numPr>
      </w:pPr>
      <w:r>
        <w:t xml:space="preserve">spill / leak category</w:t>
      </w:r>
    </w:p>
    <w:p>
      <w:pPr>
        <w:pStyle w:val="Compact"/>
        <w:numPr>
          <w:ilvl w:val="0"/>
          <w:numId w:val="1012"/>
        </w:numPr>
      </w:pPr>
      <w:r>
        <w:t xml:space="preserve">environmental objective</w:t>
      </w:r>
    </w:p>
    <w:p>
      <w:pPr>
        <w:pStyle w:val="Compact"/>
        <w:numPr>
          <w:ilvl w:val="0"/>
          <w:numId w:val="1012"/>
        </w:numPr>
      </w:pPr>
      <w:r>
        <w:t xml:space="preserve">program owner</w:t>
      </w:r>
    </w:p>
    <w:p>
      <w:pPr>
        <w:pStyle w:val="Compact"/>
        <w:numPr>
          <w:ilvl w:val="0"/>
          <w:numId w:val="1012"/>
        </w:numPr>
      </w:pPr>
      <w:r>
        <w:t xml:space="preserve">due date</w:t>
      </w:r>
    </w:p>
    <w:p>
      <w:pPr>
        <w:pStyle w:val="Compact"/>
        <w:numPr>
          <w:ilvl w:val="0"/>
          <w:numId w:val="1012"/>
        </w:numPr>
      </w:pPr>
      <w:r>
        <w:t xml:space="preserve">monitoring frequency</w:t>
      </w:r>
    </w:p>
    <w:p>
      <w:pPr>
        <w:pStyle w:val="Compact"/>
        <w:numPr>
          <w:ilvl w:val="0"/>
          <w:numId w:val="1012"/>
        </w:numPr>
      </w:pPr>
      <w:r>
        <w:t xml:space="preserve">compliance evaluation result</w:t>
      </w:r>
    </w:p>
    <w:bookmarkEnd w:id="33"/>
    <w:bookmarkStart w:id="34" w:name="main-workflows-1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13"/>
        </w:numPr>
      </w:pPr>
      <w:r>
        <w:t xml:space="preserve">environmental aspect review</w:t>
      </w:r>
    </w:p>
    <w:p>
      <w:pPr>
        <w:pStyle w:val="Compact"/>
        <w:numPr>
          <w:ilvl w:val="0"/>
          <w:numId w:val="1013"/>
        </w:numPr>
      </w:pPr>
      <w:r>
        <w:t xml:space="preserve">compliance obligation review</w:t>
      </w:r>
    </w:p>
    <w:p>
      <w:pPr>
        <w:pStyle w:val="Compact"/>
        <w:numPr>
          <w:ilvl w:val="0"/>
          <w:numId w:val="1013"/>
        </w:numPr>
      </w:pPr>
      <w:r>
        <w:t xml:space="preserve">spill / incident reporting</w:t>
      </w:r>
    </w:p>
    <w:p>
      <w:pPr>
        <w:pStyle w:val="Compact"/>
        <w:numPr>
          <w:ilvl w:val="0"/>
          <w:numId w:val="1013"/>
        </w:numPr>
      </w:pPr>
      <w:r>
        <w:t xml:space="preserve">corrective action for environmental deviation</w:t>
      </w:r>
    </w:p>
    <w:p>
      <w:pPr>
        <w:pStyle w:val="Compact"/>
        <w:numPr>
          <w:ilvl w:val="0"/>
          <w:numId w:val="1013"/>
        </w:numPr>
      </w:pPr>
      <w:r>
        <w:t xml:space="preserve">environmental objective monitoring</w:t>
      </w:r>
    </w:p>
    <w:p>
      <w:pPr>
        <w:pStyle w:val="Compact"/>
        <w:numPr>
          <w:ilvl w:val="0"/>
          <w:numId w:val="1013"/>
        </w:numPr>
      </w:pPr>
      <w:r>
        <w:t xml:space="preserve">permit expiry reminders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so-45001-overlay-parameters"/>
    <w:p>
      <w:pPr>
        <w:pStyle w:val="Heading2"/>
      </w:pPr>
      <w:r>
        <w:t xml:space="preserve">4. ISO 45001 Overlay Parameters</w:t>
      </w:r>
    </w:p>
    <w:bookmarkStart w:id="36" w:name="core-entities-2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14"/>
        </w:numPr>
      </w:pPr>
      <w:r>
        <w:t xml:space="preserve">hazard register</w:t>
      </w:r>
    </w:p>
    <w:p>
      <w:pPr>
        <w:pStyle w:val="Compact"/>
        <w:numPr>
          <w:ilvl w:val="0"/>
          <w:numId w:val="1014"/>
        </w:numPr>
      </w:pPr>
      <w:r>
        <w:t xml:space="preserve">OH&amp;S risk assessments</w:t>
      </w:r>
    </w:p>
    <w:p>
      <w:pPr>
        <w:pStyle w:val="Compact"/>
        <w:numPr>
          <w:ilvl w:val="0"/>
          <w:numId w:val="1014"/>
        </w:numPr>
      </w:pPr>
      <w:r>
        <w:t xml:space="preserve">legal obligations</w:t>
      </w:r>
    </w:p>
    <w:p>
      <w:pPr>
        <w:pStyle w:val="Compact"/>
        <w:numPr>
          <w:ilvl w:val="0"/>
          <w:numId w:val="1014"/>
        </w:numPr>
      </w:pPr>
      <w:r>
        <w:t xml:space="preserve">incidents / near misses</w:t>
      </w:r>
    </w:p>
    <w:p>
      <w:pPr>
        <w:pStyle w:val="Compact"/>
        <w:numPr>
          <w:ilvl w:val="0"/>
          <w:numId w:val="1014"/>
        </w:numPr>
      </w:pPr>
      <w:r>
        <w:t xml:space="preserve">unsafe conditions / unsafe acts</w:t>
      </w:r>
    </w:p>
    <w:p>
      <w:pPr>
        <w:pStyle w:val="Compact"/>
        <w:numPr>
          <w:ilvl w:val="0"/>
          <w:numId w:val="1014"/>
        </w:numPr>
      </w:pPr>
      <w:r>
        <w:t xml:space="preserve">PPE records</w:t>
      </w:r>
    </w:p>
    <w:p>
      <w:pPr>
        <w:pStyle w:val="Compact"/>
        <w:numPr>
          <w:ilvl w:val="0"/>
          <w:numId w:val="1014"/>
        </w:numPr>
      </w:pPr>
      <w:r>
        <w:t xml:space="preserve">medical / health surveillance</w:t>
      </w:r>
    </w:p>
    <w:p>
      <w:pPr>
        <w:pStyle w:val="Compact"/>
        <w:numPr>
          <w:ilvl w:val="0"/>
          <w:numId w:val="1014"/>
        </w:numPr>
      </w:pPr>
      <w:r>
        <w:t xml:space="preserve">trainings</w:t>
      </w:r>
    </w:p>
    <w:p>
      <w:pPr>
        <w:pStyle w:val="Compact"/>
        <w:numPr>
          <w:ilvl w:val="0"/>
          <w:numId w:val="1014"/>
        </w:numPr>
      </w:pPr>
      <w:r>
        <w:t xml:space="preserve">inspections</w:t>
      </w:r>
    </w:p>
    <w:p>
      <w:pPr>
        <w:pStyle w:val="Compact"/>
        <w:numPr>
          <w:ilvl w:val="0"/>
          <w:numId w:val="1014"/>
        </w:numPr>
      </w:pPr>
      <w:r>
        <w:t xml:space="preserve">contractor controls</w:t>
      </w:r>
    </w:p>
    <w:p>
      <w:pPr>
        <w:pStyle w:val="Compact"/>
        <w:numPr>
          <w:ilvl w:val="0"/>
          <w:numId w:val="1014"/>
        </w:numPr>
      </w:pPr>
      <w:r>
        <w:t xml:space="preserve">emergency drills</w:t>
      </w:r>
    </w:p>
    <w:p>
      <w:pPr>
        <w:pStyle w:val="Compact"/>
        <w:numPr>
          <w:ilvl w:val="0"/>
          <w:numId w:val="1014"/>
        </w:numPr>
      </w:pPr>
      <w:r>
        <w:t xml:space="preserve">permit-to-work controls</w:t>
      </w:r>
    </w:p>
    <w:bookmarkEnd w:id="36"/>
    <w:bookmarkStart w:id="37" w:name="parameters-to-add-2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15"/>
        </w:numPr>
      </w:pPr>
      <w:r>
        <w:t xml:space="preserve">hazard type</w:t>
      </w:r>
    </w:p>
    <w:p>
      <w:pPr>
        <w:pStyle w:val="Compact"/>
        <w:numPr>
          <w:ilvl w:val="0"/>
          <w:numId w:val="1015"/>
        </w:numPr>
      </w:pPr>
      <w:r>
        <w:t xml:space="preserve">exposed persons / groups</w:t>
      </w:r>
    </w:p>
    <w:p>
      <w:pPr>
        <w:pStyle w:val="Compact"/>
        <w:numPr>
          <w:ilvl w:val="0"/>
          <w:numId w:val="1015"/>
        </w:numPr>
      </w:pPr>
      <w:r>
        <w:t xml:space="preserve">job / activity</w:t>
      </w:r>
    </w:p>
    <w:p>
      <w:pPr>
        <w:pStyle w:val="Compact"/>
        <w:numPr>
          <w:ilvl w:val="0"/>
          <w:numId w:val="1015"/>
        </w:numPr>
      </w:pPr>
      <w:r>
        <w:t xml:space="preserve">task / location</w:t>
      </w:r>
    </w:p>
    <w:p>
      <w:pPr>
        <w:pStyle w:val="Compact"/>
        <w:numPr>
          <w:ilvl w:val="0"/>
          <w:numId w:val="1015"/>
        </w:numPr>
      </w:pPr>
      <w:r>
        <w:t xml:space="preserve">risk score</w:t>
      </w:r>
    </w:p>
    <w:p>
      <w:pPr>
        <w:pStyle w:val="Compact"/>
        <w:numPr>
          <w:ilvl w:val="0"/>
          <w:numId w:val="1015"/>
        </w:numPr>
      </w:pPr>
      <w:r>
        <w:t xml:space="preserve">existing controls</w:t>
      </w:r>
    </w:p>
    <w:p>
      <w:pPr>
        <w:pStyle w:val="Compact"/>
        <w:numPr>
          <w:ilvl w:val="0"/>
          <w:numId w:val="1015"/>
        </w:numPr>
      </w:pPr>
      <w:r>
        <w:t xml:space="preserve">additional controls</w:t>
      </w:r>
    </w:p>
    <w:p>
      <w:pPr>
        <w:pStyle w:val="Compact"/>
        <w:numPr>
          <w:ilvl w:val="0"/>
          <w:numId w:val="1015"/>
        </w:numPr>
      </w:pPr>
      <w:r>
        <w:t xml:space="preserve">residual risk</w:t>
      </w:r>
    </w:p>
    <w:p>
      <w:pPr>
        <w:pStyle w:val="Compact"/>
        <w:numPr>
          <w:ilvl w:val="0"/>
          <w:numId w:val="1015"/>
        </w:numPr>
      </w:pPr>
      <w:r>
        <w:t xml:space="preserve">worker consultation records</w:t>
      </w:r>
    </w:p>
    <w:p>
      <w:pPr>
        <w:pStyle w:val="Compact"/>
        <w:numPr>
          <w:ilvl w:val="0"/>
          <w:numId w:val="1015"/>
        </w:numPr>
      </w:pPr>
      <w:r>
        <w:t xml:space="preserve">incident type</w:t>
      </w:r>
    </w:p>
    <w:p>
      <w:pPr>
        <w:pStyle w:val="Compact"/>
        <w:numPr>
          <w:ilvl w:val="0"/>
          <w:numId w:val="1015"/>
        </w:numPr>
      </w:pPr>
      <w:r>
        <w:t xml:space="preserve">near miss flag</w:t>
      </w:r>
    </w:p>
    <w:p>
      <w:pPr>
        <w:pStyle w:val="Compact"/>
        <w:numPr>
          <w:ilvl w:val="0"/>
          <w:numId w:val="1015"/>
        </w:numPr>
      </w:pPr>
      <w:r>
        <w:t xml:space="preserve">lost time flag</w:t>
      </w:r>
    </w:p>
    <w:p>
      <w:pPr>
        <w:pStyle w:val="Compact"/>
        <w:numPr>
          <w:ilvl w:val="0"/>
          <w:numId w:val="1015"/>
        </w:numPr>
      </w:pPr>
      <w:r>
        <w:t xml:space="preserve">first aid / medical treatment flag</w:t>
      </w:r>
    </w:p>
    <w:p>
      <w:pPr>
        <w:pStyle w:val="Compact"/>
        <w:numPr>
          <w:ilvl w:val="0"/>
          <w:numId w:val="1015"/>
        </w:numPr>
      </w:pPr>
      <w:r>
        <w:t xml:space="preserve">severity classification</w:t>
      </w:r>
    </w:p>
    <w:p>
      <w:pPr>
        <w:pStyle w:val="Compact"/>
        <w:numPr>
          <w:ilvl w:val="0"/>
          <w:numId w:val="1015"/>
        </w:numPr>
      </w:pPr>
      <w:r>
        <w:t xml:space="preserve">investigation team</w:t>
      </w:r>
    </w:p>
    <w:p>
      <w:pPr>
        <w:pStyle w:val="Compact"/>
        <w:numPr>
          <w:ilvl w:val="0"/>
          <w:numId w:val="1015"/>
        </w:numPr>
      </w:pPr>
      <w:r>
        <w:t xml:space="preserve">PPE type</w:t>
      </w:r>
    </w:p>
    <w:p>
      <w:pPr>
        <w:pStyle w:val="Compact"/>
        <w:numPr>
          <w:ilvl w:val="0"/>
          <w:numId w:val="1015"/>
        </w:numPr>
      </w:pPr>
      <w:r>
        <w:t xml:space="preserve">PPE issue / expiry</w:t>
      </w:r>
    </w:p>
    <w:p>
      <w:pPr>
        <w:pStyle w:val="Compact"/>
        <w:numPr>
          <w:ilvl w:val="0"/>
          <w:numId w:val="1015"/>
        </w:numPr>
      </w:pPr>
      <w:r>
        <w:t xml:space="preserve">inspection checklist type</w:t>
      </w:r>
    </w:p>
    <w:p>
      <w:pPr>
        <w:pStyle w:val="Compact"/>
        <w:numPr>
          <w:ilvl w:val="0"/>
          <w:numId w:val="1015"/>
        </w:numPr>
      </w:pPr>
      <w:r>
        <w:t xml:space="preserve">contractor name</w:t>
      </w:r>
    </w:p>
    <w:p>
      <w:pPr>
        <w:pStyle w:val="Compact"/>
        <w:numPr>
          <w:ilvl w:val="0"/>
          <w:numId w:val="1015"/>
        </w:numPr>
      </w:pPr>
      <w:r>
        <w:t xml:space="preserve">contractor qualification</w:t>
      </w:r>
    </w:p>
    <w:p>
      <w:pPr>
        <w:pStyle w:val="Compact"/>
        <w:numPr>
          <w:ilvl w:val="0"/>
          <w:numId w:val="1015"/>
        </w:numPr>
      </w:pPr>
      <w:r>
        <w:t xml:space="preserve">hot work permit</w:t>
      </w:r>
    </w:p>
    <w:p>
      <w:pPr>
        <w:pStyle w:val="Compact"/>
        <w:numPr>
          <w:ilvl w:val="0"/>
          <w:numId w:val="1015"/>
        </w:numPr>
      </w:pPr>
      <w:r>
        <w:t xml:space="preserve">confined space permit</w:t>
      </w:r>
    </w:p>
    <w:p>
      <w:pPr>
        <w:pStyle w:val="Compact"/>
        <w:numPr>
          <w:ilvl w:val="0"/>
          <w:numId w:val="1015"/>
        </w:numPr>
      </w:pPr>
      <w:r>
        <w:t xml:space="preserve">LOTO requirement</w:t>
      </w:r>
    </w:p>
    <w:p>
      <w:pPr>
        <w:pStyle w:val="Compact"/>
        <w:numPr>
          <w:ilvl w:val="0"/>
          <w:numId w:val="1015"/>
        </w:numPr>
      </w:pPr>
      <w:r>
        <w:t xml:space="preserve">emergency drill date</w:t>
      </w:r>
    </w:p>
    <w:p>
      <w:pPr>
        <w:pStyle w:val="Compact"/>
        <w:numPr>
          <w:ilvl w:val="0"/>
          <w:numId w:val="1015"/>
        </w:numPr>
      </w:pPr>
      <w:r>
        <w:t xml:space="preserve">emergency drill findings</w:t>
      </w:r>
    </w:p>
    <w:bookmarkEnd w:id="37"/>
    <w:bookmarkStart w:id="38" w:name="main-workflows-2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16"/>
        </w:numPr>
      </w:pPr>
      <w:r>
        <w:t xml:space="preserve">hazard identification -&gt; risk assessment -&gt; controls</w:t>
      </w:r>
    </w:p>
    <w:p>
      <w:pPr>
        <w:pStyle w:val="Compact"/>
        <w:numPr>
          <w:ilvl w:val="0"/>
          <w:numId w:val="1016"/>
        </w:numPr>
      </w:pPr>
      <w:r>
        <w:t xml:space="preserve">incident / near miss -&gt; investigation -&gt; CAPA</w:t>
      </w:r>
    </w:p>
    <w:p>
      <w:pPr>
        <w:pStyle w:val="Compact"/>
        <w:numPr>
          <w:ilvl w:val="0"/>
          <w:numId w:val="1016"/>
        </w:numPr>
      </w:pPr>
      <w:r>
        <w:t xml:space="preserve">PPE / training expiry reminders</w:t>
      </w:r>
    </w:p>
    <w:p>
      <w:pPr>
        <w:pStyle w:val="Compact"/>
        <w:numPr>
          <w:ilvl w:val="0"/>
          <w:numId w:val="1016"/>
        </w:numPr>
      </w:pPr>
      <w:r>
        <w:t xml:space="preserve">contractor approval</w:t>
      </w:r>
    </w:p>
    <w:p>
      <w:pPr>
        <w:pStyle w:val="Compact"/>
        <w:numPr>
          <w:ilvl w:val="0"/>
          <w:numId w:val="1016"/>
        </w:numPr>
      </w:pPr>
      <w:r>
        <w:t xml:space="preserve">workplace inspection -&gt; action plan</w:t>
      </w:r>
    </w:p>
    <w:p>
      <w:pPr>
        <w:pStyle w:val="Compact"/>
        <w:numPr>
          <w:ilvl w:val="0"/>
          <w:numId w:val="1016"/>
        </w:numPr>
      </w:pPr>
      <w:r>
        <w:t xml:space="preserve">emergency drill follow-up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so-22000-haccp-overlay-parameters"/>
    <w:p>
      <w:pPr>
        <w:pStyle w:val="Heading2"/>
      </w:pPr>
      <w:r>
        <w:t xml:space="preserve">5. ISO 22000 / HACCP Overlay Parameters</w:t>
      </w:r>
    </w:p>
    <w:bookmarkStart w:id="40" w:name="core-entities-3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17"/>
        </w:numPr>
      </w:pPr>
      <w:r>
        <w:t xml:space="preserve">products</w:t>
      </w:r>
    </w:p>
    <w:p>
      <w:pPr>
        <w:pStyle w:val="Compact"/>
        <w:numPr>
          <w:ilvl w:val="0"/>
          <w:numId w:val="1017"/>
        </w:numPr>
      </w:pPr>
      <w:r>
        <w:t xml:space="preserve">ingredients / raw materials</w:t>
      </w:r>
    </w:p>
    <w:p>
      <w:pPr>
        <w:pStyle w:val="Compact"/>
        <w:numPr>
          <w:ilvl w:val="0"/>
          <w:numId w:val="1017"/>
        </w:numPr>
      </w:pPr>
      <w:r>
        <w:t xml:space="preserve">allergens</w:t>
      </w:r>
    </w:p>
    <w:p>
      <w:pPr>
        <w:pStyle w:val="Compact"/>
        <w:numPr>
          <w:ilvl w:val="0"/>
          <w:numId w:val="1017"/>
        </w:numPr>
      </w:pPr>
      <w:r>
        <w:t xml:space="preserve">recipes / BOMs</w:t>
      </w:r>
    </w:p>
    <w:p>
      <w:pPr>
        <w:pStyle w:val="Compact"/>
        <w:numPr>
          <w:ilvl w:val="0"/>
          <w:numId w:val="1017"/>
        </w:numPr>
      </w:pPr>
      <w:r>
        <w:t xml:space="preserve">process flow diagrams</w:t>
      </w:r>
    </w:p>
    <w:p>
      <w:pPr>
        <w:pStyle w:val="Compact"/>
        <w:numPr>
          <w:ilvl w:val="0"/>
          <w:numId w:val="1017"/>
        </w:numPr>
      </w:pPr>
      <w:r>
        <w:t xml:space="preserve">hazard analysis</w:t>
      </w:r>
    </w:p>
    <w:p>
      <w:pPr>
        <w:pStyle w:val="Compact"/>
        <w:numPr>
          <w:ilvl w:val="0"/>
          <w:numId w:val="1017"/>
        </w:numPr>
      </w:pPr>
      <w:r>
        <w:t xml:space="preserve">PRPs</w:t>
      </w:r>
    </w:p>
    <w:p>
      <w:pPr>
        <w:pStyle w:val="Compact"/>
        <w:numPr>
          <w:ilvl w:val="0"/>
          <w:numId w:val="1017"/>
        </w:numPr>
      </w:pPr>
      <w:r>
        <w:t xml:space="preserve">OPRPs</w:t>
      </w:r>
    </w:p>
    <w:p>
      <w:pPr>
        <w:pStyle w:val="Compact"/>
        <w:numPr>
          <w:ilvl w:val="0"/>
          <w:numId w:val="1017"/>
        </w:numPr>
      </w:pPr>
      <w:r>
        <w:t xml:space="preserve">CCPs</w:t>
      </w:r>
    </w:p>
    <w:p>
      <w:pPr>
        <w:pStyle w:val="Compact"/>
        <w:numPr>
          <w:ilvl w:val="0"/>
          <w:numId w:val="1017"/>
        </w:numPr>
      </w:pPr>
      <w:r>
        <w:t xml:space="preserve">critical limits</w:t>
      </w:r>
    </w:p>
    <w:p>
      <w:pPr>
        <w:pStyle w:val="Compact"/>
        <w:numPr>
          <w:ilvl w:val="0"/>
          <w:numId w:val="1017"/>
        </w:numPr>
      </w:pPr>
      <w:r>
        <w:t xml:space="preserve">monitoring logs</w:t>
      </w:r>
    </w:p>
    <w:p>
      <w:pPr>
        <w:pStyle w:val="Compact"/>
        <w:numPr>
          <w:ilvl w:val="0"/>
          <w:numId w:val="1017"/>
        </w:numPr>
      </w:pPr>
      <w:r>
        <w:t xml:space="preserve">verification / validation</w:t>
      </w:r>
    </w:p>
    <w:p>
      <w:pPr>
        <w:pStyle w:val="Compact"/>
        <w:numPr>
          <w:ilvl w:val="0"/>
          <w:numId w:val="1017"/>
        </w:numPr>
      </w:pPr>
      <w:r>
        <w:t xml:space="preserve">traceability</w:t>
      </w:r>
    </w:p>
    <w:p>
      <w:pPr>
        <w:pStyle w:val="Compact"/>
        <w:numPr>
          <w:ilvl w:val="0"/>
          <w:numId w:val="1017"/>
        </w:numPr>
      </w:pPr>
      <w:r>
        <w:t xml:space="preserve">recall / withdrawal</w:t>
      </w:r>
    </w:p>
    <w:p>
      <w:pPr>
        <w:pStyle w:val="Compact"/>
        <w:numPr>
          <w:ilvl w:val="0"/>
          <w:numId w:val="1017"/>
        </w:numPr>
      </w:pPr>
      <w:r>
        <w:t xml:space="preserve">sanitation / cleaning</w:t>
      </w:r>
    </w:p>
    <w:p>
      <w:pPr>
        <w:pStyle w:val="Compact"/>
        <w:numPr>
          <w:ilvl w:val="0"/>
          <w:numId w:val="1017"/>
        </w:numPr>
      </w:pPr>
      <w:r>
        <w:t xml:space="preserve">suppliers</w:t>
      </w:r>
    </w:p>
    <w:p>
      <w:pPr>
        <w:pStyle w:val="Compact"/>
        <w:numPr>
          <w:ilvl w:val="0"/>
          <w:numId w:val="1017"/>
        </w:numPr>
      </w:pPr>
      <w:r>
        <w:t xml:space="preserve">batches / lots</w:t>
      </w:r>
    </w:p>
    <w:bookmarkEnd w:id="40"/>
    <w:bookmarkStart w:id="41" w:name="parameters-to-add-3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18"/>
        </w:numPr>
      </w:pPr>
      <w:r>
        <w:t xml:space="preserve">product / process name</w:t>
      </w:r>
    </w:p>
    <w:p>
      <w:pPr>
        <w:pStyle w:val="Compact"/>
        <w:numPr>
          <w:ilvl w:val="0"/>
          <w:numId w:val="1018"/>
        </w:numPr>
      </w:pPr>
      <w:r>
        <w:t xml:space="preserve">product category</w:t>
      </w:r>
    </w:p>
    <w:p>
      <w:pPr>
        <w:pStyle w:val="Compact"/>
        <w:numPr>
          <w:ilvl w:val="0"/>
          <w:numId w:val="1018"/>
        </w:numPr>
      </w:pPr>
      <w:r>
        <w:t xml:space="preserve">intended use</w:t>
      </w:r>
    </w:p>
    <w:p>
      <w:pPr>
        <w:pStyle w:val="Compact"/>
        <w:numPr>
          <w:ilvl w:val="0"/>
          <w:numId w:val="1018"/>
        </w:numPr>
      </w:pPr>
      <w:r>
        <w:t xml:space="preserve">consumer group</w:t>
      </w:r>
    </w:p>
    <w:p>
      <w:pPr>
        <w:pStyle w:val="Compact"/>
        <w:numPr>
          <w:ilvl w:val="0"/>
          <w:numId w:val="1018"/>
        </w:numPr>
      </w:pPr>
      <w:r>
        <w:t xml:space="preserve">ingredient list</w:t>
      </w:r>
    </w:p>
    <w:p>
      <w:pPr>
        <w:pStyle w:val="Compact"/>
        <w:numPr>
          <w:ilvl w:val="0"/>
          <w:numId w:val="1018"/>
        </w:numPr>
      </w:pPr>
      <w:r>
        <w:t xml:space="preserve">allergen list</w:t>
      </w:r>
    </w:p>
    <w:p>
      <w:pPr>
        <w:pStyle w:val="Compact"/>
        <w:numPr>
          <w:ilvl w:val="0"/>
          <w:numId w:val="1018"/>
        </w:numPr>
      </w:pPr>
      <w:r>
        <w:t xml:space="preserve">packaging type</w:t>
      </w:r>
    </w:p>
    <w:p>
      <w:pPr>
        <w:pStyle w:val="Compact"/>
        <w:numPr>
          <w:ilvl w:val="0"/>
          <w:numId w:val="1018"/>
        </w:numPr>
      </w:pPr>
      <w:r>
        <w:t xml:space="preserve">storage conditions</w:t>
      </w:r>
    </w:p>
    <w:p>
      <w:pPr>
        <w:pStyle w:val="Compact"/>
        <w:numPr>
          <w:ilvl w:val="0"/>
          <w:numId w:val="1018"/>
        </w:numPr>
      </w:pPr>
      <w:r>
        <w:t xml:space="preserve">shelf life</w:t>
      </w:r>
    </w:p>
    <w:p>
      <w:pPr>
        <w:pStyle w:val="Compact"/>
        <w:numPr>
          <w:ilvl w:val="0"/>
          <w:numId w:val="1018"/>
        </w:numPr>
      </w:pPr>
      <w:r>
        <w:t xml:space="preserve">flow diagram version</w:t>
      </w:r>
    </w:p>
    <w:p>
      <w:pPr>
        <w:pStyle w:val="Compact"/>
        <w:numPr>
          <w:ilvl w:val="0"/>
          <w:numId w:val="1018"/>
        </w:numPr>
      </w:pPr>
      <w:r>
        <w:t xml:space="preserve">process step</w:t>
      </w:r>
    </w:p>
    <w:p>
      <w:pPr>
        <w:pStyle w:val="Compact"/>
        <w:numPr>
          <w:ilvl w:val="0"/>
          <w:numId w:val="1018"/>
        </w:numPr>
      </w:pPr>
      <w:r>
        <w:t xml:space="preserve">biological / chemical / physical hazard</w:t>
      </w:r>
    </w:p>
    <w:p>
      <w:pPr>
        <w:pStyle w:val="Compact"/>
        <w:numPr>
          <w:ilvl w:val="0"/>
          <w:numId w:val="1018"/>
        </w:numPr>
      </w:pPr>
      <w:r>
        <w:t xml:space="preserve">hazard significance</w:t>
      </w:r>
    </w:p>
    <w:p>
      <w:pPr>
        <w:pStyle w:val="Compact"/>
        <w:numPr>
          <w:ilvl w:val="0"/>
          <w:numId w:val="1018"/>
        </w:numPr>
      </w:pPr>
      <w:r>
        <w:t xml:space="preserve">control measure</w:t>
      </w:r>
    </w:p>
    <w:p>
      <w:pPr>
        <w:pStyle w:val="Compact"/>
        <w:numPr>
          <w:ilvl w:val="0"/>
          <w:numId w:val="1018"/>
        </w:numPr>
      </w:pPr>
      <w:r>
        <w:t xml:space="preserve">control type (PRP / OPRP / CCP)</w:t>
      </w:r>
    </w:p>
    <w:p>
      <w:pPr>
        <w:pStyle w:val="Compact"/>
        <w:numPr>
          <w:ilvl w:val="0"/>
          <w:numId w:val="1018"/>
        </w:numPr>
      </w:pPr>
      <w:r>
        <w:t xml:space="preserve">critical limit</w:t>
      </w:r>
    </w:p>
    <w:p>
      <w:pPr>
        <w:pStyle w:val="Compact"/>
        <w:numPr>
          <w:ilvl w:val="0"/>
          <w:numId w:val="1018"/>
        </w:numPr>
      </w:pPr>
      <w:r>
        <w:t xml:space="preserve">target value</w:t>
      </w:r>
    </w:p>
    <w:p>
      <w:pPr>
        <w:pStyle w:val="Compact"/>
        <w:numPr>
          <w:ilvl w:val="0"/>
          <w:numId w:val="1018"/>
        </w:numPr>
      </w:pPr>
      <w:r>
        <w:t xml:space="preserve">tolerance min / max</w:t>
      </w:r>
    </w:p>
    <w:p>
      <w:pPr>
        <w:pStyle w:val="Compact"/>
        <w:numPr>
          <w:ilvl w:val="0"/>
          <w:numId w:val="1018"/>
        </w:numPr>
      </w:pPr>
      <w:r>
        <w:t xml:space="preserve">monitoring frequency</w:t>
      </w:r>
    </w:p>
    <w:p>
      <w:pPr>
        <w:pStyle w:val="Compact"/>
        <w:numPr>
          <w:ilvl w:val="0"/>
          <w:numId w:val="1018"/>
        </w:numPr>
      </w:pPr>
      <w:r>
        <w:t xml:space="preserve">monitoring method</w:t>
      </w:r>
    </w:p>
    <w:p>
      <w:pPr>
        <w:pStyle w:val="Compact"/>
        <w:numPr>
          <w:ilvl w:val="0"/>
          <w:numId w:val="1018"/>
        </w:numPr>
      </w:pPr>
      <w:r>
        <w:t xml:space="preserve">responsible person</w:t>
      </w:r>
    </w:p>
    <w:p>
      <w:pPr>
        <w:pStyle w:val="Compact"/>
        <w:numPr>
          <w:ilvl w:val="0"/>
          <w:numId w:val="1018"/>
        </w:numPr>
      </w:pPr>
      <w:r>
        <w:t xml:space="preserve">deviation rule</w:t>
      </w:r>
    </w:p>
    <w:p>
      <w:pPr>
        <w:pStyle w:val="Compact"/>
        <w:numPr>
          <w:ilvl w:val="0"/>
          <w:numId w:val="1018"/>
        </w:numPr>
      </w:pPr>
      <w:r>
        <w:t xml:space="preserve">batch number / lot number</w:t>
      </w:r>
    </w:p>
    <w:p>
      <w:pPr>
        <w:pStyle w:val="Compact"/>
        <w:numPr>
          <w:ilvl w:val="0"/>
          <w:numId w:val="1018"/>
        </w:numPr>
      </w:pPr>
      <w:r>
        <w:t xml:space="preserve">traceability links</w:t>
      </w:r>
    </w:p>
    <w:p>
      <w:pPr>
        <w:pStyle w:val="Compact"/>
        <w:numPr>
          <w:ilvl w:val="0"/>
          <w:numId w:val="1018"/>
        </w:numPr>
      </w:pPr>
      <w:r>
        <w:t xml:space="preserve">recall level / recall status</w:t>
      </w:r>
    </w:p>
    <w:p>
      <w:pPr>
        <w:pStyle w:val="Compact"/>
        <w:numPr>
          <w:ilvl w:val="0"/>
          <w:numId w:val="1018"/>
        </w:numPr>
      </w:pPr>
      <w:r>
        <w:t xml:space="preserve">sanitation record</w:t>
      </w:r>
    </w:p>
    <w:p>
      <w:pPr>
        <w:pStyle w:val="Compact"/>
        <w:numPr>
          <w:ilvl w:val="0"/>
          <w:numId w:val="1018"/>
        </w:numPr>
      </w:pPr>
      <w:r>
        <w:t xml:space="preserve">verification frequency</w:t>
      </w:r>
    </w:p>
    <w:p>
      <w:pPr>
        <w:pStyle w:val="Compact"/>
        <w:numPr>
          <w:ilvl w:val="0"/>
          <w:numId w:val="1018"/>
        </w:numPr>
      </w:pPr>
      <w:r>
        <w:t xml:space="preserve">validation evidence</w:t>
      </w:r>
    </w:p>
    <w:bookmarkEnd w:id="41"/>
    <w:bookmarkStart w:id="42" w:name="main-workflows-3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19"/>
        </w:numPr>
      </w:pPr>
      <w:r>
        <w:t xml:space="preserve">hazard analysis approval</w:t>
      </w:r>
    </w:p>
    <w:p>
      <w:pPr>
        <w:pStyle w:val="Compact"/>
        <w:numPr>
          <w:ilvl w:val="0"/>
          <w:numId w:val="1019"/>
        </w:numPr>
      </w:pPr>
      <w:r>
        <w:t xml:space="preserve">CCP deviation -&gt; incident -&gt; CAPA</w:t>
      </w:r>
    </w:p>
    <w:p>
      <w:pPr>
        <w:pStyle w:val="Compact"/>
        <w:numPr>
          <w:ilvl w:val="0"/>
          <w:numId w:val="1019"/>
        </w:numPr>
      </w:pPr>
      <w:r>
        <w:t xml:space="preserve">batch traceability lookup</w:t>
      </w:r>
    </w:p>
    <w:p>
      <w:pPr>
        <w:pStyle w:val="Compact"/>
        <w:numPr>
          <w:ilvl w:val="0"/>
          <w:numId w:val="1019"/>
        </w:numPr>
      </w:pPr>
      <w:r>
        <w:t xml:space="preserve">recall / mock recall</w:t>
      </w:r>
    </w:p>
    <w:p>
      <w:pPr>
        <w:pStyle w:val="Compact"/>
        <w:numPr>
          <w:ilvl w:val="0"/>
          <w:numId w:val="1019"/>
        </w:numPr>
      </w:pPr>
      <w:r>
        <w:t xml:space="preserve">sanitation verification</w:t>
      </w:r>
    </w:p>
    <w:p>
      <w:pPr>
        <w:pStyle w:val="Compact"/>
        <w:numPr>
          <w:ilvl w:val="0"/>
          <w:numId w:val="1019"/>
        </w:numPr>
      </w:pPr>
      <w:r>
        <w:t xml:space="preserve">supplier food safety evaluation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so-27001-overlay-parameters"/>
    <w:p>
      <w:pPr>
        <w:pStyle w:val="Heading2"/>
      </w:pPr>
      <w:r>
        <w:t xml:space="preserve">6. ISO 27001 Overlay Parameters</w:t>
      </w:r>
    </w:p>
    <w:bookmarkStart w:id="44" w:name="core-entities-4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20"/>
        </w:numPr>
      </w:pPr>
      <w:r>
        <w:t xml:space="preserve">information assets</w:t>
      </w:r>
    </w:p>
    <w:p>
      <w:pPr>
        <w:pStyle w:val="Compact"/>
        <w:numPr>
          <w:ilvl w:val="0"/>
          <w:numId w:val="1020"/>
        </w:numPr>
      </w:pPr>
      <w:r>
        <w:t xml:space="preserve">asset owners</w:t>
      </w:r>
    </w:p>
    <w:p>
      <w:pPr>
        <w:pStyle w:val="Compact"/>
        <w:numPr>
          <w:ilvl w:val="0"/>
          <w:numId w:val="1020"/>
        </w:numPr>
      </w:pPr>
      <w:r>
        <w:t xml:space="preserve">classifications</w:t>
      </w:r>
    </w:p>
    <w:p>
      <w:pPr>
        <w:pStyle w:val="Compact"/>
        <w:numPr>
          <w:ilvl w:val="0"/>
          <w:numId w:val="1020"/>
        </w:numPr>
      </w:pPr>
      <w:r>
        <w:t xml:space="preserve">risk assessments</w:t>
      </w:r>
    </w:p>
    <w:p>
      <w:pPr>
        <w:pStyle w:val="Compact"/>
        <w:numPr>
          <w:ilvl w:val="0"/>
          <w:numId w:val="1020"/>
        </w:numPr>
      </w:pPr>
      <w:r>
        <w:t xml:space="preserve">risk treatment plans</w:t>
      </w:r>
    </w:p>
    <w:p>
      <w:pPr>
        <w:pStyle w:val="Compact"/>
        <w:numPr>
          <w:ilvl w:val="0"/>
          <w:numId w:val="1020"/>
        </w:numPr>
      </w:pPr>
      <w:r>
        <w:t xml:space="preserve">Statement of Applicability</w:t>
      </w:r>
    </w:p>
    <w:p>
      <w:pPr>
        <w:pStyle w:val="Compact"/>
        <w:numPr>
          <w:ilvl w:val="0"/>
          <w:numId w:val="1020"/>
        </w:numPr>
      </w:pPr>
      <w:r>
        <w:t xml:space="preserve">controls register</w:t>
      </w:r>
    </w:p>
    <w:p>
      <w:pPr>
        <w:pStyle w:val="Compact"/>
        <w:numPr>
          <w:ilvl w:val="0"/>
          <w:numId w:val="1020"/>
        </w:numPr>
      </w:pPr>
      <w:r>
        <w:t xml:space="preserve">incidents</w:t>
      </w:r>
    </w:p>
    <w:p>
      <w:pPr>
        <w:pStyle w:val="Compact"/>
        <w:numPr>
          <w:ilvl w:val="0"/>
          <w:numId w:val="1020"/>
        </w:numPr>
      </w:pPr>
      <w:r>
        <w:t xml:space="preserve">vulnerabilities</w:t>
      </w:r>
    </w:p>
    <w:p>
      <w:pPr>
        <w:pStyle w:val="Compact"/>
        <w:numPr>
          <w:ilvl w:val="0"/>
          <w:numId w:val="1020"/>
        </w:numPr>
      </w:pPr>
      <w:r>
        <w:t xml:space="preserve">access reviews</w:t>
      </w:r>
    </w:p>
    <w:p>
      <w:pPr>
        <w:pStyle w:val="Compact"/>
        <w:numPr>
          <w:ilvl w:val="0"/>
          <w:numId w:val="1020"/>
        </w:numPr>
      </w:pPr>
      <w:r>
        <w:t xml:space="preserve">backups</w:t>
      </w:r>
    </w:p>
    <w:p>
      <w:pPr>
        <w:pStyle w:val="Compact"/>
        <w:numPr>
          <w:ilvl w:val="0"/>
          <w:numId w:val="1020"/>
        </w:numPr>
      </w:pPr>
      <w:r>
        <w:t xml:space="preserve">suppliers</w:t>
      </w:r>
    </w:p>
    <w:p>
      <w:pPr>
        <w:pStyle w:val="Compact"/>
        <w:numPr>
          <w:ilvl w:val="0"/>
          <w:numId w:val="1020"/>
        </w:numPr>
      </w:pPr>
      <w:r>
        <w:t xml:space="preserve">business continuity / disaster recovery</w:t>
      </w:r>
    </w:p>
    <w:p>
      <w:pPr>
        <w:pStyle w:val="Compact"/>
        <w:numPr>
          <w:ilvl w:val="0"/>
          <w:numId w:val="1020"/>
        </w:numPr>
      </w:pPr>
      <w:r>
        <w:t xml:space="preserve">awareness and training</w:t>
      </w:r>
    </w:p>
    <w:bookmarkEnd w:id="44"/>
    <w:bookmarkStart w:id="45" w:name="parameters-to-add-4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21"/>
        </w:numPr>
      </w:pPr>
      <w:r>
        <w:t xml:space="preserve">asset type</w:t>
      </w:r>
    </w:p>
    <w:p>
      <w:pPr>
        <w:pStyle w:val="Compact"/>
        <w:numPr>
          <w:ilvl w:val="0"/>
          <w:numId w:val="1021"/>
        </w:numPr>
      </w:pPr>
      <w:r>
        <w:t xml:space="preserve">asset owner</w:t>
      </w:r>
    </w:p>
    <w:p>
      <w:pPr>
        <w:pStyle w:val="Compact"/>
        <w:numPr>
          <w:ilvl w:val="0"/>
          <w:numId w:val="1021"/>
        </w:numPr>
      </w:pPr>
      <w:r>
        <w:t xml:space="preserve">asset classification</w:t>
      </w:r>
    </w:p>
    <w:p>
      <w:pPr>
        <w:pStyle w:val="Compact"/>
        <w:numPr>
          <w:ilvl w:val="0"/>
          <w:numId w:val="1021"/>
        </w:numPr>
      </w:pPr>
      <w:r>
        <w:t xml:space="preserve">confidentiality / integrity / availability rating</w:t>
      </w:r>
    </w:p>
    <w:p>
      <w:pPr>
        <w:pStyle w:val="Compact"/>
        <w:numPr>
          <w:ilvl w:val="0"/>
          <w:numId w:val="1021"/>
        </w:numPr>
      </w:pPr>
      <w:r>
        <w:t xml:space="preserve">business process dependency</w:t>
      </w:r>
    </w:p>
    <w:p>
      <w:pPr>
        <w:pStyle w:val="Compact"/>
        <w:numPr>
          <w:ilvl w:val="0"/>
          <w:numId w:val="1021"/>
        </w:numPr>
      </w:pPr>
      <w:r>
        <w:t xml:space="preserve">threat category</w:t>
      </w:r>
    </w:p>
    <w:p>
      <w:pPr>
        <w:pStyle w:val="Compact"/>
        <w:numPr>
          <w:ilvl w:val="0"/>
          <w:numId w:val="1021"/>
        </w:numPr>
      </w:pPr>
      <w:r>
        <w:t xml:space="preserve">vulnerability category</w:t>
      </w:r>
    </w:p>
    <w:p>
      <w:pPr>
        <w:pStyle w:val="Compact"/>
        <w:numPr>
          <w:ilvl w:val="0"/>
          <w:numId w:val="1021"/>
        </w:numPr>
      </w:pPr>
      <w:r>
        <w:t xml:space="preserve">likelihood</w:t>
      </w:r>
    </w:p>
    <w:p>
      <w:pPr>
        <w:pStyle w:val="Compact"/>
        <w:numPr>
          <w:ilvl w:val="0"/>
          <w:numId w:val="1021"/>
        </w:numPr>
      </w:pPr>
      <w:r>
        <w:t xml:space="preserve">impact</w:t>
      </w:r>
    </w:p>
    <w:p>
      <w:pPr>
        <w:pStyle w:val="Compact"/>
        <w:numPr>
          <w:ilvl w:val="0"/>
          <w:numId w:val="1021"/>
        </w:numPr>
      </w:pPr>
      <w:r>
        <w:t xml:space="preserve">inherent risk</w:t>
      </w:r>
    </w:p>
    <w:p>
      <w:pPr>
        <w:pStyle w:val="Compact"/>
        <w:numPr>
          <w:ilvl w:val="0"/>
          <w:numId w:val="1021"/>
        </w:numPr>
      </w:pPr>
      <w:r>
        <w:t xml:space="preserve">selected controls</w:t>
      </w:r>
    </w:p>
    <w:p>
      <w:pPr>
        <w:pStyle w:val="Compact"/>
        <w:numPr>
          <w:ilvl w:val="0"/>
          <w:numId w:val="1021"/>
        </w:numPr>
      </w:pPr>
      <w:r>
        <w:t xml:space="preserve">residual risk</w:t>
      </w:r>
    </w:p>
    <w:p>
      <w:pPr>
        <w:pStyle w:val="Compact"/>
        <w:numPr>
          <w:ilvl w:val="0"/>
          <w:numId w:val="1021"/>
        </w:numPr>
      </w:pPr>
      <w:r>
        <w:t xml:space="preserve">treatment option</w:t>
      </w:r>
    </w:p>
    <w:p>
      <w:pPr>
        <w:pStyle w:val="Compact"/>
        <w:numPr>
          <w:ilvl w:val="0"/>
          <w:numId w:val="1021"/>
        </w:numPr>
      </w:pPr>
      <w:r>
        <w:t xml:space="preserve">SoA applicability</w:t>
      </w:r>
    </w:p>
    <w:p>
      <w:pPr>
        <w:pStyle w:val="Compact"/>
        <w:numPr>
          <w:ilvl w:val="0"/>
          <w:numId w:val="1021"/>
        </w:numPr>
      </w:pPr>
      <w:r>
        <w:t xml:space="preserve">justification for inclusion / exclusion</w:t>
      </w:r>
    </w:p>
    <w:p>
      <w:pPr>
        <w:pStyle w:val="Compact"/>
        <w:numPr>
          <w:ilvl w:val="0"/>
          <w:numId w:val="1021"/>
        </w:numPr>
      </w:pPr>
      <w:r>
        <w:t xml:space="preserve">incident type</w:t>
      </w:r>
    </w:p>
    <w:p>
      <w:pPr>
        <w:pStyle w:val="Compact"/>
        <w:numPr>
          <w:ilvl w:val="0"/>
          <w:numId w:val="1021"/>
        </w:numPr>
      </w:pPr>
      <w:r>
        <w:t xml:space="preserve">affected system</w:t>
      </w:r>
    </w:p>
    <w:p>
      <w:pPr>
        <w:pStyle w:val="Compact"/>
        <w:numPr>
          <w:ilvl w:val="0"/>
          <w:numId w:val="1021"/>
        </w:numPr>
      </w:pPr>
      <w:r>
        <w:t xml:space="preserve">log reference</w:t>
      </w:r>
    </w:p>
    <w:p>
      <w:pPr>
        <w:pStyle w:val="Compact"/>
        <w:numPr>
          <w:ilvl w:val="0"/>
          <w:numId w:val="1021"/>
        </w:numPr>
      </w:pPr>
      <w:r>
        <w:t xml:space="preserve">access review cycle</w:t>
      </w:r>
    </w:p>
    <w:p>
      <w:pPr>
        <w:pStyle w:val="Compact"/>
        <w:numPr>
          <w:ilvl w:val="0"/>
          <w:numId w:val="1021"/>
        </w:numPr>
      </w:pPr>
      <w:r>
        <w:t xml:space="preserve">user privilege level</w:t>
      </w:r>
    </w:p>
    <w:p>
      <w:pPr>
        <w:pStyle w:val="Compact"/>
        <w:numPr>
          <w:ilvl w:val="0"/>
          <w:numId w:val="1021"/>
        </w:numPr>
      </w:pPr>
      <w:r>
        <w:t xml:space="preserve">backup frequency</w:t>
      </w:r>
    </w:p>
    <w:p>
      <w:pPr>
        <w:pStyle w:val="Compact"/>
        <w:numPr>
          <w:ilvl w:val="0"/>
          <w:numId w:val="1021"/>
        </w:numPr>
      </w:pPr>
      <w:r>
        <w:t xml:space="preserve">restore test record</w:t>
      </w:r>
    </w:p>
    <w:p>
      <w:pPr>
        <w:pStyle w:val="Compact"/>
        <w:numPr>
          <w:ilvl w:val="0"/>
          <w:numId w:val="1021"/>
        </w:numPr>
      </w:pPr>
      <w:r>
        <w:t xml:space="preserve">supplier criticality</w:t>
      </w:r>
    </w:p>
    <w:p>
      <w:pPr>
        <w:pStyle w:val="Compact"/>
        <w:numPr>
          <w:ilvl w:val="0"/>
          <w:numId w:val="1021"/>
        </w:numPr>
      </w:pPr>
      <w:r>
        <w:t xml:space="preserve">BCP scenario</w:t>
      </w:r>
    </w:p>
    <w:p>
      <w:pPr>
        <w:pStyle w:val="Compact"/>
        <w:numPr>
          <w:ilvl w:val="0"/>
          <w:numId w:val="1021"/>
        </w:numPr>
      </w:pPr>
      <w:r>
        <w:t xml:space="preserve">DR test result</w:t>
      </w:r>
    </w:p>
    <w:bookmarkEnd w:id="45"/>
    <w:bookmarkStart w:id="46" w:name="main-workflows-4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22"/>
        </w:numPr>
      </w:pPr>
      <w:r>
        <w:t xml:space="preserve">asset registration -&gt; classification -&gt; owner assignment</w:t>
      </w:r>
    </w:p>
    <w:p>
      <w:pPr>
        <w:pStyle w:val="Compact"/>
        <w:numPr>
          <w:ilvl w:val="0"/>
          <w:numId w:val="1022"/>
        </w:numPr>
      </w:pPr>
      <w:r>
        <w:t xml:space="preserve">risk assessment -&gt; treatment plan -&gt; approval</w:t>
      </w:r>
    </w:p>
    <w:p>
      <w:pPr>
        <w:pStyle w:val="Compact"/>
        <w:numPr>
          <w:ilvl w:val="0"/>
          <w:numId w:val="1022"/>
        </w:numPr>
      </w:pPr>
      <w:r>
        <w:t xml:space="preserve">security incident -&gt; investigation -&gt; CAPA</w:t>
      </w:r>
    </w:p>
    <w:p>
      <w:pPr>
        <w:pStyle w:val="Compact"/>
        <w:numPr>
          <w:ilvl w:val="0"/>
          <w:numId w:val="1022"/>
        </w:numPr>
      </w:pPr>
      <w:r>
        <w:t xml:space="preserve">control applicability review</w:t>
      </w:r>
    </w:p>
    <w:p>
      <w:pPr>
        <w:pStyle w:val="Compact"/>
        <w:numPr>
          <w:ilvl w:val="0"/>
          <w:numId w:val="1022"/>
        </w:numPr>
      </w:pPr>
      <w:r>
        <w:t xml:space="preserve">access review reminders</w:t>
      </w:r>
    </w:p>
    <w:p>
      <w:pPr>
        <w:pStyle w:val="Compact"/>
        <w:numPr>
          <w:ilvl w:val="0"/>
          <w:numId w:val="1022"/>
        </w:numPr>
      </w:pPr>
      <w:r>
        <w:t xml:space="preserve">backup / DR test follow-up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so-13485-overlay-parameters"/>
    <w:p>
      <w:pPr>
        <w:pStyle w:val="Heading2"/>
      </w:pPr>
      <w:r>
        <w:t xml:space="preserve">7. ISO 13485 Overlay Parameters</w:t>
      </w:r>
    </w:p>
    <w:bookmarkStart w:id="48" w:name="core-entities-5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23"/>
        </w:numPr>
      </w:pPr>
      <w:r>
        <w:t xml:space="preserve">medical device family</w:t>
      </w:r>
    </w:p>
    <w:p>
      <w:pPr>
        <w:pStyle w:val="Compact"/>
        <w:numPr>
          <w:ilvl w:val="0"/>
          <w:numId w:val="1023"/>
        </w:numPr>
      </w:pPr>
      <w:r>
        <w:t xml:space="preserve">product / device version</w:t>
      </w:r>
    </w:p>
    <w:p>
      <w:pPr>
        <w:pStyle w:val="Compact"/>
        <w:numPr>
          <w:ilvl w:val="0"/>
          <w:numId w:val="1023"/>
        </w:numPr>
      </w:pPr>
      <w:r>
        <w:t xml:space="preserve">risk management links</w:t>
      </w:r>
    </w:p>
    <w:p>
      <w:pPr>
        <w:pStyle w:val="Compact"/>
        <w:numPr>
          <w:ilvl w:val="0"/>
          <w:numId w:val="1023"/>
        </w:numPr>
      </w:pPr>
      <w:r>
        <w:t xml:space="preserve">design / development records if applicable</w:t>
      </w:r>
    </w:p>
    <w:p>
      <w:pPr>
        <w:pStyle w:val="Compact"/>
        <w:numPr>
          <w:ilvl w:val="0"/>
          <w:numId w:val="1023"/>
        </w:numPr>
      </w:pPr>
      <w:r>
        <w:t xml:space="preserve">supplier controls</w:t>
      </w:r>
    </w:p>
    <w:p>
      <w:pPr>
        <w:pStyle w:val="Compact"/>
        <w:numPr>
          <w:ilvl w:val="0"/>
          <w:numId w:val="1023"/>
        </w:numPr>
      </w:pPr>
      <w:r>
        <w:t xml:space="preserve">traceability</w:t>
      </w:r>
    </w:p>
    <w:p>
      <w:pPr>
        <w:pStyle w:val="Compact"/>
        <w:numPr>
          <w:ilvl w:val="0"/>
          <w:numId w:val="1023"/>
        </w:numPr>
      </w:pPr>
      <w:r>
        <w:t xml:space="preserve">validation / verification</w:t>
      </w:r>
    </w:p>
    <w:p>
      <w:pPr>
        <w:pStyle w:val="Compact"/>
        <w:numPr>
          <w:ilvl w:val="0"/>
          <w:numId w:val="1023"/>
        </w:numPr>
      </w:pPr>
      <w:r>
        <w:t xml:space="preserve">complaints</w:t>
      </w:r>
    </w:p>
    <w:p>
      <w:pPr>
        <w:pStyle w:val="Compact"/>
        <w:numPr>
          <w:ilvl w:val="0"/>
          <w:numId w:val="1023"/>
        </w:numPr>
      </w:pPr>
      <w:r>
        <w:t xml:space="preserve">vigilance / adverse events</w:t>
      </w:r>
    </w:p>
    <w:p>
      <w:pPr>
        <w:pStyle w:val="Compact"/>
        <w:numPr>
          <w:ilvl w:val="0"/>
          <w:numId w:val="1023"/>
        </w:numPr>
      </w:pPr>
      <w:r>
        <w:t xml:space="preserve">CAPA</w:t>
      </w:r>
    </w:p>
    <w:p>
      <w:pPr>
        <w:pStyle w:val="Compact"/>
        <w:numPr>
          <w:ilvl w:val="0"/>
          <w:numId w:val="1023"/>
        </w:numPr>
      </w:pPr>
      <w:r>
        <w:t xml:space="preserve">change control</w:t>
      </w:r>
    </w:p>
    <w:p>
      <w:pPr>
        <w:pStyle w:val="Compact"/>
        <w:numPr>
          <w:ilvl w:val="0"/>
          <w:numId w:val="1023"/>
        </w:numPr>
      </w:pPr>
      <w:r>
        <w:t xml:space="preserve">training / competence</w:t>
      </w:r>
    </w:p>
    <w:p>
      <w:pPr>
        <w:pStyle w:val="Compact"/>
        <w:numPr>
          <w:ilvl w:val="0"/>
          <w:numId w:val="1023"/>
        </w:numPr>
      </w:pPr>
      <w:r>
        <w:t xml:space="preserve">calibration / maintenance</w:t>
      </w:r>
    </w:p>
    <w:bookmarkEnd w:id="48"/>
    <w:bookmarkStart w:id="49" w:name="parameters-to-add-5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24"/>
        </w:numPr>
      </w:pPr>
      <w:r>
        <w:t xml:space="preserve">device family</w:t>
      </w:r>
    </w:p>
    <w:p>
      <w:pPr>
        <w:pStyle w:val="Compact"/>
        <w:numPr>
          <w:ilvl w:val="0"/>
          <w:numId w:val="1024"/>
        </w:numPr>
      </w:pPr>
      <w:r>
        <w:t xml:space="preserve">product code / SKU</w:t>
      </w:r>
    </w:p>
    <w:p>
      <w:pPr>
        <w:pStyle w:val="Compact"/>
        <w:numPr>
          <w:ilvl w:val="0"/>
          <w:numId w:val="1024"/>
        </w:numPr>
      </w:pPr>
      <w:r>
        <w:t xml:space="preserve">batch / lot / serial</w:t>
      </w:r>
    </w:p>
    <w:p>
      <w:pPr>
        <w:pStyle w:val="Compact"/>
        <w:numPr>
          <w:ilvl w:val="0"/>
          <w:numId w:val="1024"/>
        </w:numPr>
      </w:pPr>
      <w:r>
        <w:t xml:space="preserve">UDI or equivalent identifier</w:t>
      </w:r>
    </w:p>
    <w:p>
      <w:pPr>
        <w:pStyle w:val="Compact"/>
        <w:numPr>
          <w:ilvl w:val="0"/>
          <w:numId w:val="1024"/>
        </w:numPr>
      </w:pPr>
      <w:r>
        <w:t xml:space="preserve">sterile / non-sterile flag</w:t>
      </w:r>
    </w:p>
    <w:p>
      <w:pPr>
        <w:pStyle w:val="Compact"/>
        <w:numPr>
          <w:ilvl w:val="0"/>
          <w:numId w:val="1024"/>
        </w:numPr>
      </w:pPr>
      <w:r>
        <w:t xml:space="preserve">implantable flag if applicable</w:t>
      </w:r>
    </w:p>
    <w:p>
      <w:pPr>
        <w:pStyle w:val="Compact"/>
        <w:numPr>
          <w:ilvl w:val="0"/>
          <w:numId w:val="1024"/>
        </w:numPr>
      </w:pPr>
      <w:r>
        <w:t xml:space="preserve">special process flag</w:t>
      </w:r>
    </w:p>
    <w:p>
      <w:pPr>
        <w:pStyle w:val="Compact"/>
        <w:numPr>
          <w:ilvl w:val="0"/>
          <w:numId w:val="1024"/>
        </w:numPr>
      </w:pPr>
      <w:r>
        <w:t xml:space="preserve">validation requirement</w:t>
      </w:r>
    </w:p>
    <w:p>
      <w:pPr>
        <w:pStyle w:val="Compact"/>
        <w:numPr>
          <w:ilvl w:val="0"/>
          <w:numId w:val="1024"/>
        </w:numPr>
      </w:pPr>
      <w:r>
        <w:t xml:space="preserve">design change record</w:t>
      </w:r>
    </w:p>
    <w:p>
      <w:pPr>
        <w:pStyle w:val="Compact"/>
        <w:numPr>
          <w:ilvl w:val="0"/>
          <w:numId w:val="1024"/>
        </w:numPr>
      </w:pPr>
      <w:r>
        <w:t xml:space="preserve">regulatory submission reference</w:t>
      </w:r>
    </w:p>
    <w:p>
      <w:pPr>
        <w:pStyle w:val="Compact"/>
        <w:numPr>
          <w:ilvl w:val="0"/>
          <w:numId w:val="1024"/>
        </w:numPr>
      </w:pPr>
      <w:r>
        <w:t xml:space="preserve">complaint classification</w:t>
      </w:r>
    </w:p>
    <w:p>
      <w:pPr>
        <w:pStyle w:val="Compact"/>
        <w:numPr>
          <w:ilvl w:val="0"/>
          <w:numId w:val="1024"/>
        </w:numPr>
      </w:pPr>
      <w:r>
        <w:t xml:space="preserve">adverse event flag</w:t>
      </w:r>
    </w:p>
    <w:p>
      <w:pPr>
        <w:pStyle w:val="Compact"/>
        <w:numPr>
          <w:ilvl w:val="0"/>
          <w:numId w:val="1024"/>
        </w:numPr>
      </w:pPr>
      <w:r>
        <w:t xml:space="preserve">reportability flag</w:t>
      </w:r>
    </w:p>
    <w:p>
      <w:pPr>
        <w:pStyle w:val="Compact"/>
        <w:numPr>
          <w:ilvl w:val="0"/>
          <w:numId w:val="1024"/>
        </w:numPr>
      </w:pPr>
      <w:r>
        <w:t xml:space="preserve">field action flag</w:t>
      </w:r>
    </w:p>
    <w:p>
      <w:pPr>
        <w:pStyle w:val="Compact"/>
        <w:numPr>
          <w:ilvl w:val="0"/>
          <w:numId w:val="1024"/>
        </w:numPr>
      </w:pPr>
      <w:r>
        <w:t xml:space="preserve">supplier qualification status</w:t>
      </w:r>
    </w:p>
    <w:p>
      <w:pPr>
        <w:pStyle w:val="Compact"/>
        <w:numPr>
          <w:ilvl w:val="0"/>
          <w:numId w:val="1024"/>
        </w:numPr>
      </w:pPr>
      <w:r>
        <w:t xml:space="preserve">traceability depth</w:t>
      </w:r>
    </w:p>
    <w:p>
      <w:pPr>
        <w:pStyle w:val="Compact"/>
        <w:numPr>
          <w:ilvl w:val="0"/>
          <w:numId w:val="1024"/>
        </w:numPr>
      </w:pPr>
      <w: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t xml:space="preserve">release authorization</w:t>
      </w:r>
    </w:p>
    <w:p>
      <w:pPr>
        <w:pStyle w:val="Compact"/>
        <w:numPr>
          <w:ilvl w:val="0"/>
          <w:numId w:val="1024"/>
        </w:numPr>
      </w:pPr>
      <w:r>
        <w:t xml:space="preserve">DMR / DHR linkage if applicable</w:t>
      </w:r>
    </w:p>
    <w:p>
      <w:pPr>
        <w:pStyle w:val="Compact"/>
        <w:numPr>
          <w:ilvl w:val="0"/>
          <w:numId w:val="1024"/>
        </w:numPr>
      </w:pPr>
      <w:r>
        <w:t xml:space="preserve">post-market feedback source</w:t>
      </w:r>
    </w:p>
    <w:bookmarkEnd w:id="49"/>
    <w:bookmarkStart w:id="50" w:name="main-workflows-5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25"/>
        </w:numPr>
      </w:pPr>
      <w:r>
        <w:t xml:space="preserve">complaint -&gt; investigation -&gt; vigilance assessment -&gt; CAPA</w:t>
      </w:r>
    </w:p>
    <w:p>
      <w:pPr>
        <w:pStyle w:val="Compact"/>
        <w:numPr>
          <w:ilvl w:val="0"/>
          <w:numId w:val="1025"/>
        </w:numPr>
      </w:pPr>
      <w:r>
        <w:t xml:space="preserve">design / process change control</w:t>
      </w:r>
    </w:p>
    <w:p>
      <w:pPr>
        <w:pStyle w:val="Compact"/>
        <w:numPr>
          <w:ilvl w:val="0"/>
          <w:numId w:val="1025"/>
        </w:numPr>
      </w:pPr>
      <w:r>
        <w:t xml:space="preserve">validation / verification approval</w:t>
      </w:r>
    </w:p>
    <w:p>
      <w:pPr>
        <w:pStyle w:val="Compact"/>
        <w:numPr>
          <w:ilvl w:val="0"/>
          <w:numId w:val="1025"/>
        </w:numPr>
      </w:pPr>
      <w:r>
        <w:t xml:space="preserve">supplier qualification / requalification</w:t>
      </w:r>
    </w:p>
    <w:p>
      <w:pPr>
        <w:pStyle w:val="Compact"/>
        <w:numPr>
          <w:ilvl w:val="0"/>
          <w:numId w:val="1025"/>
        </w:numPr>
      </w:pPr>
      <w:r>
        <w:t xml:space="preserve">traceability lookup by lot / serial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so-17025-overlay-parameters"/>
    <w:p>
      <w:pPr>
        <w:pStyle w:val="Heading2"/>
      </w:pPr>
      <w:r>
        <w:t xml:space="preserve">8. ISO 17025 Overlay Parameters</w:t>
      </w:r>
    </w:p>
    <w:bookmarkStart w:id="52" w:name="core-entities-6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26"/>
        </w:numPr>
      </w:pPr>
      <w:r>
        <w:t xml:space="preserve">laboratory sites / sections</w:t>
      </w:r>
    </w:p>
    <w:p>
      <w:pPr>
        <w:pStyle w:val="Compact"/>
        <w:numPr>
          <w:ilvl w:val="0"/>
          <w:numId w:val="1026"/>
        </w:numPr>
      </w:pPr>
      <w:r>
        <w:t xml:space="preserve">test methods</w:t>
      </w:r>
    </w:p>
    <w:p>
      <w:pPr>
        <w:pStyle w:val="Compact"/>
        <w:numPr>
          <w:ilvl w:val="0"/>
          <w:numId w:val="1026"/>
        </w:numPr>
      </w:pPr>
      <w:r>
        <w:t xml:space="preserve">calibration methods</w:t>
      </w:r>
    </w:p>
    <w:p>
      <w:pPr>
        <w:pStyle w:val="Compact"/>
        <w:numPr>
          <w:ilvl w:val="0"/>
          <w:numId w:val="1026"/>
        </w:numPr>
      </w:pPr>
      <w:r>
        <w:t xml:space="preserve">authorized personnel</w:t>
      </w:r>
    </w:p>
    <w:p>
      <w:pPr>
        <w:pStyle w:val="Compact"/>
        <w:numPr>
          <w:ilvl w:val="0"/>
          <w:numId w:val="1026"/>
        </w:numPr>
      </w:pPr>
      <w:r>
        <w:t xml:space="preserve">equipment</w:t>
      </w:r>
    </w:p>
    <w:p>
      <w:pPr>
        <w:pStyle w:val="Compact"/>
        <w:numPr>
          <w:ilvl w:val="0"/>
          <w:numId w:val="1026"/>
        </w:numPr>
      </w:pPr>
      <w:r>
        <w:t xml:space="preserve">reference standards</w:t>
      </w:r>
    </w:p>
    <w:p>
      <w:pPr>
        <w:pStyle w:val="Compact"/>
        <w:numPr>
          <w:ilvl w:val="0"/>
          <w:numId w:val="1026"/>
        </w:numPr>
      </w:pPr>
      <w:r>
        <w:t xml:space="preserve">environmental conditions</w:t>
      </w:r>
    </w:p>
    <w:p>
      <w:pPr>
        <w:pStyle w:val="Compact"/>
        <w:numPr>
          <w:ilvl w:val="0"/>
          <w:numId w:val="1026"/>
        </w:numPr>
      </w:pPr>
      <w:r>
        <w:t xml:space="preserve">sample receipt and chain of custody</w:t>
      </w:r>
    </w:p>
    <w:p>
      <w:pPr>
        <w:pStyle w:val="Compact"/>
        <w:numPr>
          <w:ilvl w:val="0"/>
          <w:numId w:val="1026"/>
        </w:numPr>
      </w:pPr>
      <w:r>
        <w:t xml:space="preserve">method validation / verification</w:t>
      </w:r>
    </w:p>
    <w:p>
      <w:pPr>
        <w:pStyle w:val="Compact"/>
        <w:numPr>
          <w:ilvl w:val="0"/>
          <w:numId w:val="1026"/>
        </w:numPr>
      </w:pPr>
      <w:r>
        <w:t xml:space="preserve">uncertainty records</w:t>
      </w:r>
    </w:p>
    <w:p>
      <w:pPr>
        <w:pStyle w:val="Compact"/>
        <w:numPr>
          <w:ilvl w:val="0"/>
          <w:numId w:val="1026"/>
        </w:numPr>
      </w:pPr>
      <w:r>
        <w:t xml:space="preserve">proficiency testing</w:t>
      </w:r>
    </w:p>
    <w:p>
      <w:pPr>
        <w:pStyle w:val="Compact"/>
        <w:numPr>
          <w:ilvl w:val="0"/>
          <w:numId w:val="1026"/>
        </w:numPr>
      </w:pPr>
      <w:r>
        <w:t xml:space="preserve">result review and approval</w:t>
      </w:r>
    </w:p>
    <w:p>
      <w:pPr>
        <w:pStyle w:val="Compact"/>
        <w:numPr>
          <w:ilvl w:val="0"/>
          <w:numId w:val="1026"/>
        </w:numPr>
      </w:pPr>
      <w:r>
        <w:t xml:space="preserve">reports / certificates</w:t>
      </w:r>
    </w:p>
    <w:bookmarkEnd w:id="52"/>
    <w:bookmarkStart w:id="53" w:name="parameters-to-add-6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27"/>
        </w:numPr>
      </w:pPr>
      <w:r>
        <w:t xml:space="preserve">test / calibration type</w:t>
      </w:r>
    </w:p>
    <w:p>
      <w:pPr>
        <w:pStyle w:val="Compact"/>
        <w:numPr>
          <w:ilvl w:val="0"/>
          <w:numId w:val="1027"/>
        </w:numPr>
      </w:pPr>
      <w:r>
        <w:t xml:space="preserve">method code</w:t>
      </w:r>
    </w:p>
    <w:p>
      <w:pPr>
        <w:pStyle w:val="Compact"/>
        <w:numPr>
          <w:ilvl w:val="0"/>
          <w:numId w:val="1027"/>
        </w:numPr>
      </w:pPr>
      <w:r>
        <w:t xml:space="preserve">method version</w:t>
      </w:r>
    </w:p>
    <w:p>
      <w:pPr>
        <w:pStyle w:val="Compact"/>
        <w:numPr>
          <w:ilvl w:val="0"/>
          <w:numId w:val="1027"/>
        </w:numPr>
      </w:pPr>
      <w:r>
        <w:t xml:space="preserve">accreditation scope flag</w:t>
      </w:r>
    </w:p>
    <w:p>
      <w:pPr>
        <w:pStyle w:val="Compact"/>
        <w:numPr>
          <w:ilvl w:val="0"/>
          <w:numId w:val="1027"/>
        </w:numPr>
      </w:pPr>
      <w:r>
        <w:t xml:space="preserve">analyst / authorized signatory</w:t>
      </w:r>
    </w:p>
    <w:p>
      <w:pPr>
        <w:pStyle w:val="Compact"/>
        <w:numPr>
          <w:ilvl w:val="0"/>
          <w:numId w:val="1027"/>
        </w:numPr>
      </w:pPr>
      <w:r>
        <w:t xml:space="preserve">sample ID</w:t>
      </w:r>
    </w:p>
    <w:p>
      <w:pPr>
        <w:pStyle w:val="Compact"/>
        <w:numPr>
          <w:ilvl w:val="0"/>
          <w:numId w:val="1027"/>
        </w:numPr>
      </w:pPr>
      <w:r>
        <w:t xml:space="preserve">sample source</w:t>
      </w:r>
    </w:p>
    <w:p>
      <w:pPr>
        <w:pStyle w:val="Compact"/>
        <w:numPr>
          <w:ilvl w:val="0"/>
          <w:numId w:val="1027"/>
        </w:numPr>
      </w:pPr>
      <w:r>
        <w:t xml:space="preserve">receipt date / time</w:t>
      </w:r>
    </w:p>
    <w:p>
      <w:pPr>
        <w:pStyle w:val="Compact"/>
        <w:numPr>
          <w:ilvl w:val="0"/>
          <w:numId w:val="1027"/>
        </w:numPr>
      </w:pPr>
      <w:r>
        <w:t xml:space="preserve">chain-of-custody record</w:t>
      </w:r>
    </w:p>
    <w:p>
      <w:pPr>
        <w:pStyle w:val="Compact"/>
        <w:numPr>
          <w:ilvl w:val="0"/>
          <w:numId w:val="1027"/>
        </w:numPr>
      </w:pPr>
      <w:r>
        <w:t xml:space="preserve">environmental condition limits</w:t>
      </w:r>
    </w:p>
    <w:p>
      <w:pPr>
        <w:pStyle w:val="Compact"/>
        <w:numPr>
          <w:ilvl w:val="0"/>
          <w:numId w:val="1027"/>
        </w:numPr>
      </w:pPr>
      <w:r>
        <w:t xml:space="preserve">equipment used</w:t>
      </w:r>
    </w:p>
    <w:p>
      <w:pPr>
        <w:pStyle w:val="Compact"/>
        <w:numPr>
          <w:ilvl w:val="0"/>
          <w:numId w:val="1027"/>
        </w:numPr>
      </w:pPr>
      <w:r>
        <w:t xml:space="preserve">reference standard used</w:t>
      </w:r>
    </w:p>
    <w:p>
      <w:pPr>
        <w:pStyle w:val="Compact"/>
        <w:numPr>
          <w:ilvl w:val="0"/>
          <w:numId w:val="1027"/>
        </w:numPr>
      </w:pPr>
      <w:r>
        <w:t xml:space="preserve">measurement uncertainty</w:t>
      </w:r>
    </w:p>
    <w:p>
      <w:pPr>
        <w:pStyle w:val="Compact"/>
        <w:numPr>
          <w:ilvl w:val="0"/>
          <w:numId w:val="1027"/>
        </w:numPr>
      </w:pPr>
      <w:r>
        <w:t xml:space="preserve">traceability to standards</w:t>
      </w:r>
    </w:p>
    <w:p>
      <w:pPr>
        <w:pStyle w:val="Compact"/>
        <w:numPr>
          <w:ilvl w:val="0"/>
          <w:numId w:val="1027"/>
        </w:numPr>
      </w:pPr>
      <w:r>
        <w:t xml:space="preserve">QC checks</w:t>
      </w:r>
    </w:p>
    <w:p>
      <w:pPr>
        <w:pStyle w:val="Compact"/>
        <w:numPr>
          <w:ilvl w:val="0"/>
          <w:numId w:val="1027"/>
        </w:numPr>
      </w:pPr>
      <w:r>
        <w:t xml:space="preserve">control sample result</w:t>
      </w:r>
    </w:p>
    <w:p>
      <w:pPr>
        <w:pStyle w:val="Compact"/>
        <w:numPr>
          <w:ilvl w:val="0"/>
          <w:numId w:val="1027"/>
        </w:numPr>
      </w:pPr>
      <w:r>
        <w:t xml:space="preserve">out-of-spec result flag</w:t>
      </w:r>
    </w:p>
    <w:p>
      <w:pPr>
        <w:pStyle w:val="Compact"/>
        <w:numPr>
          <w:ilvl w:val="0"/>
          <w:numId w:val="1027"/>
        </w:numPr>
      </w:pPr>
      <w:r>
        <w:t xml:space="preserve">re-test / repeat flag</w:t>
      </w:r>
    </w:p>
    <w:p>
      <w:pPr>
        <w:pStyle w:val="Compact"/>
        <w:numPr>
          <w:ilvl w:val="0"/>
          <w:numId w:val="1027"/>
        </w:numPr>
      </w:pPr>
      <w:r>
        <w:t xml:space="preserve">result review status</w:t>
      </w:r>
    </w:p>
    <w:p>
      <w:pPr>
        <w:pStyle w:val="Compact"/>
        <w:numPr>
          <w:ilvl w:val="0"/>
          <w:numId w:val="1027"/>
        </w:numPr>
      </w:pPr>
      <w:r>
        <w:t xml:space="preserve">certificate / report number</w:t>
      </w:r>
    </w:p>
    <w:bookmarkEnd w:id="53"/>
    <w:bookmarkStart w:id="54" w:name="main-workflows-6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28"/>
        </w:numPr>
      </w:pPr>
      <w:r>
        <w:t xml:space="preserve">sample receipt -&gt; assignment -&gt; test/calibration -&gt; review -&gt; report</w:t>
      </w:r>
    </w:p>
    <w:p>
      <w:pPr>
        <w:pStyle w:val="Compact"/>
        <w:numPr>
          <w:ilvl w:val="0"/>
          <w:numId w:val="1028"/>
        </w:numPr>
      </w:pPr>
      <w:r>
        <w:t xml:space="preserve">equipment out of tolerance -&gt; impact assessment</w:t>
      </w:r>
    </w:p>
    <w:p>
      <w:pPr>
        <w:pStyle w:val="Compact"/>
        <w:numPr>
          <w:ilvl w:val="0"/>
          <w:numId w:val="1028"/>
        </w:numPr>
      </w:pPr>
      <w:r>
        <w:t xml:space="preserve">method validation / verification approval</w:t>
      </w:r>
    </w:p>
    <w:p>
      <w:pPr>
        <w:pStyle w:val="Compact"/>
        <w:numPr>
          <w:ilvl w:val="0"/>
          <w:numId w:val="1028"/>
        </w:numPr>
      </w:pPr>
      <w:r>
        <w:t xml:space="preserve">proficiency test tracking</w:t>
      </w:r>
    </w:p>
    <w:p>
      <w:pPr>
        <w:pStyle w:val="Compact"/>
        <w:numPr>
          <w:ilvl w:val="0"/>
          <w:numId w:val="1028"/>
        </w:numPr>
      </w:pPr>
      <w:r>
        <w:t xml:space="preserve">nonconforming work handling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gmp-overlay-parameters"/>
    <w:p>
      <w:pPr>
        <w:pStyle w:val="Heading2"/>
      </w:pPr>
      <w:r>
        <w:t xml:space="preserve">9. GMP Overlay Parameters</w:t>
      </w:r>
    </w:p>
    <w:bookmarkStart w:id="56" w:name="core-entities-7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29"/>
        </w:numPr>
      </w:pPr>
      <w:r>
        <w:t xml:space="preserve">batches</w:t>
      </w:r>
    </w:p>
    <w:p>
      <w:pPr>
        <w:pStyle w:val="Compact"/>
        <w:numPr>
          <w:ilvl w:val="0"/>
          <w:numId w:val="1029"/>
        </w:numPr>
      </w:pPr>
      <w:r>
        <w:t xml:space="preserve">batch manufacturing / packing records</w:t>
      </w:r>
    </w:p>
    <w:p>
      <w:pPr>
        <w:pStyle w:val="Compact"/>
        <w:numPr>
          <w:ilvl w:val="0"/>
          <w:numId w:val="1029"/>
        </w:numPr>
      </w:pPr>
      <w:r>
        <w:t xml:space="preserve">equipment status</w:t>
      </w:r>
    </w:p>
    <w:p>
      <w:pPr>
        <w:pStyle w:val="Compact"/>
        <w:numPr>
          <w:ilvl w:val="0"/>
          <w:numId w:val="1029"/>
        </w:numPr>
      </w:pPr>
      <w:r>
        <w:t xml:space="preserve">cleaning / sanitation logs</w:t>
      </w:r>
    </w:p>
    <w:p>
      <w:pPr>
        <w:pStyle w:val="Compact"/>
        <w:numPr>
          <w:ilvl w:val="0"/>
          <w:numId w:val="1029"/>
        </w:numPr>
      </w:pPr>
      <w:r>
        <w:t xml:space="preserve">line clearance</w:t>
      </w:r>
    </w:p>
    <w:p>
      <w:pPr>
        <w:pStyle w:val="Compact"/>
        <w:numPr>
          <w:ilvl w:val="0"/>
          <w:numId w:val="1029"/>
        </w:numPr>
      </w:pPr>
      <w:r>
        <w:t xml:space="preserve">deviations</w:t>
      </w:r>
    </w:p>
    <w:p>
      <w:pPr>
        <w:pStyle w:val="Compact"/>
        <w:numPr>
          <w:ilvl w:val="0"/>
          <w:numId w:val="1029"/>
        </w:numPr>
      </w:pPr>
      <w:r>
        <w:t xml:space="preserve">change controls</w:t>
      </w:r>
    </w:p>
    <w:p>
      <w:pPr>
        <w:pStyle w:val="Compact"/>
        <w:numPr>
          <w:ilvl w:val="0"/>
          <w:numId w:val="1029"/>
        </w:numPr>
      </w:pPr>
      <w:r>
        <w:t xml:space="preserve">validation / qualification</w:t>
      </w:r>
    </w:p>
    <w:p>
      <w:pPr>
        <w:pStyle w:val="Compact"/>
        <w:numPr>
          <w:ilvl w:val="0"/>
          <w:numId w:val="1029"/>
        </w:numPr>
      </w:pPr>
      <w:r>
        <w:t xml:space="preserve">supplier qualification</w:t>
      </w:r>
    </w:p>
    <w:p>
      <w:pPr>
        <w:pStyle w:val="Compact"/>
        <w:numPr>
          <w:ilvl w:val="0"/>
          <w:numId w:val="1029"/>
        </w:numPr>
      </w:pPr>
      <w:r>
        <w:t xml:space="preserve">complaints / recall</w:t>
      </w:r>
    </w:p>
    <w:p>
      <w:pPr>
        <w:pStyle w:val="Compact"/>
        <w:numPr>
          <w:ilvl w:val="0"/>
          <w:numId w:val="1029"/>
        </w:numPr>
      </w:pPr>
      <w:r>
        <w:t xml:space="preserve">training</w:t>
      </w:r>
    </w:p>
    <w:p>
      <w:pPr>
        <w:pStyle w:val="Compact"/>
        <w:numPr>
          <w:ilvl w:val="0"/>
          <w:numId w:val="1029"/>
        </w:numPr>
      </w:pPr>
      <w:r>
        <w:t xml:space="preserve">document control</w:t>
      </w:r>
    </w:p>
    <w:bookmarkEnd w:id="56"/>
    <w:bookmarkStart w:id="57" w:name="parameters-to-add-7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30"/>
        </w:numPr>
      </w:pPr>
      <w:r>
        <w:t xml:space="preserve">batch number</w:t>
      </w:r>
    </w:p>
    <w:p>
      <w:pPr>
        <w:pStyle w:val="Compact"/>
        <w:numPr>
          <w:ilvl w:val="0"/>
          <w:numId w:val="1030"/>
        </w:numPr>
      </w:pPr>
      <w:r>
        <w:t xml:space="preserve">product / strength / pack</w:t>
      </w:r>
    </w:p>
    <w:p>
      <w:pPr>
        <w:pStyle w:val="Compact"/>
        <w:numPr>
          <w:ilvl w:val="0"/>
          <w:numId w:val="1030"/>
        </w:numPr>
      </w:pPr>
      <w:r>
        <w:t xml:space="preserve">manufacturing stage</w:t>
      </w:r>
    </w:p>
    <w:p>
      <w:pPr>
        <w:pStyle w:val="Compact"/>
        <w:numPr>
          <w:ilvl w:val="0"/>
          <w:numId w:val="1030"/>
        </w:numPr>
      </w:pPr>
      <w:r>
        <w:t xml:space="preserve">equipment status</w:t>
      </w:r>
    </w:p>
    <w:p>
      <w:pPr>
        <w:pStyle w:val="Compact"/>
        <w:numPr>
          <w:ilvl w:val="0"/>
          <w:numId w:val="1030"/>
        </w:numPr>
      </w:pPr>
      <w:r>
        <w:t xml:space="preserve">cleaning status</w:t>
      </w:r>
    </w:p>
    <w:p>
      <w:pPr>
        <w:pStyle w:val="Compact"/>
        <w:numPr>
          <w:ilvl w:val="0"/>
          <w:numId w:val="1030"/>
        </w:numPr>
      </w:pPr>
      <w:r>
        <w:t xml:space="preserve">line clearance status</w:t>
      </w:r>
    </w:p>
    <w:p>
      <w:pPr>
        <w:pStyle w:val="Compact"/>
        <w:numPr>
          <w:ilvl w:val="0"/>
          <w:numId w:val="1030"/>
        </w:numPr>
      </w:pPr>
      <w:r>
        <w:t xml:space="preserve">operator / checker</w:t>
      </w:r>
    </w:p>
    <w:p>
      <w:pPr>
        <w:pStyle w:val="Compact"/>
        <w:numPr>
          <w:ilvl w:val="0"/>
          <w:numId w:val="1030"/>
        </w:numPr>
      </w:pPr>
      <w:r>
        <w:t xml:space="preserve">IPC result</w:t>
      </w:r>
    </w:p>
    <w:p>
      <w:pPr>
        <w:pStyle w:val="Compact"/>
        <w:numPr>
          <w:ilvl w:val="0"/>
          <w:numId w:val="1030"/>
        </w:numPr>
      </w:pPr>
      <w:r>
        <w:t xml:space="preserve">deviation category</w:t>
      </w:r>
    </w:p>
    <w:p>
      <w:pPr>
        <w:pStyle w:val="Compact"/>
        <w:numPr>
          <w:ilvl w:val="0"/>
          <w:numId w:val="1030"/>
        </w:numPr>
      </w:pPr>
      <w:r>
        <w:t xml:space="preserve">critical / major / minor classification</w:t>
      </w:r>
    </w:p>
    <w:p>
      <w:pPr>
        <w:pStyle w:val="Compact"/>
        <w:numPr>
          <w:ilvl w:val="0"/>
          <w:numId w:val="1030"/>
        </w:numPr>
      </w:pPr>
      <w:r>
        <w:t xml:space="preserve">change control category</w:t>
      </w:r>
    </w:p>
    <w:p>
      <w:pPr>
        <w:pStyle w:val="Compact"/>
        <w:numPr>
          <w:ilvl w:val="0"/>
          <w:numId w:val="1030"/>
        </w:numPr>
      </w:pPr>
      <w:r>
        <w:t xml:space="preserve">validation type</w:t>
      </w:r>
    </w:p>
    <w:p>
      <w:pPr>
        <w:pStyle w:val="Compact"/>
        <w:numPr>
          <w:ilvl w:val="0"/>
          <w:numId w:val="1030"/>
        </w:numPr>
      </w:pPr>
      <w:r>
        <w:t xml:space="preserve">IQ / OQ / PQ flag</w:t>
      </w:r>
    </w:p>
    <w:p>
      <w:pPr>
        <w:pStyle w:val="Compact"/>
        <w:numPr>
          <w:ilvl w:val="0"/>
          <w:numId w:val="1030"/>
        </w:numPr>
      </w:pPr>
      <w:r>
        <w:t xml:space="preserve">qualification status</w:t>
      </w:r>
    </w:p>
    <w:p>
      <w:pPr>
        <w:pStyle w:val="Compact"/>
        <w:numPr>
          <w:ilvl w:val="0"/>
          <w:numId w:val="1030"/>
        </w:numPr>
      </w:pPr>
      <w:r>
        <w:t xml:space="preserve">hold / release status</w:t>
      </w:r>
    </w:p>
    <w:p>
      <w:pPr>
        <w:pStyle w:val="Compact"/>
        <w:numPr>
          <w:ilvl w:val="0"/>
          <w:numId w:val="1030"/>
        </w:numPr>
      </w:pPr>
      <w:r>
        <w:t xml:space="preserve">reconciliation data</w:t>
      </w:r>
    </w:p>
    <w:p>
      <w:pPr>
        <w:pStyle w:val="Compact"/>
        <w:numPr>
          <w:ilvl w:val="0"/>
          <w:numId w:val="1030"/>
        </w:numPr>
      </w:pPr>
      <w:r>
        <w:t xml:space="preserve">rework / reprocess flag</w:t>
      </w:r>
    </w:p>
    <w:p>
      <w:pPr>
        <w:pStyle w:val="Compact"/>
        <w:numPr>
          <w:ilvl w:val="0"/>
          <w:numId w:val="1030"/>
        </w:numPr>
      </w:pPr>
      <w:r>
        <w:t xml:space="preserve">complaint / recall linkage</w:t>
      </w:r>
    </w:p>
    <w:p>
      <w:pPr>
        <w:pStyle w:val="Compact"/>
        <w:numPr>
          <w:ilvl w:val="0"/>
          <w:numId w:val="1030"/>
        </w:numPr>
      </w:pPr>
      <w:r>
        <w:t xml:space="preserve">data integrity review flag</w:t>
      </w:r>
    </w:p>
    <w:bookmarkEnd w:id="57"/>
    <w:bookmarkStart w:id="58" w:name="main-workflows-7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31"/>
        </w:numPr>
      </w:pPr>
      <w:r>
        <w:t xml:space="preserve">batch record execution / review</w:t>
      </w:r>
    </w:p>
    <w:p>
      <w:pPr>
        <w:pStyle w:val="Compact"/>
        <w:numPr>
          <w:ilvl w:val="0"/>
          <w:numId w:val="1031"/>
        </w:numPr>
      </w:pPr>
      <w:r>
        <w:t xml:space="preserve">deviation -&gt; investigation -&gt; CAPA</w:t>
      </w:r>
    </w:p>
    <w:p>
      <w:pPr>
        <w:pStyle w:val="Compact"/>
        <w:numPr>
          <w:ilvl w:val="0"/>
          <w:numId w:val="1031"/>
        </w:numPr>
      </w:pPr>
      <w:r>
        <w:t xml:space="preserve">change control -&gt; impact assessment -&gt; approval</w:t>
      </w:r>
    </w:p>
    <w:p>
      <w:pPr>
        <w:pStyle w:val="Compact"/>
        <w:numPr>
          <w:ilvl w:val="0"/>
          <w:numId w:val="1031"/>
        </w:numPr>
      </w:pPr>
      <w:r>
        <w:t xml:space="preserve">equipment qualification / requalification</w:t>
      </w:r>
    </w:p>
    <w:p>
      <w:pPr>
        <w:pStyle w:val="Compact"/>
        <w:numPr>
          <w:ilvl w:val="0"/>
          <w:numId w:val="1031"/>
        </w:numPr>
      </w:pPr>
      <w:r>
        <w:t xml:space="preserve">cleaning status verification</w:t>
      </w:r>
    </w:p>
    <w:p>
      <w:pPr>
        <w:pStyle w:val="Compact"/>
        <w:numPr>
          <w:ilvl w:val="0"/>
          <w:numId w:val="1031"/>
        </w:numPr>
      </w:pPr>
      <w:r>
        <w:t xml:space="preserve">recall readiness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fda-21-cfr-part-11-overlay-parameters"/>
    <w:p>
      <w:pPr>
        <w:pStyle w:val="Heading2"/>
      </w:pPr>
      <w:r>
        <w:t xml:space="preserve">10. FDA 21 CFR Part 11 Overlay Parameters</w:t>
      </w:r>
    </w:p>
    <w:bookmarkStart w:id="60" w:name="core-entities-8"/>
    <w:p>
      <w:pPr>
        <w:pStyle w:val="Heading3"/>
      </w:pPr>
      <w:r>
        <w:t xml:space="preserve">Core entities</w:t>
      </w:r>
    </w:p>
    <w:p>
      <w:pPr>
        <w:pStyle w:val="Compact"/>
        <w:numPr>
          <w:ilvl w:val="0"/>
          <w:numId w:val="1032"/>
        </w:numPr>
      </w:pPr>
      <w:r>
        <w:t xml:space="preserve">electronic signatures</w:t>
      </w:r>
    </w:p>
    <w:p>
      <w:pPr>
        <w:pStyle w:val="Compact"/>
        <w:numPr>
          <w:ilvl w:val="0"/>
          <w:numId w:val="1032"/>
        </w:numPr>
      </w:pPr>
      <w:r>
        <w:t xml:space="preserve">signature meanings</w:t>
      </w:r>
    </w:p>
    <w:p>
      <w:pPr>
        <w:pStyle w:val="Compact"/>
        <w:numPr>
          <w:ilvl w:val="0"/>
          <w:numId w:val="1032"/>
        </w:numPr>
      </w:pPr>
      <w:r>
        <w:t xml:space="preserve">secure user identity</w:t>
      </w:r>
    </w:p>
    <w:p>
      <w:pPr>
        <w:pStyle w:val="Compact"/>
        <w:numPr>
          <w:ilvl w:val="0"/>
          <w:numId w:val="1032"/>
        </w:numPr>
      </w:pPr>
      <w:r>
        <w:t xml:space="preserve">audit trails</w:t>
      </w:r>
    </w:p>
    <w:p>
      <w:pPr>
        <w:pStyle w:val="Compact"/>
        <w:numPr>
          <w:ilvl w:val="0"/>
          <w:numId w:val="1032"/>
        </w:numPr>
      </w:pPr>
      <w:r>
        <w:t xml:space="preserve">record immutability</w:t>
      </w:r>
    </w:p>
    <w:p>
      <w:pPr>
        <w:pStyle w:val="Compact"/>
        <w:numPr>
          <w:ilvl w:val="0"/>
          <w:numId w:val="1032"/>
        </w:numPr>
      </w:pPr>
      <w:r>
        <w:t xml:space="preserve">access controls</w:t>
      </w:r>
    </w:p>
    <w:p>
      <w:pPr>
        <w:pStyle w:val="Compact"/>
        <w:numPr>
          <w:ilvl w:val="0"/>
          <w:numId w:val="1032"/>
        </w:numPr>
      </w:pPr>
      <w:r>
        <w:t xml:space="preserve">password policies</w:t>
      </w:r>
    </w:p>
    <w:p>
      <w:pPr>
        <w:pStyle w:val="Compact"/>
        <w:numPr>
          <w:ilvl w:val="0"/>
          <w:numId w:val="1032"/>
        </w:numPr>
      </w:pPr>
      <w:r>
        <w:t xml:space="preserve">time-stamped record events</w:t>
      </w:r>
    </w:p>
    <w:p>
      <w:pPr>
        <w:pStyle w:val="Compact"/>
        <w:numPr>
          <w:ilvl w:val="0"/>
          <w:numId w:val="1032"/>
        </w:numPr>
      </w:pPr>
      <w:r>
        <w:t xml:space="preserve">retention / export logs</w:t>
      </w:r>
    </w:p>
    <w:bookmarkEnd w:id="60"/>
    <w:bookmarkStart w:id="61" w:name="parameters-to-add-8"/>
    <w:p>
      <w:pPr>
        <w:pStyle w:val="Heading3"/>
      </w:pPr>
      <w:r>
        <w:t xml:space="preserve">Parameters to add</w:t>
      </w:r>
    </w:p>
    <w:p>
      <w:pPr>
        <w:pStyle w:val="Compact"/>
        <w:numPr>
          <w:ilvl w:val="0"/>
          <w:numId w:val="1033"/>
        </w:numPr>
      </w:pPr>
      <w:r>
        <w:t xml:space="preserve">signature type</w:t>
      </w:r>
    </w:p>
    <w:p>
      <w:pPr>
        <w:pStyle w:val="Compact"/>
        <w:numPr>
          <w:ilvl w:val="0"/>
          <w:numId w:val="1033"/>
        </w:numPr>
      </w:pPr>
      <w:r>
        <w:t xml:space="preserve">signature meaning (reviewed / approved / authorized / performed)</w:t>
      </w:r>
    </w:p>
    <w:p>
      <w:pPr>
        <w:pStyle w:val="Compact"/>
        <w:numPr>
          <w:ilvl w:val="0"/>
          <w:numId w:val="1033"/>
        </w:numPr>
      </w:pPr>
      <w:r>
        <w:t xml:space="preserve">signer identity</w:t>
      </w:r>
    </w:p>
    <w:p>
      <w:pPr>
        <w:pStyle w:val="Compact"/>
        <w:numPr>
          <w:ilvl w:val="0"/>
          <w:numId w:val="1033"/>
        </w:numPr>
      </w:pPr>
      <w:r>
        <w:t xml:space="preserve">dual confirmation requirement</w:t>
      </w:r>
    </w:p>
    <w:p>
      <w:pPr>
        <w:pStyle w:val="Compact"/>
        <w:numPr>
          <w:ilvl w:val="0"/>
          <w:numId w:val="1033"/>
        </w:numPr>
      </w:pPr>
      <w:r>
        <w:t xml:space="preserve">password policy</w:t>
      </w:r>
    </w:p>
    <w:p>
      <w:pPr>
        <w:pStyle w:val="Compact"/>
        <w:numPr>
          <w:ilvl w:val="0"/>
          <w:numId w:val="1033"/>
        </w:numPr>
      </w:pPr>
      <w:r>
        <w:t xml:space="preserve">session timeout</w:t>
      </w:r>
    </w:p>
    <w:p>
      <w:pPr>
        <w:pStyle w:val="Compact"/>
        <w:numPr>
          <w:ilvl w:val="0"/>
          <w:numId w:val="1033"/>
        </w:numPr>
      </w:pPr>
      <w:r>
        <w:t xml:space="preserve">failed login tracking</w:t>
      </w:r>
    </w:p>
    <w:p>
      <w:pPr>
        <w:pStyle w:val="Compact"/>
        <w:numPr>
          <w:ilvl w:val="0"/>
          <w:numId w:val="1033"/>
        </w:numPr>
      </w:pPr>
      <w:r>
        <w:t xml:space="preserve">audit trail event type</w:t>
      </w:r>
    </w:p>
    <w:p>
      <w:pPr>
        <w:pStyle w:val="Compact"/>
        <w:numPr>
          <w:ilvl w:val="0"/>
          <w:numId w:val="1033"/>
        </w:numPr>
      </w:pPr>
      <w:r>
        <w:t xml:space="preserve">old value / new value</w:t>
      </w:r>
    </w:p>
    <w:p>
      <w:pPr>
        <w:pStyle w:val="Compact"/>
        <w:numPr>
          <w:ilvl w:val="0"/>
          <w:numId w:val="1033"/>
        </w:numPr>
      </w:pPr>
      <w:r>
        <w:t xml:space="preserve">record hash / integrity check if implemented</w:t>
      </w:r>
    </w:p>
    <w:p>
      <w:pPr>
        <w:pStyle w:val="Compact"/>
        <w:numPr>
          <w:ilvl w:val="0"/>
          <w:numId w:val="1033"/>
        </w:numPr>
      </w:pPr>
      <w:r>
        <w:t xml:space="preserve">record version</w:t>
      </w:r>
    </w:p>
    <w:p>
      <w:pPr>
        <w:pStyle w:val="Compact"/>
        <w:numPr>
          <w:ilvl w:val="0"/>
          <w:numId w:val="1033"/>
        </w:numPr>
      </w:pPr>
      <w:r>
        <w:t xml:space="preserve">reason for change</w:t>
      </w:r>
    </w:p>
    <w:p>
      <w:pPr>
        <w:pStyle w:val="Compact"/>
        <w:numPr>
          <w:ilvl w:val="0"/>
          <w:numId w:val="1033"/>
        </w:numPr>
      </w:pPr>
      <w:r>
        <w:t xml:space="preserve">timestamp source</w:t>
      </w:r>
    </w:p>
    <w:p>
      <w:pPr>
        <w:pStyle w:val="Compact"/>
        <w:numPr>
          <w:ilvl w:val="0"/>
          <w:numId w:val="1033"/>
        </w:numPr>
      </w:pPr>
      <w:r>
        <w:t xml:space="preserve">timezone / server time policy</w:t>
      </w:r>
    </w:p>
    <w:p>
      <w:pPr>
        <w:pStyle w:val="Compact"/>
        <w:numPr>
          <w:ilvl w:val="0"/>
          <w:numId w:val="1033"/>
        </w:numPr>
      </w:pPr>
      <w:r>
        <w:t xml:space="preserve">export / print log</w:t>
      </w:r>
    </w:p>
    <w:p>
      <w:pPr>
        <w:pStyle w:val="Compact"/>
        <w:numPr>
          <w:ilvl w:val="0"/>
          <w:numId w:val="1033"/>
        </w:numPr>
      </w:pPr>
      <w:r>
        <w:t xml:space="preserve">read / write permission model</w:t>
      </w:r>
    </w:p>
    <w:p>
      <w:pPr>
        <w:pStyle w:val="Compact"/>
        <w:numPr>
          <w:ilvl w:val="0"/>
          <w:numId w:val="1033"/>
        </w:numPr>
      </w:pPr>
      <w:r>
        <w:t xml:space="preserve">retention period</w:t>
      </w:r>
    </w:p>
    <w:p>
      <w:pPr>
        <w:pStyle w:val="Compact"/>
        <w:numPr>
          <w:ilvl w:val="0"/>
          <w:numId w:val="1033"/>
        </w:numPr>
      </w:pPr>
      <w:r>
        <w:t xml:space="preserve">archive policy</w:t>
      </w:r>
    </w:p>
    <w:bookmarkEnd w:id="61"/>
    <w:bookmarkStart w:id="62" w:name="main-workflows-8"/>
    <w:p>
      <w:pPr>
        <w:pStyle w:val="Heading3"/>
      </w:pPr>
      <w:r>
        <w:t xml:space="preserve">Main workflows</w:t>
      </w:r>
    </w:p>
    <w:p>
      <w:pPr>
        <w:pStyle w:val="Compact"/>
        <w:numPr>
          <w:ilvl w:val="0"/>
          <w:numId w:val="1034"/>
        </w:numPr>
      </w:pPr>
      <w:r>
        <w:t xml:space="preserve">approval with e-signature</w:t>
      </w:r>
    </w:p>
    <w:p>
      <w:pPr>
        <w:pStyle w:val="Compact"/>
        <w:numPr>
          <w:ilvl w:val="0"/>
          <w:numId w:val="1034"/>
        </w:numPr>
      </w:pPr>
      <w:r>
        <w:t xml:space="preserve">record revision with immutable audit trail</w:t>
      </w:r>
    </w:p>
    <w:p>
      <w:pPr>
        <w:pStyle w:val="Compact"/>
        <w:numPr>
          <w:ilvl w:val="0"/>
          <w:numId w:val="1034"/>
        </w:numPr>
      </w:pPr>
      <w:r>
        <w:t xml:space="preserve">access violation / failed login review</w:t>
      </w:r>
    </w:p>
    <w:p>
      <w:pPr>
        <w:pStyle w:val="Compact"/>
        <w:numPr>
          <w:ilvl w:val="0"/>
          <w:numId w:val="1034"/>
        </w:numPr>
      </w:pPr>
      <w:r>
        <w:t xml:space="preserve">retention / archive / retrieval logs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how-the-estimate-should-be-structured"/>
    <w:p>
      <w:pPr>
        <w:pStyle w:val="Heading2"/>
      </w:pPr>
      <w:r>
        <w:t xml:space="preserve">11. How the estimate should be structured</w:t>
      </w:r>
    </w:p>
    <w:p>
      <w:pPr>
        <w:pStyle w:val="FirstParagraph"/>
      </w:pPr>
      <w:r>
        <w:t xml:space="preserve">The estimate should not be</w:t>
      </w:r>
      <w:r>
        <w:t xml:space="preserve"> </w:t>
      </w:r>
      <w:r>
        <w:t xml:space="preserve">“one price per ISO”</w:t>
      </w:r>
      <w:r>
        <w:t xml:space="preserve"> </w:t>
      </w:r>
      <w:r>
        <w:t xml:space="preserve">only. It should be split into:</w:t>
      </w:r>
    </w:p>
    <w:bookmarkStart w:id="64" w:name="a.-common-reusable-core"/>
    <w:p>
      <w:pPr>
        <w:pStyle w:val="Heading3"/>
      </w:pPr>
      <w:r>
        <w:t xml:space="preserve">A. Common reusable core</w:t>
      </w:r>
    </w:p>
    <w:p>
      <w:pPr>
        <w:pStyle w:val="Compact"/>
        <w:numPr>
          <w:ilvl w:val="0"/>
          <w:numId w:val="1035"/>
        </w:numPr>
      </w:pPr>
      <w:r>
        <w:t xml:space="preserve">document control</w:t>
      </w:r>
    </w:p>
    <w:p>
      <w:pPr>
        <w:pStyle w:val="Compact"/>
        <w:numPr>
          <w:ilvl w:val="0"/>
          <w:numId w:val="1035"/>
        </w:numPr>
      </w:pPr>
      <w:r>
        <w:t xml:space="preserve">risk / incident / CAPA core</w:t>
      </w:r>
    </w:p>
    <w:p>
      <w:pPr>
        <w:pStyle w:val="Compact"/>
        <w:numPr>
          <w:ilvl w:val="0"/>
          <w:numId w:val="1035"/>
        </w:numPr>
      </w:pPr>
      <w:r>
        <w:t xml:space="preserve">workflow engine</w:t>
      </w:r>
    </w:p>
    <w:p>
      <w:pPr>
        <w:pStyle w:val="Compact"/>
        <w:numPr>
          <w:ilvl w:val="0"/>
          <w:numId w:val="1035"/>
        </w:numPr>
      </w:pPr>
      <w:r>
        <w:t xml:space="preserve">notifications</w:t>
      </w:r>
    </w:p>
    <w:p>
      <w:pPr>
        <w:pStyle w:val="Compact"/>
        <w:numPr>
          <w:ilvl w:val="0"/>
          <w:numId w:val="1035"/>
        </w:numPr>
      </w:pPr>
      <w:r>
        <w:t xml:space="preserve">form builder</w:t>
      </w:r>
    </w:p>
    <w:p>
      <w:pPr>
        <w:pStyle w:val="Compact"/>
        <w:numPr>
          <w:ilvl w:val="0"/>
          <w:numId w:val="1035"/>
        </w:numPr>
      </w:pPr>
      <w:r>
        <w:t xml:space="preserve">evidence and signatures</w:t>
      </w:r>
    </w:p>
    <w:p>
      <w:pPr>
        <w:pStyle w:val="Compact"/>
        <w:numPr>
          <w:ilvl w:val="0"/>
          <w:numId w:val="1035"/>
        </w:numPr>
      </w:pPr>
      <w:r>
        <w:t xml:space="preserve">reporting foundation</w:t>
      </w:r>
    </w:p>
    <w:p>
      <w:pPr>
        <w:pStyle w:val="Compact"/>
        <w:numPr>
          <w:ilvl w:val="0"/>
          <w:numId w:val="1035"/>
        </w:numPr>
      </w:pPr>
      <w:r>
        <w:t xml:space="preserve">API layer</w:t>
      </w:r>
    </w:p>
    <w:p>
      <w:pPr>
        <w:pStyle w:val="Compact"/>
        <w:numPr>
          <w:ilvl w:val="0"/>
          <w:numId w:val="1035"/>
        </w:numPr>
      </w:pPr>
      <w:r>
        <w:t xml:space="preserve">site / process / clause mapping</w:t>
      </w:r>
    </w:p>
    <w:bookmarkEnd w:id="64"/>
    <w:bookmarkStart w:id="65" w:name="b.-standard-specific-overlays"/>
    <w:p>
      <w:pPr>
        <w:pStyle w:val="Heading3"/>
      </w:pPr>
      <w:r>
        <w:t xml:space="preserve">B. Standard-specific overlays</w:t>
      </w:r>
    </w:p>
    <w:p>
      <w:pPr>
        <w:pStyle w:val="Compact"/>
        <w:numPr>
          <w:ilvl w:val="0"/>
          <w:numId w:val="1036"/>
        </w:numPr>
      </w:pPr>
      <w:r>
        <w:t xml:space="preserve">ISO 9001</w:t>
      </w:r>
    </w:p>
    <w:p>
      <w:pPr>
        <w:pStyle w:val="Compact"/>
        <w:numPr>
          <w:ilvl w:val="0"/>
          <w:numId w:val="1036"/>
        </w:numPr>
      </w:pPr>
      <w:r>
        <w:t xml:space="preserve">ISO 14001</w:t>
      </w:r>
    </w:p>
    <w:p>
      <w:pPr>
        <w:pStyle w:val="Compact"/>
        <w:numPr>
          <w:ilvl w:val="0"/>
          <w:numId w:val="1036"/>
        </w:numPr>
      </w:pPr>
      <w:r>
        <w:t xml:space="preserve">ISO 45001</w:t>
      </w:r>
    </w:p>
    <w:p>
      <w:pPr>
        <w:pStyle w:val="Compact"/>
        <w:numPr>
          <w:ilvl w:val="0"/>
          <w:numId w:val="1036"/>
        </w:numPr>
      </w:pPr>
      <w:r>
        <w:t xml:space="preserve">ISO 22000 / HACCP</w:t>
      </w:r>
    </w:p>
    <w:p>
      <w:pPr>
        <w:pStyle w:val="Compact"/>
        <w:numPr>
          <w:ilvl w:val="0"/>
          <w:numId w:val="1036"/>
        </w:numPr>
      </w:pPr>
      <w:r>
        <w:t xml:space="preserve">ISO 27001</w:t>
      </w:r>
    </w:p>
    <w:p>
      <w:pPr>
        <w:pStyle w:val="Compact"/>
        <w:numPr>
          <w:ilvl w:val="0"/>
          <w:numId w:val="1036"/>
        </w:numPr>
      </w:pPr>
      <w:r>
        <w:t xml:space="preserve">ISO 13485</w:t>
      </w:r>
    </w:p>
    <w:p>
      <w:pPr>
        <w:pStyle w:val="Compact"/>
        <w:numPr>
          <w:ilvl w:val="0"/>
          <w:numId w:val="1036"/>
        </w:numPr>
      </w:pPr>
      <w:r>
        <w:t xml:space="preserve">ISO 17025</w:t>
      </w:r>
    </w:p>
    <w:p>
      <w:pPr>
        <w:pStyle w:val="Compact"/>
        <w:numPr>
          <w:ilvl w:val="0"/>
          <w:numId w:val="1036"/>
        </w:numPr>
      </w:pPr>
      <w:r>
        <w:t xml:space="preserve">GMP / FDA 21 CFR Part 11</w:t>
      </w:r>
    </w:p>
    <w:bookmarkEnd w:id="65"/>
    <w:bookmarkStart w:id="66" w:name="c.-platform-architecture-effort"/>
    <w:p>
      <w:pPr>
        <w:pStyle w:val="Heading3"/>
      </w:pPr>
      <w:r>
        <w:t xml:space="preserve">C. Platform / architecture effort</w:t>
      </w:r>
    </w:p>
    <w:p>
      <w:pPr>
        <w:pStyle w:val="Compact"/>
        <w:numPr>
          <w:ilvl w:val="0"/>
          <w:numId w:val="1037"/>
        </w:numPr>
      </w:pPr>
      <w:r>
        <w:t xml:space="preserve">extend current CakePHP codebase</w:t>
      </w:r>
    </w:p>
    <w:p>
      <w:pPr>
        <w:pStyle w:val="Compact"/>
        <w:numPr>
          <w:ilvl w:val="0"/>
          <w:numId w:val="1037"/>
        </w:numPr>
      </w:pPr>
      <w:r>
        <w:t xml:space="preserve">rebuild as Laravel modules</w:t>
      </w:r>
    </w:p>
    <w:p>
      <w:pPr>
        <w:pStyle w:val="Compact"/>
        <w:numPr>
          <w:ilvl w:val="0"/>
          <w:numId w:val="1037"/>
        </w:numPr>
      </w:pPr>
      <w:r>
        <w:t xml:space="preserve">hybrid integration</w:t>
      </w:r>
    </w:p>
    <w:p>
      <w:pPr>
        <w:pStyle w:val="Compact"/>
        <w:numPr>
          <w:ilvl w:val="0"/>
          <w:numId w:val="1037"/>
        </w:numPr>
      </w:pPr>
      <w:r>
        <w:t xml:space="preserve">data migration</w:t>
      </w:r>
    </w:p>
    <w:p>
      <w:pPr>
        <w:pStyle w:val="Compact"/>
        <w:numPr>
          <w:ilvl w:val="0"/>
          <w:numId w:val="1037"/>
        </w:numPr>
      </w:pPr>
      <w:r>
        <w:t xml:space="preserve">authentication / permissions</w:t>
      </w:r>
    </w:p>
    <w:p>
      <w:pPr>
        <w:pStyle w:val="Compact"/>
        <w:numPr>
          <w:ilvl w:val="0"/>
          <w:numId w:val="1037"/>
        </w:numPr>
      </w:pPr>
      <w:r>
        <w:t xml:space="preserve">DB redesign</w:t>
      </w:r>
    </w:p>
    <w:p>
      <w:pPr>
        <w:pStyle w:val="Compact"/>
        <w:numPr>
          <w:ilvl w:val="0"/>
          <w:numId w:val="1037"/>
        </w:numPr>
      </w:pPr>
      <w:r>
        <w:t xml:space="preserve">technical debt / refactoring effort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key-clarification-for-the-developer"/>
    <w:p>
      <w:pPr>
        <w:pStyle w:val="Heading2"/>
      </w:pPr>
      <w:r>
        <w:t xml:space="preserve">12. Key clarification for the developer</w:t>
      </w:r>
    </w:p>
    <w:p>
      <w:pPr>
        <w:pStyle w:val="FirstParagraph"/>
      </w:pPr>
      <w:r>
        <w:t xml:space="preserve">The currently installed FlinkISO should first be analyzed as a legacy system with partially existing QMS functionality.</w:t>
      </w:r>
    </w:p>
    <w:p>
      <w:pPr>
        <w:pStyle w:val="BodyText"/>
      </w:pPr>
      <w:r>
        <w:t xml:space="preserve">Therefore, the developer must explicitly state for each requested module:</w:t>
      </w:r>
    </w:p>
    <w:p>
      <w:pPr>
        <w:pStyle w:val="Compact"/>
        <w:numPr>
          <w:ilvl w:val="0"/>
          <w:numId w:val="1038"/>
        </w:numPr>
      </w:pPr>
      <w:r>
        <w:t xml:space="preserve">build from scratch,</w:t>
      </w:r>
    </w:p>
    <w:p>
      <w:pPr>
        <w:pStyle w:val="Compact"/>
        <w:numPr>
          <w:ilvl w:val="0"/>
          <w:numId w:val="1038"/>
        </w:numPr>
      </w:pPr>
      <w:r>
        <w:t xml:space="preserve">extend existing functionality,</w:t>
      </w:r>
    </w:p>
    <w:p>
      <w:pPr>
        <w:pStyle w:val="Compact"/>
        <w:numPr>
          <w:ilvl w:val="0"/>
          <w:numId w:val="1038"/>
        </w:numPr>
      </w:pPr>
      <w:r>
        <w:t xml:space="preserve">refactor existing functionality,</w:t>
      </w:r>
    </w:p>
    <w:p>
      <w:pPr>
        <w:pStyle w:val="Compact"/>
        <w:numPr>
          <w:ilvl w:val="0"/>
          <w:numId w:val="1038"/>
        </w:numPr>
      </w:pPr>
      <w:r>
        <w:t xml:space="preserve">or move the module into a new service / architecture.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2026-07-05T13:51:35Z</dcterms:created>
  <dcterms:modified xsi:type="dcterms:W3CDTF">2026-07-05T13:51:35Z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