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E2B30"/>
          <w:spacing w:val="40"/>
          <w:sz w:val="17"/>
          <w:szCs w:val="17"/>
        </w:rPr>
        <w:t xml:space="preserve">PROJECT BRIEF</w:t>
      </w:r>
    </w:p>
    <w:p>
      <w:pPr>
        <w:spacing w:after="60"/>
      </w:pPr>
      <w:r>
        <w:rPr>
          <w:rFonts w:ascii="Cambria" w:cs="Cambria" w:eastAsia="Cambria" w:hAnsi="Cambria"/>
          <w:b/>
          <w:bCs/>
          <w:color w:val="15181D"/>
          <w:sz w:val="44"/>
          <w:szCs w:val="44"/>
        </w:rPr>
        <w:t xml:space="preserve">SkillSight</w:t>
      </w:r>
    </w:p>
    <w:p>
      <w:pPr>
        <w:spacing w:after="200" w:line="300"/>
      </w:pPr>
      <w:r>
        <w:rPr>
          <w:rFonts w:ascii="Calibri" w:cs="Calibri" w:eastAsia="Calibri" w:hAnsi="Calibri"/>
          <w:color w:val="5C636D"/>
          <w:sz w:val="23"/>
          <w:szCs w:val="23"/>
        </w:rPr>
        <w:t xml:space="preserve">Shows what skills Schwan's employees have, where skills are missing, and where a critical skill is known by too few people.</w:t>
      </w:r>
    </w:p>
    <w:p>
      <w:pPr>
        <w:pBdr>
          <w:bottom w:val="single" w:color="D8DBE0" w:sz="6" w:space="8"/>
        </w:pBdr>
        <w:spacing w:after="240" w:line="300"/>
      </w:pPr>
      <w:r>
        <w:rPr>
          <w:rFonts w:ascii="Calibri" w:cs="Calibri" w:eastAsia="Calibri" w:hAnsi="Calibri"/>
          <w:color w:val="5C636D"/>
          <w:sz w:val="18"/>
          <w:szCs w:val="18"/>
        </w:rPr>
        <w:t xml:space="preserve">Southwest MN Hacks 2026  |  Schwan's Prompt 01: Talent Readiness and Skills Intelligence Platform  |  Ajay Angdembe, solo</w:t>
      </w:r>
    </w:p>
    <w:p>
      <w:pPr>
        <w:pStyle w:val="Heading1"/>
        <w:spacing w:after="140" w:before="320"/>
      </w:pPr>
      <w:r>
        <w:rPr>
          <w:rFonts w:ascii="Cambria" w:cs="Cambria" w:eastAsia="Cambria" w:hAnsi="Cambria"/>
          <w:b/>
          <w:bCs/>
          <w:color w:val="15181D"/>
          <w:sz w:val="28"/>
          <w:szCs w:val="28"/>
        </w:rPr>
        <w:t xml:space="preserve">The problem</w:t>
      </w:r>
    </w:p>
    <w:p>
      <w:pPr>
        <w:spacing w:after="140" w:line="300"/>
      </w:pPr>
      <w:r>
        <w:rPr>
          <w:rFonts w:ascii="Calibri" w:cs="Calibri" w:eastAsia="Calibri" w:hAnsi="Calibri"/>
          <w:color w:val="15181D"/>
          <w:sz w:val="21"/>
          <w:szCs w:val="21"/>
        </w:rPr>
        <w:t xml:space="preserve">Schwan's runs more than a dozen US facilities across 4 job groups: Manufacturing and Logistics, Retail Sales and Distribution, Foodservice Sales, and Corporate. Skills information lives in different systems, spreadsheets, and people's heads.</w:t>
      </w:r>
    </w:p>
    <w:p>
      <w:pPr>
        <w:spacing w:after="140" w:line="300"/>
      </w:pPr>
      <w:r>
        <w:rPr>
          <w:rFonts w:ascii="Calibri" w:cs="Calibri" w:eastAsia="Calibri" w:hAnsi="Calibri"/>
          <w:color w:val="15181D"/>
          <w:sz w:val="21"/>
          <w:szCs w:val="21"/>
        </w:rPr>
        <w:t xml:space="preserve">So a simple question has no simple answer: if the person who knows the ammonia refrigeration system leaves, who else can do that work? Today, finding out takes phone calls to three plants. It should take one click.</w:t>
      </w:r>
    </w:p>
    <w:p>
      <w:pPr>
        <w:pStyle w:val="Heading1"/>
        <w:spacing w:after="140" w:before="320"/>
      </w:pPr>
      <w:r>
        <w:rPr>
          <w:rFonts w:ascii="Cambria" w:cs="Cambria" w:eastAsia="Cambria" w:hAnsi="Cambria"/>
          <w:b/>
          <w:bCs/>
          <w:color w:val="15181D"/>
          <w:sz w:val="28"/>
          <w:szCs w:val="28"/>
        </w:rPr>
        <w:t xml:space="preserve">What SkillSight does</w:t>
      </w:r>
    </w:p>
    <w:p>
      <w:pPr>
        <w:spacing w:after="140" w:line="300"/>
      </w:pPr>
      <w:r>
        <w:rPr>
          <w:rFonts w:ascii="Calibri" w:cs="Calibri" w:eastAsia="Calibri" w:hAnsi="Calibri"/>
          <w:color w:val="15181D"/>
          <w:sz w:val="21"/>
          <w:szCs w:val="21"/>
        </w:rPr>
        <w:t xml:space="preserve">It puts every tracked skill in one place and answers the five questions in the challenge, one page each, plus a view built for the employee rather than the manager.</w:t>
      </w:r>
    </w:p>
    <w:tbl>
      <w:tblPr>
        <w:tblW w:type="dxa" w:w="9360"/>
        <w:tblBorders>
          <w:top w:val="single" w:color="D8DBE0" w:sz="4"/>
          <w:left w:val="none"/>
          <w:bottom w:val="single" w:color="D8DBE0" w:sz="4"/>
          <w:right w:val="none"/>
          <w:insideH w:val="single" w:color="E6E8EC" w:sz="4"/>
          <w:insideV w:val="none"/>
        </w:tblBorders>
      </w:tblPr>
      <w:tblGrid>
        <w:gridCol w:w="2600"/>
        <w:gridCol w:w="6760"/>
      </w:tblGrid>
      <w:tr>
        <w:tc>
          <w:tcPr>
            <w:tcW w:type="dxa" w:w="2600"/>
            <w:shd w:fill="F2F4F6" w:color="auto" w:val="clear"/>
            <w:tcMar>
              <w:top w:type="dxa" w:w="90"/>
              <w:left w:type="dxa" w:w="130"/>
              <w:bottom w:type="dxa" w:w="90"/>
              <w:right w:type="dxa" w:w="130"/>
            </w:tcMar>
          </w:tcPr>
          <w:p>
            <w:pPr>
              <w:spacing w:after="0" w:line="280"/>
            </w:pPr>
            <w:r>
              <w:rPr>
                <w:rFonts w:ascii="Calibri" w:cs="Calibri" w:eastAsia="Calibri" w:hAnsi="Calibri"/>
                <w:b/>
                <w:bCs/>
                <w:color w:val="5C636D"/>
                <w:sz w:val="20"/>
                <w:szCs w:val="20"/>
              </w:rPr>
              <w:t xml:space="preserve">Page</w:t>
            </w:r>
          </w:p>
        </w:tc>
        <w:tc>
          <w:tcPr>
            <w:tcW w:type="dxa" w:w="6760"/>
            <w:shd w:fill="F2F4F6" w:color="auto" w:val="clear"/>
            <w:tcMar>
              <w:top w:type="dxa" w:w="90"/>
              <w:left w:type="dxa" w:w="130"/>
              <w:bottom w:type="dxa" w:w="90"/>
              <w:right w:type="dxa" w:w="130"/>
            </w:tcMar>
          </w:tcPr>
          <w:p>
            <w:pPr>
              <w:spacing w:after="0" w:line="280"/>
            </w:pPr>
            <w:r>
              <w:rPr>
                <w:rFonts w:ascii="Calibri" w:cs="Calibri" w:eastAsia="Calibri" w:hAnsi="Calibri"/>
                <w:b/>
                <w:bCs/>
                <w:color w:val="5C636D"/>
                <w:sz w:val="20"/>
                <w:szCs w:val="20"/>
              </w:rPr>
              <w:t xml:space="preserve">What it answers</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Overview</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A ranked list of what to fix first, plus where coverage is lowest.</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Skills</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What skills exist across the workforce and how well each is covered.</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Succession risk</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Which skills sit with three people or fewer, where they are, and what it costs if those people leave.</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Future skills</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What the next two years need, and how far short the workforce is now.</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Employee view</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The same data seen by the person: the skills they have, the skills only they have, and their next step.</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Plants and offices</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Every site the data covers.</w:t>
            </w:r>
          </w:p>
        </w:tc>
      </w:tr>
    </w:tbl>
    <w:p>
      <w:pPr>
        <w:spacing w:after="160" w:line="300"/>
      </w:pPr>
      <w:r>
        <w:rPr>
          <w:rFonts w:ascii="Calibri" w:cs="Calibri" w:eastAsia="Calibri" w:hAnsi="Calibri"/>
          <w:color w:val="15181D"/>
          <w:sz w:val="21"/>
          <w:szCs w:val="21"/>
        </w:rPr>
        <w:t xml:space="preserve"/>
      </w:r>
    </w:p>
    <w:p>
      <w:pPr>
        <w:spacing w:after="140" w:line="300"/>
      </w:pPr>
      <w:r>
        <w:rPr>
          <w:rFonts w:ascii="Calibri" w:cs="Calibri" w:eastAsia="Calibri" w:hAnsi="Calibri"/>
          <w:color w:val="15181D"/>
          <w:sz w:val="21"/>
          <w:szCs w:val="21"/>
        </w:rPr>
        <w:t xml:space="preserve">Clicking any row opens that skill. The skill page shows how well it is covered, how many people hold it, why it is a risk, why it will be needed, and the first step to close the gap with two backup options. Marking a development plan as started is saved and is still there after a reload.</w:t>
      </w:r>
    </w:p>
    <w:p>
      <w:pPr>
        <w:pStyle w:val="Heading1"/>
        <w:spacing w:after="140" w:before="320"/>
      </w:pPr>
      <w:r>
        <w:rPr>
          <w:rFonts w:ascii="Cambria" w:cs="Cambria" w:eastAsia="Cambria" w:hAnsi="Cambria"/>
          <w:b/>
          <w:bCs/>
          <w:color w:val="15181D"/>
          <w:sz w:val="28"/>
          <w:szCs w:val="28"/>
        </w:rPr>
        <w:t xml:space="preserve">The part that matters</w:t>
      </w:r>
    </w:p>
    <w:p>
      <w:pPr>
        <w:spacing w:after="140" w:line="300"/>
      </w:pPr>
      <w:r>
        <w:rPr>
          <w:rFonts w:ascii="Calibri" w:cs="Calibri" w:eastAsia="Calibri" w:hAnsi="Calibri"/>
          <w:color w:val="15181D"/>
          <w:sz w:val="21"/>
          <w:szCs w:val="21"/>
        </w:rPr>
        <w:t xml:space="preserve">Most dashboards show numbers and stop. SkillSight ranks them.</w:t>
      </w:r>
    </w:p>
    <w:p>
      <w:pPr>
        <w:spacing w:after="140" w:line="300"/>
      </w:pPr>
      <w:r>
        <w:rPr>
          <w:rFonts w:ascii="Calibri" w:cs="Calibri" w:eastAsia="Calibri" w:hAnsi="Calibri"/>
          <w:color w:val="15181D"/>
          <w:sz w:val="21"/>
          <w:szCs w:val="21"/>
        </w:rPr>
        <w:t xml:space="preserve">The “do this first” list scores every at-risk skill on three things:</w:t>
      </w:r>
    </w:p>
    <w:p>
      <w:pPr>
        <w:pStyle w:val="ListParagraph"/>
        <w:numPr>
          <w:ilvl w:val="0"/>
          <w:numId w:val="2"/>
        </w:numPr>
        <w:spacing w:after="90" w:line="300"/>
      </w:pPr>
      <w:r>
        <w:rPr>
          <w:rFonts w:ascii="Calibri" w:cs="Calibri" w:eastAsia="Calibri" w:hAnsi="Calibri"/>
          <w:color w:val="15181D"/>
          <w:sz w:val="21"/>
          <w:szCs w:val="21"/>
        </w:rPr>
        <w:t xml:space="preserve">How much the business is hurt if the skill is lost.</w:t>
      </w:r>
    </w:p>
    <w:p>
      <w:pPr>
        <w:pStyle w:val="ListParagraph"/>
        <w:numPr>
          <w:ilvl w:val="0"/>
          <w:numId w:val="2"/>
        </w:numPr>
        <w:spacing w:after="90" w:line="300"/>
      </w:pPr>
      <w:r>
        <w:rPr>
          <w:rFonts w:ascii="Calibri" w:cs="Calibri" w:eastAsia="Calibri" w:hAnsi="Calibri"/>
          <w:color w:val="15181D"/>
          <w:sz w:val="21"/>
          <w:szCs w:val="21"/>
        </w:rPr>
        <w:t xml:space="preserve">How few people hold it, from a whole team down to one person.</w:t>
      </w:r>
    </w:p>
    <w:p>
      <w:pPr>
        <w:pStyle w:val="ListParagraph"/>
        <w:numPr>
          <w:ilvl w:val="0"/>
          <w:numId w:val="2"/>
        </w:numPr>
        <w:spacing w:after="90" w:line="300"/>
      </w:pPr>
      <w:r>
        <w:rPr>
          <w:rFonts w:ascii="Calibri" w:cs="Calibri" w:eastAsia="Calibri" w:hAnsi="Calibri"/>
          <w:color w:val="15181D"/>
          <w:sz w:val="21"/>
          <w:szCs w:val="21"/>
        </w:rPr>
        <w:t xml:space="preserve">How big the gap is between coverage today and what is needed.</w:t>
      </w:r>
    </w:p>
    <w:p>
      <w:pPr>
        <w:spacing w:after="160" w:line="300"/>
      </w:pPr>
      <w:r>
        <w:rPr>
          <w:rFonts w:ascii="Calibri" w:cs="Calibri" w:eastAsia="Calibri" w:hAnsi="Calibri"/>
          <w:color w:val="15181D"/>
          <w:sz w:val="21"/>
          <w:szCs w:val="21"/>
        </w:rPr>
        <w:t xml:space="preserve">The result is an order of work a manager can act on, not a puzzle to solve. In the demo data, the top item is frozen dough formulation at the Marshall R&amp;D center, held by one person. The first step is to pair that expert with two mentees.</w:t>
      </w:r>
    </w:p>
    <w:p>
      <w:pPr>
        <w:pStyle w:val="Heading1"/>
        <w:spacing w:after="140" w:before="320"/>
      </w:pPr>
      <w:r>
        <w:rPr>
          <w:rFonts w:ascii="Cambria" w:cs="Cambria" w:eastAsia="Cambria" w:hAnsi="Cambria"/>
          <w:b/>
          <w:bCs/>
          <w:color w:val="15181D"/>
          <w:sz w:val="28"/>
          <w:szCs w:val="28"/>
        </w:rPr>
        <w:t xml:space="preserve">What the demo shows</w:t>
      </w:r>
    </w:p>
    <w:tbl>
      <w:tblPr>
        <w:tblW w:type="dxa" w:w="9360"/>
        <w:tblBorders>
          <w:top w:val="single" w:color="D8DBE0" w:sz="4"/>
          <w:left w:val="none"/>
          <w:bottom w:val="single" w:color="D8DBE0" w:sz="4"/>
          <w:right w:val="none"/>
          <w:insideH w:val="single" w:color="E6E8EC" w:sz="4"/>
          <w:insideV w:val="none"/>
        </w:tblBorders>
      </w:tblPr>
      <w:tblGrid>
        <w:gridCol w:w="2600"/>
        <w:gridCol w:w="6760"/>
      </w:tblGrid>
      <w:tr>
        <w:tc>
          <w:tcPr>
            <w:tcW w:type="dxa" w:w="2600"/>
            <w:shd w:fill="F2F4F6" w:color="auto" w:val="clear"/>
            <w:tcMar>
              <w:top w:type="dxa" w:w="90"/>
              <w:left w:type="dxa" w:w="130"/>
              <w:bottom w:type="dxa" w:w="90"/>
              <w:right w:type="dxa" w:w="130"/>
            </w:tcMar>
          </w:tcPr>
          <w:p>
            <w:pPr>
              <w:spacing w:after="0" w:line="280"/>
            </w:pPr>
            <w:r>
              <w:rPr>
                <w:rFonts w:ascii="Calibri" w:cs="Calibri" w:eastAsia="Calibri" w:hAnsi="Calibri"/>
                <w:b/>
                <w:bCs/>
                <w:color w:val="5C636D"/>
                <w:sz w:val="20"/>
                <w:szCs w:val="20"/>
              </w:rPr>
              <w:t xml:space="preserve">Finding</w:t>
            </w:r>
          </w:p>
        </w:tc>
        <w:tc>
          <w:tcPr>
            <w:tcW w:type="dxa" w:w="6760"/>
            <w:shd w:fill="F2F4F6" w:color="auto" w:val="clear"/>
            <w:tcMar>
              <w:top w:type="dxa" w:w="90"/>
              <w:left w:type="dxa" w:w="130"/>
              <w:bottom w:type="dxa" w:w="90"/>
              <w:right w:type="dxa" w:w="130"/>
            </w:tcMar>
          </w:tcPr>
          <w:p>
            <w:pPr>
              <w:spacing w:after="0" w:line="280"/>
            </w:pPr>
            <w:r>
              <w:rPr>
                <w:rFonts w:ascii="Calibri" w:cs="Calibri" w:eastAsia="Calibri" w:hAnsi="Calibri"/>
                <w:b/>
                <w:bCs/>
                <w:color w:val="5C636D"/>
                <w:sz w:val="20"/>
                <w:szCs w:val="20"/>
              </w:rPr>
              <w:t xml:space="preserve">Detail</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7 skills under 40 percent</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Most of the job group cannot do that work. The worst is pizza line setup at Salina, at 12 percent.</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6 skills held by three people or fewer</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One of them by a single person. Two of them by people close to retirement.</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Sioux Falls needs automation techs</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The 700,000 sq ft Asian-style food plant opens in 2027. PLC and automation coverage is 34 percent today and needs to reach 65 percent before then.</w:t>
            </w:r>
          </w:p>
        </w:tc>
      </w:tr>
      <w:tr>
        <w:tc>
          <w:tcPr>
            <w:tcW w:type="dxa" w:w="2600"/>
            <w:tcMar>
              <w:top w:type="dxa" w:w="90"/>
              <w:left w:type="dxa" w:w="130"/>
              <w:bottom w:type="dxa" w:w="90"/>
              <w:right w:type="dxa" w:w="130"/>
            </w:tcMar>
          </w:tcPr>
          <w:p>
            <w:pPr>
              <w:spacing w:after="0" w:line="280"/>
            </w:pPr>
            <w:r>
              <w:rPr>
                <w:rFonts w:ascii="Calibri" w:cs="Calibri" w:eastAsia="Calibri" w:hAnsi="Calibri"/>
                <w:b/>
                <w:bCs/>
                <w:color w:val="15181D"/>
                <w:sz w:val="20"/>
                <w:szCs w:val="20"/>
              </w:rPr>
              <w:t xml:space="preserve">Labeling work is growing</w:t>
            </w:r>
          </w:p>
        </w:tc>
        <w:tc>
          <w:tcPr>
            <w:tcW w:type="dxa" w:w="6760"/>
            <w:tcMar>
              <w:top w:type="dxa" w:w="90"/>
              <w:left w:type="dxa" w:w="130"/>
              <w:bottom w:type="dxa" w:w="90"/>
              <w:right w:type="dxa" w:w="130"/>
            </w:tcMar>
          </w:tcPr>
          <w:p>
            <w:pPr>
              <w:spacing w:after="0" w:line="280"/>
            </w:pPr>
            <w:r>
              <w:rPr>
                <w:rFonts w:ascii="Calibri" w:cs="Calibri" w:eastAsia="Calibri" w:hAnsi="Calibri"/>
                <w:b w:val="false"/>
                <w:bCs w:val="false"/>
                <w:color w:val="15181D"/>
                <w:sz w:val="20"/>
                <w:szCs w:val="20"/>
              </w:rPr>
              <w:t xml:space="preserve">The CJ CheilJedang integration adds cross-border labeling load, and two people know those rules.</w:t>
            </w:r>
          </w:p>
        </w:tc>
      </w:tr>
    </w:tbl>
    <w:p>
      <w:pPr>
        <w:spacing w:after="160" w:line="300"/>
      </w:pPr>
      <w:r>
        <w:rPr>
          <w:rFonts w:ascii="Calibri" w:cs="Calibri" w:eastAsia="Calibri" w:hAnsi="Calibri"/>
          <w:color w:val="15181D"/>
          <w:sz w:val="21"/>
          <w:szCs w:val="21"/>
        </w:rPr>
        <w:t xml:space="preserve"/>
      </w:r>
    </w:p>
    <w:p>
      <w:pPr>
        <w:pStyle w:val="Heading1"/>
        <w:spacing w:after="140" w:before="320"/>
      </w:pPr>
      <w:r>
        <w:rPr>
          <w:rFonts w:ascii="Cambria" w:cs="Cambria" w:eastAsia="Cambria" w:hAnsi="Cambria"/>
          <w:b/>
          <w:bCs/>
          <w:color w:val="15181D"/>
          <w:sz w:val="28"/>
          <w:szCs w:val="28"/>
        </w:rPr>
        <w:t xml:space="preserve">How it is built</w:t>
      </w:r>
    </w:p>
    <w:p>
      <w:pPr>
        <w:spacing w:after="140" w:line="300"/>
      </w:pPr>
      <w:r>
        <w:rPr>
          <w:rFonts w:ascii="Calibri" w:cs="Calibri" w:eastAsia="Calibri" w:hAnsi="Calibri"/>
          <w:color w:val="15181D"/>
          <w:sz w:val="21"/>
          <w:szCs w:val="21"/>
        </w:rPr>
        <w:t xml:space="preserve">Plain HTML, CSS, and JavaScript in four files: index.html, style.css, script.js, and data.js. No frameworks, no build step, no dependencies, and nothing loaded from a content delivery network.</w:t>
      </w:r>
    </w:p>
    <w:p>
      <w:pPr>
        <w:pStyle w:val="ListParagraph"/>
        <w:numPr>
          <w:ilvl w:val="0"/>
          <w:numId w:val="2"/>
        </w:numPr>
        <w:spacing w:after="90" w:line="300"/>
      </w:pPr>
      <w:r>
        <w:rPr>
          <w:rFonts w:ascii="Calibri" w:cs="Calibri" w:eastAsia="Calibri" w:hAnsi="Calibri"/>
          <w:color w:val="15181D"/>
          <w:sz w:val="21"/>
          <w:szCs w:val="21"/>
        </w:rPr>
        <w:t xml:space="preserve">It runs with no internet, so a bad connection during judging cannot break the demo.</w:t>
      </w:r>
    </w:p>
    <w:p>
      <w:pPr>
        <w:pStyle w:val="ListParagraph"/>
        <w:numPr>
          <w:ilvl w:val="0"/>
          <w:numId w:val="2"/>
        </w:numPr>
        <w:spacing w:after="90" w:line="300"/>
      </w:pPr>
      <w:r>
        <w:rPr>
          <w:rFonts w:ascii="Calibri" w:cs="Calibri" w:eastAsia="Calibri" w:hAnsi="Calibri"/>
          <w:color w:val="15181D"/>
          <w:sz w:val="21"/>
          <w:szCs w:val="21"/>
        </w:rPr>
        <w:t xml:space="preserve">Every line is mine to explain, which the event rules require.</w:t>
      </w:r>
    </w:p>
    <w:p>
      <w:pPr>
        <w:pStyle w:val="ListParagraph"/>
        <w:numPr>
          <w:ilvl w:val="0"/>
          <w:numId w:val="2"/>
        </w:numPr>
        <w:spacing w:after="90" w:line="300"/>
      </w:pPr>
      <w:r>
        <w:rPr>
          <w:rFonts w:ascii="Calibri" w:cs="Calibri" w:eastAsia="Calibri" w:hAnsi="Calibri"/>
          <w:color w:val="15181D"/>
          <w:sz w:val="21"/>
          <w:szCs w:val="21"/>
        </w:rPr>
        <w:t xml:space="preserve">Development plan checkboxes are saved in the browser, so the demo carries real state instead of a mock-up.</w:t>
      </w:r>
    </w:p>
    <w:p>
      <w:pPr>
        <w:pStyle w:val="ListParagraph"/>
        <w:numPr>
          <w:ilvl w:val="0"/>
          <w:numId w:val="2"/>
        </w:numPr>
        <w:spacing w:after="90" w:line="300"/>
      </w:pPr>
      <w:r>
        <w:rPr>
          <w:rFonts w:ascii="Calibri" w:cs="Calibri" w:eastAsia="Calibri" w:hAnsi="Calibri"/>
          <w:color w:val="15181D"/>
          <w:sz w:val="21"/>
          <w:szCs w:val="21"/>
        </w:rPr>
        <w:t xml:space="preserve">Light and dark themes, with the choice remembered.</w:t>
      </w:r>
    </w:p>
    <w:p>
      <w:pPr>
        <w:pStyle w:val="Heading1"/>
        <w:spacing w:after="140" w:before="320"/>
      </w:pPr>
      <w:r>
        <w:rPr>
          <w:rFonts w:ascii="Cambria" w:cs="Cambria" w:eastAsia="Cambria" w:hAnsi="Cambria"/>
          <w:b/>
          <w:bCs/>
          <w:color w:val="15181D"/>
          <w:sz w:val="28"/>
          <w:szCs w:val="28"/>
        </w:rPr>
        <w:t xml:space="preserve">About the data</w:t>
      </w:r>
    </w:p>
    <w:p>
      <w:pPr>
        <w:spacing w:after="140" w:line="300"/>
      </w:pPr>
      <w:r>
        <w:rPr>
          <w:rFonts w:ascii="Calibri" w:cs="Calibri" w:eastAsia="Calibri" w:hAnsi="Calibri"/>
          <w:color w:val="15181D"/>
          <w:sz w:val="21"/>
          <w:szCs w:val="21"/>
        </w:rPr>
        <w:t xml:space="preserve">Coverage percentages, per-site headcounts, and employee records are made up for the demo. Company headcount, plant names, office locations, job groups, and the business drivers (the Sioux Falls plant build-out, the CJ CheilJedang integration, the Marshall R&amp;D center) are real and taken from public sources. The app states this on screen so nobody mistakes the demo for a real report.</w:t>
      </w:r>
    </w:p>
    <w:p>
      <w:pPr>
        <w:spacing w:after="140" w:line="300"/>
      </w:pPr>
      <w:r>
        <w:rPr>
          <w:rFonts w:ascii="Calibri" w:cs="Calibri" w:eastAsia="Calibri" w:hAnsi="Calibri"/>
          <w:color w:val="15181D"/>
          <w:sz w:val="21"/>
          <w:szCs w:val="21"/>
        </w:rPr>
        <w:t xml:space="preserve">The made-up numbers are shaped by published figures rather than invented. Deloitte and The Manufacturing Institute put the manufacturing skills gap at 2.1 million unfilled jobs by 2030, with baby boomer retirement named by 34 percent of manufacturers as a leading cause. The IIAR reports that 40 percent of skilled trades workers are over 45 and nearly half of those are over 55, which is why this demo puts retirement-eligible techs on the Marshall ammonia system. The workforce size of about 8,500 is a stated assumption, since the company does not publish a headcount. Every claim, its source, and the three claims cut for weak sourcing are listed in the project's FACTS file and inside the app.</w:t>
      </w:r>
    </w:p>
    <w:p>
      <w:pPr>
        <w:pStyle w:val="Heading1"/>
        <w:spacing w:after="140" w:before="320"/>
      </w:pPr>
      <w:r>
        <w:rPr>
          <w:rFonts w:ascii="Cambria" w:cs="Cambria" w:eastAsia="Cambria" w:hAnsi="Cambria"/>
          <w:b/>
          <w:bCs/>
          <w:color w:val="15181D"/>
          <w:sz w:val="28"/>
          <w:szCs w:val="28"/>
        </w:rPr>
        <w:t xml:space="preserve">What comes next</w:t>
      </w:r>
    </w:p>
    <w:p>
      <w:pPr>
        <w:pStyle w:val="ListParagraph"/>
        <w:numPr>
          <w:ilvl w:val="0"/>
          <w:numId w:val="2"/>
        </w:numPr>
        <w:spacing w:after="90" w:line="300"/>
      </w:pPr>
      <w:r>
        <w:rPr>
          <w:rFonts w:ascii="Calibri" w:cs="Calibri" w:eastAsia="Calibri" w:hAnsi="Calibri"/>
          <w:color w:val="15181D"/>
          <w:sz w:val="21"/>
          <w:szCs w:val="21"/>
        </w:rPr>
        <w:t xml:space="preserve">Load real HR data in place of the demo numbers.</w:t>
      </w:r>
    </w:p>
    <w:p>
      <w:pPr>
        <w:pStyle w:val="ListParagraph"/>
        <w:numPr>
          <w:ilvl w:val="0"/>
          <w:numId w:val="2"/>
        </w:numPr>
        <w:spacing w:after="90" w:line="300"/>
      </w:pPr>
      <w:r>
        <w:rPr>
          <w:rFonts w:ascii="Calibri" w:cs="Calibri" w:eastAsia="Calibri" w:hAnsi="Calibri"/>
          <w:color w:val="15181D"/>
          <w:sz w:val="21"/>
          <w:szCs w:val="21"/>
        </w:rPr>
        <w:t xml:space="preserve">Match people to plans automatically, rather than one written first step per skill.</w:t>
      </w:r>
    </w:p>
    <w:p>
      <w:pPr>
        <w:pStyle w:val="ListParagraph"/>
        <w:numPr>
          <w:ilvl w:val="0"/>
          <w:numId w:val="2"/>
        </w:numPr>
        <w:spacing w:after="90" w:line="300"/>
      </w:pPr>
      <w:r>
        <w:rPr>
          <w:rFonts w:ascii="Calibri" w:cs="Calibri" w:eastAsia="Calibri" w:hAnsi="Calibri"/>
          <w:color w:val="15181D"/>
          <w:sz w:val="21"/>
          <w:szCs w:val="21"/>
        </w:rPr>
        <w:t xml:space="preserve">Bonus track: a badge tap at a plant that pulls up that person's skills and what they are training toward.</w:t>
      </w:r>
    </w:p>
    <w:p>
      <w:pPr>
        <w:spacing w:after="40" w:line="300"/>
      </w:pPr>
      <w:r>
        <w:rPr>
          <w:rFonts w:ascii="Calibri" w:cs="Calibri" w:eastAsia="Calibri" w:hAnsi="Calibri"/>
          <w:color w:val="5C636D"/>
          <w:sz w:val="19"/>
          <w:szCs w:val="19"/>
        </w:rPr>
        <w:t xml:space="preserve">Repository: github.com/Aj-Networks/schwan_s</w:t>
      </w:r>
    </w:p>
    <w:p>
      <w:pPr>
        <w:spacing w:after="140" w:line="300"/>
      </w:pPr>
      <w:r>
        <w:rPr>
          <w:rFonts w:ascii="Calibri" w:cs="Calibri" w:eastAsia="Calibri" w:hAnsi="Calibri"/>
          <w:color w:val="5C636D"/>
          <w:sz w:val="19"/>
          <w:szCs w:val="19"/>
        </w:rPr>
        <w:t xml:space="preserve">Prepared by Ajay Angdembe, September 2026.</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SkillSight project brief</dc:title>
  <dc:creator>Ajay Angdembe</dc:creator>
  <cp:lastModifiedBy>Un-named</cp:lastModifiedBy>
  <cp:revision>1</cp:revision>
  <dcterms:created xsi:type="dcterms:W3CDTF">2026-09-13T02:24:24.139Z</dcterms:created>
  <dcterms:modified xsi:type="dcterms:W3CDTF">2026-09-13T02:24:24.140Z</dcterms:modified>
</cp:coreProperties>
</file>

<file path=docProps/custom.xml><?xml version="1.0" encoding="utf-8"?>
<Properties xmlns="http://schemas.openxmlformats.org/officeDocument/2006/custom-properties" xmlns:vt="http://schemas.openxmlformats.org/officeDocument/2006/docPropsVTypes"/>
</file>