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H Sarabun New" w:hAnsi="TH Sarabun New" w:cs="TH Sarabun New" w:eastAsia="TH Sarabun New"/>
          <w:b/>
          <w:color w:val="141D3F"/>
          <w:sz w:val="40"/>
          <w:szCs w:val="40"/>
          <w:bCs/>
        </w:rPr>
        <w:t>แม่แบบ BMC สำหรับนำเข้า BMC Studio</w:t>
      </w:r>
    </w:p>
    <w:p>
      <w:pPr>
        <w:spacing w:after="0" w:before="0" w:line="240" w:lineRule="auto"/>
      </w:pPr>
      <w:r>
        <w:rPr>
          <w:rFonts w:ascii="TH Sarabun New" w:hAnsi="TH Sarabun New" w:cs="TH Sarabun New" w:eastAsia="TH Sarabun New"/>
          <w:b w:val="0"/>
          <w:color w:val="5C6B7A"/>
          <w:sz w:val="26"/>
          <w:szCs w:val="26"/>
        </w:rPr>
        <w:t>วิธีใช้ — พิมพ์ไอเท็มใต้หัวช่อง บรรทัดละ 1 ข้อ (กด Enter ขึ้นบรรทัดใหม่) ห้ามแก้ข้อความหัวช่อง บันทึกเป็น .docx แล้วเปิด BMC Studio กดปุ่ม "เปิดงาน / Word" และเลือกไฟล์นี้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 w:val="0"/>
          <w:color w:val="5C6B7A"/>
          <w:sz w:val="26"/>
          <w:szCs w:val="26"/>
        </w:rPr>
        <w:t>เขียนสั้น ราว 3 บรรทัดต่อช่อง และราว 5 คำต่อข้อ · ระบบนำเข้าเฉพาะข้อความ เส้นเชื่อมต้องผูกเองใน BMC Studio · ทุกข้อจะติดป้าย Assumption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  <w:gridCol w:w="1548"/>
      </w:tblGrid>
      <w:tr>
        <w:trPr>
          <w:trHeight w:val="3402"/>
        </w:trPr>
        <w:tc>
          <w:tcPr>
            <w:tcW w:type="dxa" w:w="3096"/>
            <w:gridSpan w:val="2"/>
            <w:vMerge w:val="restart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8A56D6"/>
                <w:sz w:val="28"/>
                <w:szCs w:val="28"/>
                <w:bCs/>
              </w:rPr>
              <w:t>พันธมิตรหลัก (Key Partnerships)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  <w:tc>
          <w:tcPr>
            <w:tcW w:type="dxa" w:w="3096"/>
            <w:gridSpan w:val="2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2F5BD0"/>
                <w:sz w:val="28"/>
                <w:szCs w:val="28"/>
                <w:bCs/>
              </w:rPr>
              <w:t>กิจกรรมหลัก (Key Activities)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  <w:tc>
          <w:tcPr>
            <w:tcW w:type="dxa" w:w="3096"/>
            <w:gridSpan w:val="2"/>
            <w:vMerge w:val="restart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B7791F"/>
                <w:sz w:val="28"/>
                <w:szCs w:val="28"/>
                <w:bCs/>
              </w:rPr>
              <w:t>คุณค่าที่นำเสนอ (Value Propositions)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  <w:tc>
          <w:tcPr>
            <w:tcW w:type="dxa" w:w="3096"/>
            <w:gridSpan w:val="2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D0632F"/>
                <w:sz w:val="28"/>
                <w:szCs w:val="28"/>
                <w:bCs/>
              </w:rPr>
              <w:t>ความสัมพันธ์กับลูกค้า (Customer Relationships)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  <w:tc>
          <w:tcPr>
            <w:tcW w:type="dxa" w:w="3096"/>
            <w:gridSpan w:val="2"/>
            <w:vMerge w:val="restart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2FA392"/>
                <w:sz w:val="28"/>
                <w:szCs w:val="28"/>
                <w:bCs/>
              </w:rPr>
              <w:t>กลุ่มลูกค้า (Customer Segments)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</w:tr>
      <w:tr>
        <w:trPr>
          <w:trHeight w:val="3402"/>
        </w:trPr>
        <w:tc>
          <w:tcPr>
            <w:tcW w:type="dxa" w:w="3096"/>
            <w:gridSpan w:val="2"/>
            <w:vMerge/>
          </w:tcPr>
          <w:p/>
        </w:tc>
        <w:tc>
          <w:tcPr>
            <w:tcW w:type="dxa" w:w="3096"/>
            <w:gridSpan w:val="2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3D7DE0"/>
                <w:sz w:val="28"/>
                <w:szCs w:val="28"/>
                <w:bCs/>
              </w:rPr>
              <w:t>ทรัพยากรหลัก (Key Resources)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  <w:tc>
          <w:tcPr>
            <w:tcW w:type="dxa" w:w="3096"/>
            <w:gridSpan w:val="2"/>
            <w:vMerge/>
          </w:tcPr>
          <w:p/>
        </w:tc>
        <w:tc>
          <w:tcPr>
            <w:tcW w:type="dxa" w:w="3096"/>
            <w:gridSpan w:val="2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C0392B"/>
                <w:sz w:val="28"/>
                <w:szCs w:val="28"/>
                <w:bCs/>
              </w:rPr>
              <w:t>ช่องทาง (Channels)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  <w:tc>
          <w:tcPr>
            <w:tcW w:type="dxa" w:w="3096"/>
            <w:gridSpan w:val="2"/>
            <w:vMerge/>
          </w:tcPr>
          <w:p/>
        </w:tc>
      </w:tr>
      <w:tr>
        <w:trPr>
          <w:trHeight w:val="1928"/>
        </w:trPr>
        <w:tc>
          <w:tcPr>
            <w:tcW w:type="dxa" w:w="7740"/>
            <w:gridSpan w:val="5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5C6B7A"/>
                <w:sz w:val="28"/>
                <w:szCs w:val="28"/>
                <w:bCs/>
              </w:rPr>
              <w:t>โครงสร้างต้นทุน (Cost Structure)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  <w:tc>
          <w:tcPr>
            <w:tcW w:type="dxa" w:w="7740"/>
            <w:gridSpan w:val="5"/>
          </w:tcPr>
          <w:p>
            <w:pPr>
              <w:spacing w:after="80" w:before="0" w:line="240" w:lineRule="auto"/>
            </w:pPr>
            <w:r>
              <w:rPr>
                <w:rFonts w:ascii="TH Sarabun New" w:hAnsi="TH Sarabun New" w:cs="TH Sarabun New" w:eastAsia="TH Sarabun New"/>
                <w:b/>
                <w:color w:val="2E7D5B"/>
                <w:sz w:val="28"/>
                <w:szCs w:val="28"/>
                <w:bCs/>
              </w:rPr>
              <w:t>กระแสรายได้ (Revenue Streams)</w:t>
            </w:r>
          </w:p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</w:tr>
    </w:tbl>
    <w:p>
      <w:pPr>
        <w:spacing w:after="0" w:before="0" w:line="240" w:lineRule="auto"/>
      </w:pPr>
      <w:r>
        <w:rPr>
          <w:rFonts w:ascii="TH Sarabun New" w:hAnsi="TH Sarabun New" w:cs="TH Sarabun New" w:eastAsia="TH Sarabun New"/>
          <w:b w:val="0"/>
          <w:sz w:val="16"/>
          <w:szCs w:val="16"/>
        </w:rPr>
      </w:r>
    </w:p>
    <w:p>
      <w:pPr>
        <w:spacing w:after="0" w:before="0" w:line="240" w:lineRule="auto"/>
      </w:pPr>
      <w:r>
        <w:rPr>
          <w:rFonts w:ascii="TH Sarabun New" w:hAnsi="TH Sarabun New" w:cs="TH Sarabun New" w:eastAsia="TH Sarabun New"/>
          <w:b w:val="0"/>
          <w:color w:val="5C6B7A"/>
          <w:sz w:val="22"/>
          <w:szCs w:val="22"/>
        </w:rPr>
        <w:t>© 2569 อ.ดร.วราวุฒิ นาคบุญนำ · คณะการบัญชีและการจัดการ มหาวิทยาลัยมหาสารคาม · Business Model Canvas โดย Strategyzer AG (Strategyzer.com, CC BY-SA 3.0)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