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UTILIZING SHAP TO EXPLAIN AN XGBOOST MODEL THAT PREDICTS DEATH DURING FOLLOW-UP IN BREAST CANCER</w:t>
      </w:r>
    </w:p>
    <w:p>
      <w:pPr>
        <w:spacing w:after="120" w:line="276" w:lineRule="auto"/>
        <w:jc w:val="center"/>
      </w:pPr>
      <w:r>
        <w:rPr>
          <w:b/>
          <w:i w:val="0"/>
        </w:rPr>
        <w:t>Chapters 3, 4 and 5: Methodology, Implementation and Results, Conclusions</w:t>
      </w:r>
    </w:p>
    <w:p>
      <w:pPr>
        <w:spacing w:after="120" w:line="276" w:lineRule="auto"/>
        <w:jc w:val="center"/>
      </w:pPr>
      <w:r>
        <w:rPr>
          <w:b w:val="0"/>
          <w:i/>
        </w:rPr>
        <w:t>Department of Computer Science, University of Jos, Plateau State, Nigeria. Supervisors: Dr. G. Nentawe and Prof. A. C. Deme</w:t>
      </w:r>
    </w:p>
    <w:p>
      <w:pPr>
        <w:spacing w:after="120" w:line="276" w:lineRule="auto"/>
        <w:jc w:val="both"/>
      </w:pPr>
      <w:r>
        <w:rPr>
          <w:b w:val="0"/>
          <w:i/>
          <w:sz w:val="21"/>
        </w:rPr>
        <w:t>These chapters implement the revised proposal (prognostic target; Section 3.2 of the revised proposal). They add one extension that is not among its five objectives, a Black-versus-White fairness audit with bias mitigation, and they report the proposal's predictor list as specified next to an audit-hardened variant. In the thesis the proposal's "4.0 Conclusion" becomes Chapter 5.</w:t>
      </w:r>
    </w:p>
    <w:p>
      <w:r>
        <w:br w:type="page"/>
      </w:r>
    </w:p>
    <w:p>
      <w:pPr>
        <w:pStyle w:val="Heading1"/>
      </w:pPr>
      <w:r>
        <w:t>3.0 Methodology</w:t>
      </w:r>
    </w:p>
    <w:p>
      <w:pPr>
        <w:pStyle w:val="Heading2"/>
      </w:pPr>
      <w:r>
        <w:t>3.1 Introduction</w:t>
      </w:r>
    </w:p>
    <w:p>
      <w:pPr>
        <w:spacing w:after="120" w:line="276" w:lineRule="auto"/>
        <w:jc w:val="both"/>
      </w:pPr>
      <w:r>
        <w:rPr>
          <w:b w:val="0"/>
          <w:i w:val="0"/>
        </w:rPr>
        <w:t>This chapter describes how the five objectives of the study were achieved. The work has two phases. Phase 1 is a computational experiment (Objectives 1 to 3): an XGBoost classifier is developed, evaluated and explained with SHapley Additive exPlanations (SHAP) on clinical data from The Cancer Genome Atlas (TCGA). Phase 2 is a physician user study (Objective 4); the instrument and analysis code are complete but no clinician has yet responded. Both phases inform a conceptual framework (Objective 5). Because every patient has a diagnosed malignancy, the task is prognostic (mortality-risk prediction), not diagnostic. One extension is added: an audit of racial fairness between Black and White patients, with a comparison of bias-mitigation strategies.</w:t>
      </w:r>
    </w:p>
    <w:p>
      <w:pPr>
        <w:pStyle w:val="Heading2"/>
      </w:pPr>
      <w:r>
        <w:t>3.2 Research design</w:t>
      </w:r>
    </w:p>
    <w:p>
      <w:pPr>
        <w:spacing w:after="120" w:line="276" w:lineRule="auto"/>
        <w:jc w:val="both"/>
      </w:pPr>
      <w:r>
        <w:rPr>
          <w:b w:val="0"/>
          <w:i w:val="0"/>
        </w:rPr>
        <w:t>The design is mixed-methods and two-phase. In Phase 1 the TCGA-BRCA clinical patient table is audited, cleaned and split 80/20 into development and hold-out sets; XGBoost is tuned and trained to predict overall-survival status; its performance is compared with baseline models; and SHAP explains its predictions (Figure 3.1, Table 3.1). Throughout, the recall metric is prioritised: a missed death is a more costly error than an unnecessary review.</w:t>
      </w:r>
    </w:p>
    <w:p>
      <w:pPr>
        <w:jc w:val="center"/>
      </w:pPr>
      <w:r>
        <w:drawing>
          <wp:inline xmlns:a="http://schemas.openxmlformats.org/drawingml/2006/main" xmlns:pic="http://schemas.openxmlformats.org/drawingml/2006/picture">
            <wp:extent cx="5943600" cy="1433763"/>
            <wp:docPr id="1" name="Picture 1"/>
            <wp:cNvGraphicFramePr>
              <a:graphicFrameLocks noChangeAspect="1"/>
            </wp:cNvGraphicFramePr>
            <a:graphic>
              <a:graphicData uri="http://schemas.openxmlformats.org/drawingml/2006/picture">
                <pic:pic>
                  <pic:nvPicPr>
                    <pic:cNvPr id="0" name="00_workflow.png"/>
                    <pic:cNvPicPr/>
                  </pic:nvPicPr>
                  <pic:blipFill>
                    <a:blip r:embed="rId10"/>
                    <a:stretch>
                      <a:fillRect/>
                    </a:stretch>
                  </pic:blipFill>
                  <pic:spPr>
                    <a:xfrm>
                      <a:off x="0" y="0"/>
                      <a:ext cx="5943600" cy="1433763"/>
                    </a:xfrm>
                    <a:prstGeom prst="rect"/>
                  </pic:spPr>
                </pic:pic>
              </a:graphicData>
            </a:graphic>
          </wp:inline>
        </w:drawing>
      </w:r>
    </w:p>
    <w:p>
      <w:pPr>
        <w:spacing w:after="160"/>
        <w:jc w:val="center"/>
      </w:pPr>
      <w:r>
        <w:rPr>
          <w:b/>
          <w:sz w:val="21"/>
        </w:rPr>
        <w:t>Figure 3.1: Workflow of the study</w:t>
      </w:r>
    </w:p>
    <w:p>
      <w:pPr>
        <w:spacing w:after="160"/>
      </w:pPr>
      <w:r>
        <w:rPr>
          <w:b/>
          <w:sz w:val="21"/>
        </w:rPr>
        <w:t>Table 3.1: Objectives, methods and outputs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E8ECF1"/>
          </w:tcPr>
          <w:p>
            <w:r/>
            <w:r>
              <w:rPr>
                <w:b/>
                <w:sz w:val="18"/>
              </w:rPr>
              <w:t>Objective</w:t>
            </w:r>
          </w:p>
        </w:tc>
        <w:tc>
          <w:tcPr>
            <w:tcW w:type="dxa" w:w="4752"/>
            <w:shd w:val="clear" w:color="auto" w:fill="E8ECF1"/>
          </w:tcPr>
          <w:p>
            <w:r/>
            <w:r>
              <w:rPr>
                <w:b/>
                <w:sz w:val="18"/>
              </w:rPr>
              <w:t>Method</w:t>
            </w:r>
          </w:p>
        </w:tc>
        <w:tc>
          <w:tcPr>
            <w:tcW w:type="dxa" w:w="2448"/>
            <w:shd w:val="clear" w:color="auto" w:fill="E8ECF1"/>
          </w:tcPr>
          <w:p>
            <w:r/>
            <w:r>
              <w:rPr>
                <w:b/>
                <w:sz w:val="18"/>
              </w:rPr>
              <w:t>Output</w:t>
            </w:r>
          </w:p>
        </w:tc>
      </w:tr>
      <w:tr>
        <w:tc>
          <w:tcPr>
            <w:tcW w:type="dxa" w:w="2160"/>
          </w:tcPr>
          <w:p>
            <w:r/>
            <w:r>
              <w:rPr>
                <w:sz w:val="18"/>
              </w:rPr>
              <w:t>1. Develop the model</w:t>
            </w:r>
          </w:p>
        </w:tc>
        <w:tc>
          <w:tcPr>
            <w:tcW w:type="dxa" w:w="4752"/>
          </w:tcPr>
          <w:p>
            <w:r/>
            <w:r>
              <w:rPr>
                <w:sz w:val="18"/>
              </w:rPr>
              <w:t>Stratified 80/20 split; repeated stratified 5-fold CV; Bayesian hyper-parameter search; class weighting; recall-first decision threshold</w:t>
            </w:r>
          </w:p>
        </w:tc>
        <w:tc>
          <w:tcPr>
            <w:tcW w:type="dxa" w:w="2448"/>
          </w:tcPr>
          <w:p>
            <w:r/>
            <w:r>
              <w:rPr>
                <w:sz w:val="18"/>
              </w:rPr>
              <w:t>Tuned XGBoost model (Sections 3.2.4, 4.5)</w:t>
            </w:r>
          </w:p>
        </w:tc>
      </w:tr>
      <w:tr>
        <w:tc>
          <w:tcPr>
            <w:tcW w:type="dxa" w:w="2160"/>
          </w:tcPr>
          <w:p>
            <w:r/>
            <w:r>
              <w:rPr>
                <w:sz w:val="18"/>
              </w:rPr>
              <w:t>2. Evaluate performance</w:t>
            </w:r>
          </w:p>
        </w:tc>
        <w:tc>
          <w:tcPr>
            <w:tcW w:type="dxa" w:w="4752"/>
          </w:tcPr>
          <w:p>
            <w:r/>
            <w:r>
              <w:rPr>
                <w:sz w:val="18"/>
              </w:rPr>
              <w:t>Accuracy, precision, recall, F1, AUC-ROC, PR-AUC, confusion matrix with bootstrap CIs; baselines</w:t>
            </w:r>
          </w:p>
        </w:tc>
        <w:tc>
          <w:tcPr>
            <w:tcW w:type="dxa" w:w="2448"/>
          </w:tcPr>
          <w:p>
            <w:r/>
            <w:r>
              <w:rPr>
                <w:sz w:val="18"/>
              </w:rPr>
              <w:t>Performance results (Sections 3.2.5, 4.6)</w:t>
            </w:r>
          </w:p>
        </w:tc>
      </w:tr>
      <w:tr>
        <w:tc>
          <w:tcPr>
            <w:tcW w:type="dxa" w:w="2160"/>
          </w:tcPr>
          <w:p>
            <w:r/>
            <w:r>
              <w:rPr>
                <w:sz w:val="18"/>
              </w:rPr>
              <w:t>3. Apply and assess SHAP</w:t>
            </w:r>
          </w:p>
        </w:tc>
        <w:tc>
          <w:tcPr>
            <w:tcW w:type="dxa" w:w="4752"/>
          </w:tcPr>
          <w:p>
            <w:r/>
            <w:r>
              <w:rPr>
                <w:sz w:val="18"/>
              </w:rPr>
              <w:t>TreeSHAP; global and local plots; fidelity, stability, clinical alignment, race check</w:t>
            </w:r>
          </w:p>
        </w:tc>
        <w:tc>
          <w:tcPr>
            <w:tcW w:type="dxa" w:w="2448"/>
          </w:tcPr>
          <w:p>
            <w:r/>
            <w:r>
              <w:rPr>
                <w:sz w:val="18"/>
              </w:rPr>
              <w:t>Interpretation of key prognostic features (Sections 3.2.6, 4.7)</w:t>
            </w:r>
          </w:p>
        </w:tc>
      </w:tr>
      <w:tr>
        <w:tc>
          <w:tcPr>
            <w:tcW w:type="dxa" w:w="2160"/>
          </w:tcPr>
          <w:p>
            <w:r/>
            <w:r>
              <w:rPr>
                <w:sz w:val="18"/>
              </w:rPr>
              <w:t>4. User study</w:t>
            </w:r>
          </w:p>
        </w:tc>
        <w:tc>
          <w:tcPr>
            <w:tcW w:type="dxa" w:w="4752"/>
          </w:tcPr>
          <w:p>
            <w:r/>
            <w:r>
              <w:rPr>
                <w:sz w:val="18"/>
              </w:rPr>
              <w:t>Within-subject questionnaire, condition A (score) vs B (score + SHAP)</w:t>
            </w:r>
          </w:p>
        </w:tc>
        <w:tc>
          <w:tcPr>
            <w:tcW w:type="dxa" w:w="2448"/>
          </w:tcPr>
          <w:p>
            <w:r/>
            <w:r>
              <w:rPr>
                <w:sz w:val="18"/>
              </w:rPr>
              <w:t>Kit and analysis code (Section 3.2.8); data not yet collected</w:t>
            </w:r>
          </w:p>
        </w:tc>
      </w:tr>
      <w:tr>
        <w:tc>
          <w:tcPr>
            <w:tcW w:type="dxa" w:w="2160"/>
          </w:tcPr>
          <w:p>
            <w:r/>
            <w:r>
              <w:rPr>
                <w:sz w:val="18"/>
              </w:rPr>
              <w:t>5. Conceptual framework</w:t>
            </w:r>
          </w:p>
        </w:tc>
        <w:tc>
          <w:tcPr>
            <w:tcW w:type="dxa" w:w="4752"/>
          </w:tcPr>
          <w:p>
            <w:r/>
            <w:r>
              <w:rPr>
                <w:sz w:val="18"/>
              </w:rPr>
              <w:t>Synthesis of Objectives 1-4</w:t>
            </w:r>
          </w:p>
        </w:tc>
        <w:tc>
          <w:tcPr>
            <w:tcW w:type="dxa" w:w="2448"/>
          </w:tcPr>
          <w:p>
            <w:r/>
            <w:r>
              <w:rPr>
                <w:sz w:val="18"/>
              </w:rPr>
              <w:t>Framework and discussion (Sections 3.2.9, 4.11)</w:t>
            </w:r>
          </w:p>
        </w:tc>
      </w:tr>
      <w:tr>
        <w:tc>
          <w:tcPr>
            <w:tcW w:type="dxa" w:w="2160"/>
          </w:tcPr>
          <w:p>
            <w:r/>
            <w:r>
              <w:rPr>
                <w:sz w:val="18"/>
              </w:rPr>
              <w:t>Extension: fairness</w:t>
            </w:r>
          </w:p>
        </w:tc>
        <w:tc>
          <w:tcPr>
            <w:tcW w:type="dxa" w:w="4752"/>
          </w:tcPr>
          <w:p>
            <w:r/>
            <w:r>
              <w:rPr>
                <w:sz w:val="18"/>
              </w:rPr>
              <w:t>5 mitigation strategies x repeated CV, paired bootstrap, sensitivity analyses</w:t>
            </w:r>
          </w:p>
        </w:tc>
        <w:tc>
          <w:tcPr>
            <w:tcW w:type="dxa" w:w="2448"/>
          </w:tcPr>
          <w:p>
            <w:r/>
            <w:r>
              <w:rPr>
                <w:sz w:val="18"/>
              </w:rPr>
              <w:t>Bias audit (Sections 3.2.7, 4.8)</w:t>
            </w:r>
          </w:p>
        </w:tc>
      </w:tr>
    </w:tbl>
    <w:p>
      <w:pPr>
        <w:spacing w:after="80"/>
      </w:pPr>
    </w:p>
    <w:p>
      <w:pPr>
        <w:pStyle w:val="Heading3"/>
      </w:pPr>
      <w:r>
        <w:t>3.2.1 Data collection</w:t>
      </w:r>
    </w:p>
    <w:p>
      <w:pPr>
        <w:spacing w:after="120" w:line="276" w:lineRule="auto"/>
        <w:jc w:val="both"/>
      </w:pPr>
      <w:r>
        <w:rPr>
          <w:b w:val="0"/>
          <w:i w:val="0"/>
        </w:rPr>
        <w:t>The data are the TCGA PanCancer Atlas clinical patient table for breast cancer distributed by cBioPortal (Cerami et al., 2012; Liu et al., 2018): 1,084 patients and 38 variables, with a data dictionary. All patients have a malignant tumour (ICD-O-3 morphology codes ending in /3). The target is overall-survival status (OS_STATUS): 151 patients (13.9%) are deceased and 933 living at last contact. The data are public and de-identified. Self-reported race gives the fairness groups: 751 White (111 deaths) and 182 Black (30 deaths); 60 Asian and 91 patients without recorded race are used for training but not audited.</w:t>
      </w:r>
    </w:p>
    <w:p>
      <w:pPr>
        <w:pStyle w:val="Heading3"/>
      </w:pPr>
      <w:r>
        <w:t>3.2.2 Variable selection and leakage control</w:t>
      </w:r>
    </w:p>
    <w:p>
      <w:pPr>
        <w:spacing w:after="120" w:line="276" w:lineRule="auto"/>
        <w:jc w:val="both"/>
      </w:pPr>
      <w:r>
        <w:rPr>
          <w:b w:val="0"/>
          <w:i w:val="0"/>
        </w:rPr>
        <w:t>Only variables available at or near diagnosis and primary treatment are predictors; variables recorded during follow-up or derived from the outcome are excluded (Kaufman et al., 2011). Table 3.2 reproduces the decisions of the revised proposal and adds the audit result for each.</w:t>
      </w:r>
    </w:p>
    <w:p>
      <w:pPr>
        <w:spacing w:after="160"/>
      </w:pPr>
      <w:r>
        <w:rPr>
          <w:b/>
          <w:sz w:val="21"/>
        </w:rPr>
        <w:t>Table 3.2: Variable selection decisions (revised proposal, Table 3.2) with audit notes</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8ECF1"/>
          </w:tcPr>
          <w:p>
            <w:r/>
            <w:r>
              <w:rPr>
                <w:b/>
                <w:sz w:val="18"/>
              </w:rPr>
              <w:t>Category</w:t>
            </w:r>
          </w:p>
        </w:tc>
        <w:tc>
          <w:tcPr>
            <w:tcW w:type="dxa" w:w="5040"/>
            <w:shd w:val="clear" w:color="auto" w:fill="E8ECF1"/>
          </w:tcPr>
          <w:p>
            <w:r/>
            <w:r>
              <w:rPr>
                <w:b/>
                <w:sz w:val="18"/>
              </w:rPr>
              <w:t>Variables</w:t>
            </w:r>
          </w:p>
        </w:tc>
        <w:tc>
          <w:tcPr>
            <w:tcW w:type="dxa" w:w="2448"/>
            <w:shd w:val="clear" w:color="auto" w:fill="E8ECF1"/>
          </w:tcPr>
          <w:p>
            <w:r/>
            <w:r>
              <w:rPr>
                <w:b/>
                <w:sz w:val="18"/>
              </w:rPr>
              <w:t>Audit note</w:t>
            </w:r>
          </w:p>
        </w:tc>
      </w:tr>
      <w:tr>
        <w:tc>
          <w:tcPr>
            <w:tcW w:type="dxa" w:w="1872"/>
          </w:tcPr>
          <w:p>
            <w:r/>
            <w:r>
              <w:rPr>
                <w:sz w:val="18"/>
              </w:rPr>
              <w:t>Included</w:t>
            </w:r>
          </w:p>
        </w:tc>
        <w:tc>
          <w:tcPr>
            <w:tcW w:type="dxa" w:w="5040"/>
          </w:tcPr>
          <w:p>
            <w:r/>
            <w:r>
              <w:rPr>
                <w:sz w:val="18"/>
              </w:rPr>
              <w:t>Diagnosis age; PAM50 subtype; AJCC pathologic T, N, M; histology (ductal / lobular / other); race; radiation therapy; neoadjuvant therapy; prior diagnosis</w:t>
            </w:r>
          </w:p>
        </w:tc>
        <w:tc>
          <w:tcPr>
            <w:tcW w:type="dxa" w:w="2448"/>
          </w:tcPr>
          <w:p>
            <w:r/>
            <w:r>
              <w:rPr>
                <w:sz w:val="18"/>
              </w:rPr>
              <w:t>Radiation therapy: blanks carry the outcome. NX / MX codes and race-not-recorded likewise (Section 4.4)</w:t>
            </w:r>
          </w:p>
        </w:tc>
      </w:tr>
      <w:tr>
        <w:tc>
          <w:tcPr>
            <w:tcW w:type="dxa" w:w="1872"/>
          </w:tcPr>
          <w:p>
            <w:r/>
            <w:r>
              <w:rPr>
                <w:sz w:val="18"/>
              </w:rPr>
              <w:t>Excluded: outcome-related</w:t>
            </w:r>
          </w:p>
        </w:tc>
        <w:tc>
          <w:tcPr>
            <w:tcW w:type="dxa" w:w="5040"/>
          </w:tcPr>
          <w:p>
            <w:r/>
            <w:r>
              <w:rPr>
                <w:sz w:val="18"/>
              </w:rPr>
              <w:t>OS months; DSS, DFS, PFS status and months; person neoplasm cancer status; new tumour event; days to last follow-up</w:t>
            </w:r>
          </w:p>
        </w:tc>
        <w:tc>
          <w:tcPr>
            <w:tcW w:type="dxa" w:w="2448"/>
          </w:tcPr>
          <w:p>
            <w:r/>
            <w:r>
              <w:rPr>
                <w:sz w:val="18"/>
              </w:rPr>
              <w:t>Leakage; reproduced in the leakage ladder</w:t>
            </w:r>
          </w:p>
        </w:tc>
      </w:tr>
      <w:tr>
        <w:tc>
          <w:tcPr>
            <w:tcW w:type="dxa" w:w="1872"/>
          </w:tcPr>
          <w:p>
            <w:r/>
            <w:r>
              <w:rPr>
                <w:sz w:val="18"/>
              </w:rPr>
              <w:t>Excluded: redundant or sparse</w:t>
            </w:r>
          </w:p>
        </w:tc>
        <w:tc>
          <w:tcPr>
            <w:tcW w:type="dxa" w:w="5040"/>
          </w:tcPr>
          <w:p>
            <w:r/>
            <w:r>
              <w:rPr>
                <w:sz w:val="18"/>
              </w:rPr>
              <w:t>Composite AJCC stage (used in a sensitivity model); days to birth; genetic ancestry (used in a sensitivity analysis); ethnicity (169 missing)</w:t>
            </w:r>
          </w:p>
        </w:tc>
        <w:tc>
          <w:tcPr>
            <w:tcW w:type="dxa" w:w="2448"/>
          </w:tcPr>
          <w:p>
            <w:r/>
            <w:r>
              <w:rPr>
                <w:sz w:val="18"/>
              </w:rPr>
              <w:t>Ethnicity blanks track the outcome too</w:t>
            </w:r>
          </w:p>
        </w:tc>
      </w:tr>
      <w:tr>
        <w:tc>
          <w:tcPr>
            <w:tcW w:type="dxa" w:w="1872"/>
          </w:tcPr>
          <w:p>
            <w:r/>
            <w:r>
              <w:rPr>
                <w:sz w:val="18"/>
              </w:rPr>
              <w:t>Excluded: uninformative</w:t>
            </w:r>
          </w:p>
        </w:tc>
        <w:tc>
          <w:tcPr>
            <w:tcW w:type="dxa" w:w="5040"/>
          </w:tcPr>
          <w:p>
            <w:r/>
            <w:r>
              <w:rPr>
                <w:sz w:val="18"/>
              </w:rPr>
              <w:t>Identifiers, cancer type, ICD-10, ICD-O-3 site, consent flag, form date, AJCC edition, pathway flag, weight (100 % missing), sex (98.9 % female)</w:t>
            </w:r>
          </w:p>
        </w:tc>
        <w:tc>
          <w:tcPr>
            <w:tcW w:type="dxa" w:w="2448"/>
          </w:tcPr>
          <w:p>
            <w:r/>
            <w:r>
              <w:rPr>
                <w:sz w:val="18"/>
              </w:rPr>
              <w:t>-</w:t>
            </w:r>
          </w:p>
        </w:tc>
      </w:tr>
    </w:tbl>
    <w:p>
      <w:pPr>
        <w:spacing w:after="80"/>
      </w:pPr>
    </w:p>
    <w:p>
      <w:pPr>
        <w:spacing w:after="120" w:line="276" w:lineRule="auto"/>
        <w:jc w:val="both"/>
      </w:pPr>
      <w:r>
        <w:rPr>
          <w:b w:val="0"/>
          <w:i w:val="0"/>
        </w:rPr>
        <w:t>The primary model uses T, N and M and omits the composite stage so that SHAP does not split credit between correlated variables; a sensitivity model uses stage group instead (Section 4.4).</w:t>
      </w:r>
    </w:p>
    <w:p>
      <w:pPr>
        <w:pStyle w:val="Heading3"/>
      </w:pPr>
      <w:r>
        <w:t>3.2.3 Data preprocessing</w:t>
      </w:r>
    </w:p>
    <w:p>
      <w:pPr>
        <w:spacing w:after="120" w:line="276" w:lineRule="auto"/>
        <w:jc w:val="both"/>
      </w:pPr>
      <w:r>
        <w:rPr>
          <w:b w:val="0"/>
          <w:i w:val="0"/>
        </w:rPr>
        <w:t>Technical codes (TX, NX, MX, STAGE X) and blanks are set to missing, and AJCC labels are harmonised (IIA to II, N1A to 1, T1C to 1, cM0(I+) to 0). XGBoost handles missing values natively, so no imputation is applied. Subtype is missing for 103 patients (9.5%); a complete-case sensitivity analysis checks the effect. Ordinal variables are ordinally encoded, nominal variables one-hot encoded; feature scaling is not needed for trees and is applied only inside the logistic-regression baseline. All preprocessing is fitted on training data only. An audit-hardened specification additionally drops radiation and neoadjuvant therapy and sets NX and MX to N0 and M0 (the AJCC default); it exists to quantify the documentation artefacts discussed in Section 4.4.</w:t>
      </w:r>
    </w:p>
    <w:p>
      <w:pPr>
        <w:pStyle w:val="Heading3"/>
      </w:pPr>
      <w:r>
        <w:t>3.2.4 Model development</w:t>
      </w:r>
    </w:p>
    <w:p>
      <w:pPr>
        <w:pStyle w:val="ListBullet"/>
        <w:spacing w:after="40"/>
      </w:pPr>
      <w:r>
        <w:rPr>
          <w:b/>
        </w:rPr>
        <w:t xml:space="preserve">Data split. </w:t>
      </w:r>
      <w:r>
        <w:t>Stratified 80/20 by race group x outcome: 867 development and 217 hold-out patients (the hold-out set holds 30 deaths, of which 6 in Black patients); performance is therefore reported with bootstrap 95 % confidence intervals (1,000 resamples).</w:t>
      </w:r>
    </w:p>
    <w:p>
      <w:pPr>
        <w:pStyle w:val="ListBullet"/>
        <w:spacing w:after="40"/>
      </w:pPr>
      <w:r>
        <w:rPr>
          <w:b/>
        </w:rPr>
        <w:t xml:space="preserve">Class imbalance. </w:t>
      </w:r>
      <w:r>
        <w:t>With 13.9% of patients deceased, class weighting (scale_pos_weight = negatives / positives = 6.2 in the development set) is used, not synthetic oversampling. Consequently raw scores are not probabilities; Section 4.8.5 recalibrates them.</w:t>
      </w:r>
    </w:p>
    <w:p>
      <w:pPr>
        <w:pStyle w:val="ListBullet"/>
        <w:spacing w:after="40"/>
      </w:pPr>
      <w:r>
        <w:rPr>
          <w:b/>
        </w:rPr>
        <w:t xml:space="preserve">Hyper-parameter tuning. </w:t>
      </w:r>
      <w:r>
        <w:t>Bayesian search (tree-structured Parzen estimator; Optuna), 60 trials, over learning rate, depth (1-3), number of trees, minimum child weight, subsampling and L1 / L2 regularisation, scored by repeated stratified 5-fold cross-validation (4 repeats) on the development set. The objective is aligned with the recall-first design: the lowest false-positive rate at 80 % recall.</w:t>
      </w:r>
    </w:p>
    <w:p>
      <w:pPr>
        <w:pStyle w:val="ListBullet"/>
        <w:spacing w:after="40"/>
      </w:pPr>
      <w:r>
        <w:rPr>
          <w:b/>
        </w:rPr>
        <w:t xml:space="preserve">Overfitting control. </w:t>
      </w:r>
      <w:r>
        <w:t>Regularisation, a small search space, the number of trees chosen inside cross-validation (cross-validated early stopping), and a comparison of training, cross-validated and hold-out AUC along the boosting path.</w:t>
      </w:r>
    </w:p>
    <w:p>
      <w:pPr>
        <w:pStyle w:val="ListBullet"/>
        <w:spacing w:after="40"/>
      </w:pPr>
      <w:r>
        <w:rPr>
          <w:b/>
        </w:rPr>
        <w:t xml:space="preserve">Monotone constraints. </w:t>
      </w:r>
      <w:r>
        <w:t>Larger T, N, M or stage group can never lower predicted risk, a clinical prior fixed before looking at results.</w:t>
      </w:r>
    </w:p>
    <w:p>
      <w:pPr>
        <w:pStyle w:val="ListBullet"/>
        <w:spacing w:after="40"/>
      </w:pPr>
      <w:r>
        <w:rPr>
          <w:b/>
        </w:rPr>
        <w:t xml:space="preserve">Decision threshold. </w:t>
      </w:r>
      <w:r>
        <w:t>Recall-first: the threshold is the highest score that still catches at least 80 % of deaths in out-of-fold training predictions (2 x 5-fold), and is therefore learned without any test data. The proposal's phrase "acceptable precision" is operationalised as a floor of 1.25 times the training prevalence (0.17); the chosen threshold must clear it. Alternative rules (maximum recall at the precision floor, F2, Youden, 0.5) are compared (Section 4.6).</w:t>
      </w:r>
    </w:p>
    <w:p>
      <w:pPr>
        <w:pStyle w:val="ListBullet"/>
        <w:spacing w:after="40"/>
      </w:pPr>
      <w:r>
        <w:rPr>
          <w:b/>
        </w:rPr>
        <w:t xml:space="preserve">Baselines. </w:t>
      </w:r>
      <w:r>
        <w:t>Logistic regression, random forest and a stage-only logistic model, tuned by the same repeated 5-fold CV, with thresholds from the same recall-first rule. Seeds are fixed (42).</w:t>
      </w:r>
    </w:p>
    <w:p>
      <w:pPr>
        <w:pStyle w:val="Heading3"/>
      </w:pPr>
      <w:r>
        <w:t>3.2.5 Performance evaluation</w:t>
      </w:r>
    </w:p>
    <w:p>
      <w:pPr>
        <w:spacing w:after="120" w:line="276" w:lineRule="auto"/>
        <w:jc w:val="both"/>
      </w:pPr>
      <w:r>
        <w:rPr>
          <w:b w:val="0"/>
          <w:i w:val="0"/>
        </w:rPr>
        <w:t>The final model is evaluated once on the hold-out set with accuracy, precision, recall, F1-score, AUC-ROC and PR-AUC, a confusion matrix, and bootstrap confidence intervals. Because 86% of patients are living, a model that always predicts "living" has about 86% accuracy on the hold-out set, so accuracy is interpreted against that baseline and recall, PR-AUC (no-skill value equal to the prevalence) and balanced accuracy are emphasised. Because a single hold-out set holds only 30 deaths, the headline operating characteristics are also estimated by 5 x 5-fold repeated cross-validation over all patients, in which every threshold is learned inside the training folds.</w:t>
      </w:r>
    </w:p>
    <w:p>
      <w:pPr>
        <w:pStyle w:val="Heading3"/>
      </w:pPr>
      <w:r>
        <w:t>3.2.6 Explainability integration</w:t>
      </w:r>
    </w:p>
    <w:p>
      <w:pPr>
        <w:spacing w:after="120" w:line="276" w:lineRule="auto"/>
        <w:jc w:val="both"/>
      </w:pPr>
      <w:r>
        <w:rPr>
          <w:b w:val="0"/>
          <w:i w:val="0"/>
        </w:rPr>
        <w:t>TreeSHAP (Lundberg et al., 2020) is applied to the final model. Global explanations use summary (beeswarm) and mean-absolute-SHAP plots; dependence plots show how feature values act; local explanations use waterfall plots for a true positive, a false negative and a true negative. The explanations are assessed as follows.</w:t>
      </w:r>
    </w:p>
    <w:p>
      <w:pPr>
        <w:pStyle w:val="ListBullet"/>
        <w:spacing w:after="40"/>
      </w:pPr>
      <w:r>
        <w:rPr>
          <w:b/>
        </w:rPr>
        <w:t xml:space="preserve">Fidelity. </w:t>
      </w:r>
      <w:r>
        <w:t>Base value plus the sum of SHAP values must reproduce the model margin for every patient (local accuracy). A deletion test supplements this guarantee with a faithfulness check: blanking each patient's k most-attributed features should lower AUC more than blanking k random features.</w:t>
      </w:r>
    </w:p>
    <w:p>
      <w:pPr>
        <w:pStyle w:val="ListBullet"/>
        <w:spacing w:after="40"/>
      </w:pPr>
      <w:r>
        <w:rPr>
          <w:b/>
        </w:rPr>
        <w:t xml:space="preserve">Stability. </w:t>
      </w:r>
      <w:r>
        <w:t>Spearman rank correlation of global importance across ten cross-validation fold models and across 100 bootstrap refits, and agreement with XGBoost's built-in gain, weight and cover importances.</w:t>
      </w:r>
    </w:p>
    <w:p>
      <w:pPr>
        <w:pStyle w:val="ListBullet"/>
        <w:spacing w:after="40"/>
      </w:pPr>
      <w:r>
        <w:rPr>
          <w:b/>
        </w:rPr>
        <w:t xml:space="preserve">Clinical alignment. </w:t>
      </w:r>
      <w:r>
        <w:t>Comparison of the top-ranked features with established prognostic factors (age, nodal status, tumour size, metastasis, molecular subtype), and a check that the direction of each staging effect matches clinical expectation.</w:t>
      </w:r>
    </w:p>
    <w:p>
      <w:pPr>
        <w:pStyle w:val="ListBullet"/>
        <w:spacing w:after="40"/>
      </w:pPr>
      <w:r>
        <w:rPr>
          <w:b/>
        </w:rPr>
        <w:t xml:space="preserve">Fairness check. </w:t>
      </w:r>
      <w:r>
        <w:t>The SHAP attribution carried by the race columns, separately for patients whose race is recorded and not recorded.</w:t>
      </w:r>
    </w:p>
    <w:p>
      <w:pPr>
        <w:pStyle w:val="Heading3"/>
      </w:pPr>
      <w:r>
        <w:t>3.2.7 Fairness audit and bias mitigation (extension)</w:t>
      </w:r>
    </w:p>
    <w:p>
      <w:pPr>
        <w:spacing w:after="120" w:line="276" w:lineRule="auto"/>
        <w:jc w:val="both"/>
      </w:pPr>
      <w:r>
        <w:rPr>
          <w:b w:val="0"/>
          <w:i w:val="0"/>
        </w:rPr>
        <w:t>White patients are the reference group and Black patients the focus group. The primary criterion is equal opportunity (Hardt et al., 2016): among patients who die, the share flagged (recall) should not depend on race. Secondary criteria are the false-alarm rate among survivors, the equalised-odds difference (the larger absolute gap), discrimination within each group (AUC) and calibration within each group after one shared recalibration. Gaps are Black minus White. Five strategies are compared (Table 3.3); reweighing follows Kamiran and Calders (2012) and group thresholds are the post-processing route to equal opportunity.</w:t>
      </w:r>
    </w:p>
    <w:p>
      <w:pPr>
        <w:spacing w:after="160"/>
      </w:pPr>
      <w:r>
        <w:rPr>
          <w:b/>
          <w:sz w:val="21"/>
        </w:rPr>
        <w:t>Table 3.3: Strategies compared (same XGBoost settings)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E8ECF1"/>
          </w:tcPr>
          <w:p>
            <w:r/>
            <w:r>
              <w:rPr>
                <w:b/>
                <w:sz w:val="18"/>
              </w:rPr>
              <w:t>Strategy</w:t>
            </w:r>
          </w:p>
        </w:tc>
        <w:tc>
          <w:tcPr>
            <w:tcW w:type="dxa" w:w="1584"/>
            <w:shd w:val="clear" w:color="auto" w:fill="E8ECF1"/>
          </w:tcPr>
          <w:p>
            <w:r/>
            <w:r>
              <w:rPr>
                <w:b/>
                <w:sz w:val="18"/>
              </w:rPr>
              <w:t>Family</w:t>
            </w:r>
          </w:p>
        </w:tc>
        <w:tc>
          <w:tcPr>
            <w:tcW w:type="dxa" w:w="5040"/>
            <w:shd w:val="clear" w:color="auto" w:fill="E8ECF1"/>
          </w:tcPr>
          <w:p>
            <w:r/>
            <w:r>
              <w:rPr>
                <w:b/>
                <w:sz w:val="18"/>
              </w:rPr>
              <w:t>Description</w:t>
            </w:r>
          </w:p>
        </w:tc>
      </w:tr>
      <w:tr>
        <w:tc>
          <w:tcPr>
            <w:tcW w:type="dxa" w:w="2736"/>
          </w:tcPr>
          <w:p>
            <w:r/>
            <w:r>
              <w:rPr>
                <w:sz w:val="18"/>
              </w:rPr>
              <w:t>Baseline (race-aware)</w:t>
            </w:r>
          </w:p>
        </w:tc>
        <w:tc>
          <w:tcPr>
            <w:tcW w:type="dxa" w:w="1584"/>
          </w:tcPr>
          <w:p>
            <w:r/>
            <w:r>
              <w:rPr>
                <w:sz w:val="18"/>
              </w:rPr>
              <w:t>baseline</w:t>
            </w:r>
          </w:p>
        </w:tc>
        <w:tc>
          <w:tcPr>
            <w:tcW w:type="dxa" w:w="5040"/>
          </w:tcPr>
          <w:p>
            <w:r/>
            <w:r>
              <w:rPr>
                <w:sz w:val="18"/>
              </w:rPr>
              <w:t>Race is a model input, as in the proposal's predictor list; a single recall-first threshold.</w:t>
            </w:r>
          </w:p>
        </w:tc>
      </w:tr>
      <w:tr>
        <w:tc>
          <w:tcPr>
            <w:tcW w:type="dxa" w:w="2736"/>
          </w:tcPr>
          <w:p>
            <w:r/>
            <w:r>
              <w:rPr>
                <w:sz w:val="18"/>
              </w:rPr>
              <w:t>Race-blind</w:t>
            </w:r>
          </w:p>
        </w:tc>
        <w:tc>
          <w:tcPr>
            <w:tcW w:type="dxa" w:w="1584"/>
          </w:tcPr>
          <w:p>
            <w:r/>
            <w:r>
              <w:rPr>
                <w:sz w:val="18"/>
              </w:rPr>
              <w:t>unawareness</w:t>
            </w:r>
          </w:p>
        </w:tc>
        <w:tc>
          <w:tcPr>
            <w:tcW w:type="dxa" w:w="5040"/>
          </w:tcPr>
          <w:p>
            <w:r/>
            <w:r>
              <w:rPr>
                <w:sz w:val="18"/>
              </w:rPr>
              <w:t>Fairness through unawareness: the race columns are removed.</w:t>
            </w:r>
          </w:p>
        </w:tc>
      </w:tr>
      <w:tr>
        <w:tc>
          <w:tcPr>
            <w:tcW w:type="dxa" w:w="2736"/>
          </w:tcPr>
          <w:p>
            <w:r/>
            <w:r>
              <w:rPr>
                <w:sz w:val="18"/>
              </w:rPr>
              <w:t>Reweighing</w:t>
            </w:r>
          </w:p>
        </w:tc>
        <w:tc>
          <w:tcPr>
            <w:tcW w:type="dxa" w:w="1584"/>
          </w:tcPr>
          <w:p>
            <w:r/>
            <w:r>
              <w:rPr>
                <w:sz w:val="18"/>
              </w:rPr>
              <w:t>pre-processing</w:t>
            </w:r>
          </w:p>
        </w:tc>
        <w:tc>
          <w:tcPr>
            <w:tcW w:type="dxa" w:w="5040"/>
          </w:tcPr>
          <w:p>
            <w:r/>
            <w:r>
              <w:rPr>
                <w:sz w:val="18"/>
              </w:rPr>
              <w:t>Training rows re-weighted so race and outcome are independent; no race needed at prediction time.</w:t>
            </w:r>
          </w:p>
        </w:tc>
      </w:tr>
      <w:tr>
        <w:tc>
          <w:tcPr>
            <w:tcW w:type="dxa" w:w="2736"/>
          </w:tcPr>
          <w:p>
            <w:r/>
            <w:r>
              <w:rPr>
                <w:sz w:val="18"/>
              </w:rPr>
              <w:t>Group thresholds</w:t>
            </w:r>
          </w:p>
        </w:tc>
        <w:tc>
          <w:tcPr>
            <w:tcW w:type="dxa" w:w="1584"/>
          </w:tcPr>
          <w:p>
            <w:r/>
            <w:r>
              <w:rPr>
                <w:sz w:val="18"/>
              </w:rPr>
              <w:t>post-processing</w:t>
            </w:r>
          </w:p>
        </w:tc>
        <w:tc>
          <w:tcPr>
            <w:tcW w:type="dxa" w:w="5040"/>
          </w:tcPr>
          <w:p>
            <w:r/>
            <w:r>
              <w:rPr>
                <w:sz w:val="18"/>
              </w:rPr>
              <w:t>Black and White patients get their own threshold so that both reach the target recall.</w:t>
            </w:r>
          </w:p>
        </w:tc>
      </w:tr>
      <w:tr>
        <w:tc>
          <w:tcPr>
            <w:tcW w:type="dxa" w:w="2736"/>
          </w:tcPr>
          <w:p>
            <w:r/>
            <w:r>
              <w:rPr>
                <w:sz w:val="18"/>
              </w:rPr>
              <w:t>Reweighing + group thresholds</w:t>
            </w:r>
          </w:p>
        </w:tc>
        <w:tc>
          <w:tcPr>
            <w:tcW w:type="dxa" w:w="1584"/>
          </w:tcPr>
          <w:p>
            <w:r/>
            <w:r>
              <w:rPr>
                <w:sz w:val="18"/>
              </w:rPr>
              <w:t>combined</w:t>
            </w:r>
          </w:p>
        </w:tc>
        <w:tc>
          <w:tcPr>
            <w:tcW w:type="dxa" w:w="5040"/>
          </w:tcPr>
          <w:p>
            <w:r/>
            <w:r>
              <w:rPr>
                <w:sz w:val="18"/>
              </w:rPr>
              <w:t>Pre- and post-processing together.</w:t>
            </w:r>
          </w:p>
        </w:tc>
      </w:tr>
    </w:tbl>
    <w:p>
      <w:pPr>
        <w:spacing w:after="80"/>
      </w:pPr>
    </w:p>
    <w:p>
      <w:pPr>
        <w:spacing w:after="120" w:line="276" w:lineRule="auto"/>
        <w:jc w:val="both"/>
      </w:pPr>
      <w:r>
        <w:rPr>
          <w:b w:val="0"/>
          <w:i w:val="0"/>
        </w:rPr>
        <w:t>Uncertainty. With 30 Black deaths a recall estimate carries a margin of about 15 percentage points. Rates therefore carry 95 % percentile bootstrap intervals (1,000 resamples stratified by group) over 5 x 5-fold cross-validated decisions, and differences between strategies use a paired bootstrap on identical resamples (Efron and Tibshirani, 1993). Sensitivity analyses: the recall target (70-95 %); restricting evaluation to patients whose outcome is settled (died, or followed at least 24, 36 or 60 months); defining groups by genetic ancestry (Carrot-Zhang et al., 2020) instead of self-reported race.</w:t>
      </w:r>
    </w:p>
    <w:p>
      <w:pPr>
        <w:pStyle w:val="Heading3"/>
      </w:pPr>
      <w:r>
        <w:t>3.2.8 Physician user study (Objective 4)</w:t>
      </w:r>
    </w:p>
    <w:p>
      <w:pPr>
        <w:spacing w:after="120" w:line="276" w:lineRule="auto"/>
        <w:jc w:val="both"/>
      </w:pPr>
      <w:r>
        <w:rPr>
          <w:b w:val="0"/>
          <w:i w:val="0"/>
        </w:rPr>
        <w:t>The design follows the revised proposal. Participants: 15 to 30 practising oncologists, pathologists, radiologists and breast surgeons recruited by purposive sampling (exploratory). Design: within-subject; each participant reviews 12 real, de-identified, typical cases (six Black, six White; balanced by outcome and by model flag), six as condition A (predicted risk and recommendation only) and six as condition B (the same plus a SHAP waterfall), with assignment mirrored across consecutive participants and case order randomised. Instrument: six 5-point Likert items (understandability, usefulness, confidence, trust, plausibility, intention to act) adapted from the explanation-satisfaction and trust scales of Hoffman et al. (2018), a follow-up decision, and open questions. Analysis: participant-level means, Wilcoxon signed-rank tests for B versus A with Holm correction, rank-biserial effect sizes, bootstrap intervals, and thematic analysis of free text. With 20 participants the test detects only large effects (about r = 0.6 at 80 % power). The kit (case cards, design table, questionnaire, response template and analysis script, tested on synthetic data) is in the userstudy folder. No participant data exist yet.</w:t>
      </w:r>
    </w:p>
    <w:p>
      <w:pPr>
        <w:pStyle w:val="Heading3"/>
      </w:pPr>
      <w:r>
        <w:t>3.2.9 Conceptual framework design</w:t>
      </w:r>
    </w:p>
    <w:p>
      <w:pPr>
        <w:spacing w:after="120" w:line="276" w:lineRule="auto"/>
        <w:jc w:val="both"/>
      </w:pPr>
      <w:r>
        <w:rPr>
          <w:b w:val="0"/>
          <w:i w:val="0"/>
        </w:rPr>
        <w:t>Using Sections 3.2.4 to 3.2.8, a conceptual framework shows where SHAP fits in a clinical decision-support pipeline: data input, risk prediction, explanation, clinician review, decision and feedback (Figure 3.2). Two additional gates came out of the implementation: a governance gate before data enter the model, and trust checks (fidelity, stability, direction, race attribution) before explanations reach a clinician. The framework is conceptual; it is not deployed or clinically validated.</w:t>
      </w:r>
    </w:p>
    <w:p>
      <w:pPr>
        <w:jc w:val="center"/>
      </w:pPr>
      <w:r>
        <w:drawing>
          <wp:inline xmlns:a="http://schemas.openxmlformats.org/drawingml/2006/main" xmlns:pic="http://schemas.openxmlformats.org/drawingml/2006/picture">
            <wp:extent cx="5852160" cy="2302963"/>
            <wp:docPr id="2" name="Picture 2"/>
            <wp:cNvGraphicFramePr>
              <a:graphicFrameLocks noChangeAspect="1"/>
            </wp:cNvGraphicFramePr>
            <a:graphic>
              <a:graphicData uri="http://schemas.openxmlformats.org/drawingml/2006/picture">
                <pic:pic>
                  <pic:nvPicPr>
                    <pic:cNvPr id="0" name="20_conceptual_framework.png"/>
                    <pic:cNvPicPr/>
                  </pic:nvPicPr>
                  <pic:blipFill>
                    <a:blip r:embed="rId11"/>
                    <a:stretch>
                      <a:fillRect/>
                    </a:stretch>
                  </pic:blipFill>
                  <pic:spPr>
                    <a:xfrm>
                      <a:off x="0" y="0"/>
                      <a:ext cx="5852160" cy="2302963"/>
                    </a:xfrm>
                    <a:prstGeom prst="rect"/>
                  </pic:spPr>
                </pic:pic>
              </a:graphicData>
            </a:graphic>
          </wp:inline>
        </w:drawing>
      </w:r>
    </w:p>
    <w:p>
      <w:pPr>
        <w:spacing w:after="160"/>
        <w:jc w:val="center"/>
      </w:pPr>
      <w:r>
        <w:rPr>
          <w:b/>
          <w:sz w:val="21"/>
        </w:rPr>
        <w:t>Figure 3.2: Conceptual framework: SHAP in a clinical decision-support pipeline, with governance and monitoring gates</w:t>
      </w:r>
    </w:p>
    <w:p>
      <w:pPr>
        <w:pStyle w:val="Heading3"/>
      </w:pPr>
      <w:r>
        <w:t>3.2.10 Discussion, implications and contributions</w:t>
      </w:r>
    </w:p>
    <w:p>
      <w:pPr>
        <w:spacing w:after="120" w:line="276" w:lineRule="auto"/>
        <w:jc w:val="both"/>
      </w:pPr>
      <w:r>
        <w:rPr>
          <w:b w:val="0"/>
          <w:i w:val="0"/>
        </w:rPr>
        <w:t>Quantitative results (performance, SHAP quality, fairness) and, when available, user-study findings are synthesised in Chapters 4 and 5.</w:t>
      </w:r>
    </w:p>
    <w:p>
      <w:pPr>
        <w:pStyle w:val="Heading3"/>
      </w:pPr>
      <w:r>
        <w:t>3.2.11 Ethical considerations</w:t>
      </w:r>
    </w:p>
    <w:p>
      <w:pPr>
        <w:spacing w:after="120" w:line="276" w:lineRule="auto"/>
        <w:jc w:val="both"/>
      </w:pPr>
      <w:r>
        <w:rPr>
          <w:b w:val="0"/>
          <w:i w:val="0"/>
        </w:rPr>
        <w:t>The TCGA data are public and de-identified; no re-identification is attempted. Ethical approval will be sought from the relevant institutional review board before the user study, participants will give informed consent, take part voluntarily and anonymously, and responses will be stored securely and reported in aggregate, in line with the Nigeria Data Protection Act (2023) and with reference to GDPR and HIPAA. The model is positioned as decision support and not as a replacement for clinical judgement. Race is used as an audit variable and, as in the proposal, as a predictor whose contribution is tested; no biological effect of race is claimed, and strategies that need race at prediction time are labelled as such.</w:t>
      </w:r>
    </w:p>
    <w:p>
      <w:pPr>
        <w:pStyle w:val="Heading3"/>
      </w:pPr>
      <w:r>
        <w:t>3.2.12 Methodological limitations</w:t>
      </w:r>
    </w:p>
    <w:p>
      <w:pPr>
        <w:spacing w:after="120" w:line="276" w:lineRule="auto"/>
        <w:jc w:val="both"/>
      </w:pPr>
      <w:r>
        <w:rPr>
          <w:b w:val="0"/>
          <w:i w:val="0"/>
        </w:rPr>
        <w:t>Variable follow-up (median 27 months, maximum 283; 79% of living patients under 60 months) means a binary status ignores censoring; Section 4.8.6 quantifies this with settled-outcome analyses and an exploratory survival model (Harrell C-index 0.74 for XGBoost with a Cox objective against 0.72 for the binary score; formal survival modelling remains future work). Overall survival includes non-cancer deaths. Clinical variables give moderate discrimination, so the main contribution lies in interpretability and the audit. The cohort is a single, predominantly European-ancestry study.</w:t>
      </w:r>
    </w:p>
    <w:p>
      <w:pPr>
        <w:pStyle w:val="Heading2"/>
      </w:pPr>
      <w:r>
        <w:t>3.3 Expected outcomes</w:t>
      </w:r>
    </w:p>
    <w:p>
      <w:pPr>
        <w:pStyle w:val="ListBullet"/>
        <w:spacing w:after="40"/>
      </w:pPr>
      <w:r>
        <w:t>A tuned XGBoost model with documented handling of imbalance, overfitting and leakage.</w:t>
      </w:r>
    </w:p>
    <w:p>
      <w:pPr>
        <w:pStyle w:val="ListBullet"/>
        <w:spacing w:after="40"/>
      </w:pPr>
      <w:r>
        <w:t>A quantitative evaluation with bootstrap intervals and baselines.</w:t>
      </w:r>
    </w:p>
    <w:p>
      <w:pPr>
        <w:pStyle w:val="ListBullet"/>
        <w:spacing w:after="40"/>
      </w:pPr>
      <w:r>
        <w:t>Interpretable SHAP explanations with fidelity, stability and clinical-alignment evidence.</w:t>
      </w:r>
    </w:p>
    <w:p>
      <w:pPr>
        <w:pStyle w:val="ListBullet"/>
        <w:spacing w:after="40"/>
      </w:pPr>
      <w:r>
        <w:t>Evidence from the physician study on interpretability and trust (pending).</w:t>
      </w:r>
    </w:p>
    <w:p>
      <w:pPr>
        <w:pStyle w:val="ListBullet"/>
        <w:spacing w:after="40"/>
      </w:pPr>
      <w:r>
        <w:t>A conceptual framework for SHAP in clinical prognostic pipelines.</w:t>
      </w:r>
    </w:p>
    <w:p>
      <w:pPr>
        <w:pStyle w:val="ListBullet"/>
        <w:spacing w:after="40"/>
      </w:pPr>
      <w:r>
        <w:t>An audit of racial fairness and of bias-mitigation options.</w:t>
      </w:r>
    </w:p>
    <w:p>
      <w:pPr>
        <w:pStyle w:val="Heading2"/>
      </w:pPr>
      <w:r>
        <w:t>3.4 Implementation, software and reproducibility</w:t>
      </w:r>
    </w:p>
    <w:p>
      <w:pPr>
        <w:spacing w:after="160"/>
      </w:pPr>
      <w:r>
        <w:rPr>
          <w:b/>
          <w:sz w:val="21"/>
        </w:rPr>
        <w:t>Table 3.4: Software environment</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E8ECF1"/>
          </w:tcPr>
          <w:p>
            <w:r/>
            <w:r>
              <w:rPr>
                <w:b/>
                <w:sz w:val="18"/>
              </w:rPr>
              <w:t>Component</w:t>
            </w:r>
          </w:p>
        </w:tc>
        <w:tc>
          <w:tcPr>
            <w:tcW w:type="dxa" w:w="6480"/>
            <w:shd w:val="clear" w:color="auto" w:fill="E8ECF1"/>
          </w:tcPr>
          <w:p>
            <w:r/>
            <w:r>
              <w:rPr>
                <w:b/>
                <w:sz w:val="18"/>
              </w:rPr>
              <w:t>Version / role</w:t>
            </w:r>
          </w:p>
        </w:tc>
      </w:tr>
      <w:tr>
        <w:tc>
          <w:tcPr>
            <w:tcW w:type="dxa" w:w="2880"/>
          </w:tcPr>
          <w:p>
            <w:r/>
            <w:r>
              <w:rPr>
                <w:sz w:val="18"/>
              </w:rPr>
              <w:t>Python</w:t>
            </w:r>
          </w:p>
        </w:tc>
        <w:tc>
          <w:tcPr>
            <w:tcW w:type="dxa" w:w="6480"/>
          </w:tcPr>
          <w:p>
            <w:r/>
            <w:r>
              <w:rPr>
                <w:sz w:val="18"/>
              </w:rPr>
              <w:t>3.12</w:t>
            </w:r>
          </w:p>
        </w:tc>
      </w:tr>
      <w:tr>
        <w:tc>
          <w:tcPr>
            <w:tcW w:type="dxa" w:w="2880"/>
          </w:tcPr>
          <w:p>
            <w:r/>
            <w:r>
              <w:rPr>
                <w:sz w:val="18"/>
              </w:rPr>
              <w:t>xgboost</w:t>
            </w:r>
          </w:p>
        </w:tc>
        <w:tc>
          <w:tcPr>
            <w:tcW w:type="dxa" w:w="6480"/>
          </w:tcPr>
          <w:p>
            <w:r/>
            <w:r>
              <w:rPr>
                <w:sz w:val="18"/>
              </w:rPr>
              <w:t>3.2.0</w:t>
            </w:r>
          </w:p>
        </w:tc>
      </w:tr>
      <w:tr>
        <w:tc>
          <w:tcPr>
            <w:tcW w:type="dxa" w:w="2880"/>
          </w:tcPr>
          <w:p>
            <w:r/>
            <w:r>
              <w:rPr>
                <w:sz w:val="18"/>
              </w:rPr>
              <w:t>shap</w:t>
            </w:r>
          </w:p>
        </w:tc>
        <w:tc>
          <w:tcPr>
            <w:tcW w:type="dxa" w:w="6480"/>
          </w:tcPr>
          <w:p>
            <w:r/>
            <w:r>
              <w:rPr>
                <w:sz w:val="18"/>
              </w:rPr>
              <w:t>0.53.0</w:t>
            </w:r>
          </w:p>
        </w:tc>
      </w:tr>
      <w:tr>
        <w:tc>
          <w:tcPr>
            <w:tcW w:type="dxa" w:w="2880"/>
          </w:tcPr>
          <w:p>
            <w:r/>
            <w:r>
              <w:rPr>
                <w:sz w:val="18"/>
              </w:rPr>
              <w:t>scikit-learn</w:t>
            </w:r>
          </w:p>
        </w:tc>
        <w:tc>
          <w:tcPr>
            <w:tcW w:type="dxa" w:w="6480"/>
          </w:tcPr>
          <w:p>
            <w:r/>
            <w:r>
              <w:rPr>
                <w:sz w:val="18"/>
              </w:rPr>
              <w:t>1.8.0</w:t>
            </w:r>
          </w:p>
        </w:tc>
      </w:tr>
      <w:tr>
        <w:tc>
          <w:tcPr>
            <w:tcW w:type="dxa" w:w="2880"/>
          </w:tcPr>
          <w:p>
            <w:r/>
            <w:r>
              <w:rPr>
                <w:sz w:val="18"/>
              </w:rPr>
              <w:t>optuna</w:t>
            </w:r>
          </w:p>
        </w:tc>
        <w:tc>
          <w:tcPr>
            <w:tcW w:type="dxa" w:w="6480"/>
          </w:tcPr>
          <w:p>
            <w:r/>
            <w:r>
              <w:rPr>
                <w:sz w:val="18"/>
              </w:rPr>
              <w:t>5.0.0</w:t>
            </w:r>
          </w:p>
        </w:tc>
      </w:tr>
      <w:tr>
        <w:tc>
          <w:tcPr>
            <w:tcW w:type="dxa" w:w="2880"/>
          </w:tcPr>
          <w:p>
            <w:r/>
            <w:r>
              <w:rPr>
                <w:sz w:val="18"/>
              </w:rPr>
              <w:t>pandas</w:t>
            </w:r>
          </w:p>
        </w:tc>
        <w:tc>
          <w:tcPr>
            <w:tcW w:type="dxa" w:w="6480"/>
          </w:tcPr>
          <w:p>
            <w:r/>
            <w:r>
              <w:rPr>
                <w:sz w:val="18"/>
              </w:rPr>
              <w:t>3.0.2</w:t>
            </w:r>
          </w:p>
        </w:tc>
      </w:tr>
      <w:tr>
        <w:tc>
          <w:tcPr>
            <w:tcW w:type="dxa" w:w="2880"/>
          </w:tcPr>
          <w:p>
            <w:r/>
            <w:r>
              <w:rPr>
                <w:sz w:val="18"/>
              </w:rPr>
              <w:t>Streamlit / Plotly</w:t>
            </w:r>
          </w:p>
        </w:tc>
        <w:tc>
          <w:tcPr>
            <w:tcW w:type="dxa" w:w="6480"/>
          </w:tcPr>
          <w:p>
            <w:r/>
            <w:r>
              <w:rPr>
                <w:sz w:val="18"/>
              </w:rPr>
              <w:t>dashboard</w:t>
            </w:r>
          </w:p>
        </w:tc>
      </w:tr>
      <w:tr>
        <w:tc>
          <w:tcPr>
            <w:tcW w:type="dxa" w:w="2880"/>
          </w:tcPr>
          <w:p>
            <w:r/>
            <w:r>
              <w:rPr>
                <w:sz w:val="18"/>
              </w:rPr>
              <w:t>python-docx</w:t>
            </w:r>
          </w:p>
        </w:tc>
        <w:tc>
          <w:tcPr>
            <w:tcW w:type="dxa" w:w="6480"/>
          </w:tcPr>
          <w:p>
            <w:r/>
            <w:r>
              <w:rPr>
                <w:sz w:val="18"/>
              </w:rPr>
              <w:t>document builder</w:t>
            </w:r>
          </w:p>
        </w:tc>
      </w:tr>
    </w:tbl>
    <w:p>
      <w:pPr>
        <w:spacing w:after="80"/>
      </w:pPr>
    </w:p>
    <w:p>
      <w:pPr>
        <w:spacing w:after="120" w:line="276" w:lineRule="auto"/>
        <w:jc w:val="both"/>
      </w:pPr>
      <w:r>
        <w:rPr>
          <w:b w:val="0"/>
          <w:i w:val="0"/>
        </w:rPr>
        <w:t>One command (python run_pipeline.py) regenerates every table, figure and model for both specifications; the notebook, the dashboard and these chapters read the same artifacts.</w:t>
      </w:r>
    </w:p>
    <w:p>
      <w:pPr>
        <w:pStyle w:val="Heading2"/>
      </w:pPr>
      <w:r>
        <w:t>3.5 Resources required</w:t>
      </w:r>
    </w:p>
    <w:p>
      <w:pPr>
        <w:pStyle w:val="ListBullet"/>
        <w:spacing w:after="40"/>
      </w:pPr>
      <w:r>
        <w:t>Access to the clinical dataset (public).</w:t>
      </w:r>
    </w:p>
    <w:p>
      <w:pPr>
        <w:pStyle w:val="ListBullet"/>
        <w:spacing w:after="40"/>
      </w:pPr>
      <w:r>
        <w:t>A laptop-class computer (the full study runs in about 15 minutes).</w:t>
      </w:r>
    </w:p>
    <w:p>
      <w:pPr>
        <w:pStyle w:val="ListBullet"/>
        <w:spacing w:after="40"/>
      </w:pPr>
      <w:r>
        <w:t>Collaboration with healthcare institutions for the user study.</w:t>
      </w:r>
    </w:p>
    <w:p>
      <w:r>
        <w:br w:type="page"/>
      </w:r>
    </w:p>
    <w:p>
      <w:pPr>
        <w:pStyle w:val="Heading1"/>
      </w:pPr>
      <w:r>
        <w:t>4.0 Implementation and Results</w:t>
      </w:r>
    </w:p>
    <w:p>
      <w:pPr>
        <w:pStyle w:val="Heading2"/>
      </w:pPr>
      <w:r>
        <w:t>4.1 Introduction</w:t>
      </w:r>
    </w:p>
    <w:p>
      <w:pPr>
        <w:spacing w:after="120" w:line="276" w:lineRule="auto"/>
        <w:jc w:val="both"/>
      </w:pPr>
      <w:r>
        <w:rPr>
          <w:b w:val="0"/>
          <w:i w:val="0"/>
        </w:rPr>
        <w:t>This chapter reports what was built and found. Sections 4.3 and 4.4 describe the cohort and the data audit; 4.5 to 4.7 the model, its performance and its explanations (Objectives 1 to 3); 4.8 the fairness extension; 4.9 the audit-hardened specification; 4.10 the dashboard, user-study kit and framework (Objectives 4 and 5); and 4.11 a discussion. Unless stated, intervals are 95 % intervals and gaps are Black minus White.</w:t>
      </w:r>
    </w:p>
    <w:p>
      <w:pPr>
        <w:pStyle w:val="Heading2"/>
      </w:pPr>
      <w:r>
        <w:t>4.2 Implementation environment</w:t>
      </w:r>
    </w:p>
    <w:p>
      <w:pPr>
        <w:spacing w:after="120" w:line="276" w:lineRule="auto"/>
        <w:jc w:val="both"/>
      </w:pPr>
      <w:r>
        <w:rPr>
          <w:b w:val="0"/>
          <w:i w:val="0"/>
        </w:rPr>
        <w:t>The code is a Python package (src/brca_xai: data, audit, modeling, evaluate, fairness, explain, plots, pipeline), a command-line runner, an executed Jupyter notebook, a Streamlit dashboard and builders for these chapters. All use the same functions, so a patient's schema is defined once.</w:t>
      </w:r>
    </w:p>
    <w:p>
      <w:pPr>
        <w:pStyle w:val="Heading2"/>
      </w:pPr>
      <w:r>
        <w:t>4.3 Cohort description</w:t>
      </w:r>
    </w:p>
    <w:p>
      <w:pPr>
        <w:spacing w:after="160"/>
      </w:pPr>
      <w:r>
        <w:rPr>
          <w:b/>
          <w:sz w:val="21"/>
        </w:rPr>
        <w:t>Table 4.1: Characteristics of the cohort by race group ("Other" = Asian, Native American, race not recorded)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E8ECF1"/>
          </w:tcPr>
          <w:p>
            <w:r/>
            <w:r>
              <w:rPr>
                <w:b/>
                <w:sz w:val="16"/>
              </w:rPr>
              <w:t>characteristic</w:t>
            </w:r>
          </w:p>
        </w:tc>
        <w:tc>
          <w:tcPr>
            <w:tcW w:type="dxa" w:w="1584"/>
            <w:shd w:val="clear" w:color="auto" w:fill="E8ECF1"/>
          </w:tcPr>
          <w:p>
            <w:r/>
            <w:r>
              <w:rPr>
                <w:b/>
                <w:sz w:val="16"/>
              </w:rPr>
              <w:t>All</w:t>
            </w:r>
          </w:p>
        </w:tc>
        <w:tc>
          <w:tcPr>
            <w:tcW w:type="dxa" w:w="1584"/>
            <w:shd w:val="clear" w:color="auto" w:fill="E8ECF1"/>
          </w:tcPr>
          <w:p>
            <w:r/>
            <w:r>
              <w:rPr>
                <w:b/>
                <w:sz w:val="16"/>
              </w:rPr>
              <w:t>White</w:t>
            </w:r>
          </w:p>
        </w:tc>
        <w:tc>
          <w:tcPr>
            <w:tcW w:type="dxa" w:w="1584"/>
            <w:shd w:val="clear" w:color="auto" w:fill="E8ECF1"/>
          </w:tcPr>
          <w:p>
            <w:r/>
            <w:r>
              <w:rPr>
                <w:b/>
                <w:sz w:val="16"/>
              </w:rPr>
              <w:t>Black</w:t>
            </w:r>
          </w:p>
        </w:tc>
        <w:tc>
          <w:tcPr>
            <w:tcW w:type="dxa" w:w="1584"/>
            <w:shd w:val="clear" w:color="auto" w:fill="E8ECF1"/>
          </w:tcPr>
          <w:p>
            <w:r/>
            <w:r>
              <w:rPr>
                <w:b/>
                <w:sz w:val="16"/>
              </w:rPr>
              <w:t>Other</w:t>
            </w:r>
          </w:p>
        </w:tc>
      </w:tr>
      <w:tr>
        <w:tc>
          <w:tcPr>
            <w:tcW w:type="dxa" w:w="3168"/>
          </w:tcPr>
          <w:p>
            <w:r/>
            <w:r>
              <w:rPr>
                <w:sz w:val="16"/>
              </w:rPr>
              <w:t>Patients, n</w:t>
            </w:r>
          </w:p>
        </w:tc>
        <w:tc>
          <w:tcPr>
            <w:tcW w:type="dxa" w:w="1584"/>
          </w:tcPr>
          <w:p>
            <w:r/>
            <w:r>
              <w:rPr>
                <w:sz w:val="16"/>
              </w:rPr>
              <w:t>1084</w:t>
            </w:r>
          </w:p>
        </w:tc>
        <w:tc>
          <w:tcPr>
            <w:tcW w:type="dxa" w:w="1584"/>
          </w:tcPr>
          <w:p>
            <w:r/>
            <w:r>
              <w:rPr>
                <w:sz w:val="16"/>
              </w:rPr>
              <w:t>751</w:t>
            </w:r>
          </w:p>
        </w:tc>
        <w:tc>
          <w:tcPr>
            <w:tcW w:type="dxa" w:w="1584"/>
          </w:tcPr>
          <w:p>
            <w:r/>
            <w:r>
              <w:rPr>
                <w:sz w:val="16"/>
              </w:rPr>
              <w:t>182</w:t>
            </w:r>
          </w:p>
        </w:tc>
        <w:tc>
          <w:tcPr>
            <w:tcW w:type="dxa" w:w="1584"/>
          </w:tcPr>
          <w:p>
            <w:r/>
            <w:r>
              <w:rPr>
                <w:sz w:val="16"/>
              </w:rPr>
              <w:t>151</w:t>
            </w:r>
          </w:p>
        </w:tc>
      </w:tr>
      <w:tr>
        <w:tc>
          <w:tcPr>
            <w:tcW w:type="dxa" w:w="3168"/>
          </w:tcPr>
          <w:p>
            <w:r/>
            <w:r>
              <w:rPr>
                <w:sz w:val="16"/>
              </w:rPr>
              <w:t>Deaths during follow-up, n (%)</w:t>
            </w:r>
          </w:p>
        </w:tc>
        <w:tc>
          <w:tcPr>
            <w:tcW w:type="dxa" w:w="1584"/>
          </w:tcPr>
          <w:p>
            <w:r/>
            <w:r>
              <w:rPr>
                <w:sz w:val="16"/>
              </w:rPr>
              <w:t>151 (13.9%)</w:t>
            </w:r>
          </w:p>
        </w:tc>
        <w:tc>
          <w:tcPr>
            <w:tcW w:type="dxa" w:w="1584"/>
          </w:tcPr>
          <w:p>
            <w:r/>
            <w:r>
              <w:rPr>
                <w:sz w:val="16"/>
              </w:rPr>
              <w:t>111 (14.8%)</w:t>
            </w:r>
          </w:p>
        </w:tc>
        <w:tc>
          <w:tcPr>
            <w:tcW w:type="dxa" w:w="1584"/>
          </w:tcPr>
          <w:p>
            <w:r/>
            <w:r>
              <w:rPr>
                <w:sz w:val="16"/>
              </w:rPr>
              <w:t>30 (16.5%)</w:t>
            </w:r>
          </w:p>
        </w:tc>
        <w:tc>
          <w:tcPr>
            <w:tcW w:type="dxa" w:w="1584"/>
          </w:tcPr>
          <w:p>
            <w:r/>
            <w:r>
              <w:rPr>
                <w:sz w:val="16"/>
              </w:rPr>
              <w:t>10 (6.6%)</w:t>
            </w:r>
          </w:p>
        </w:tc>
      </w:tr>
      <w:tr>
        <w:tc>
          <w:tcPr>
            <w:tcW w:type="dxa" w:w="3168"/>
          </w:tcPr>
          <w:p>
            <w:r/>
            <w:r>
              <w:rPr>
                <w:sz w:val="16"/>
              </w:rPr>
              <w:t>Age, median (IQR)</w:t>
            </w:r>
          </w:p>
        </w:tc>
        <w:tc>
          <w:tcPr>
            <w:tcW w:type="dxa" w:w="1584"/>
          </w:tcPr>
          <w:p>
            <w:r/>
            <w:r>
              <w:rPr>
                <w:sz w:val="16"/>
              </w:rPr>
              <w:t>58 (49-67)</w:t>
            </w:r>
          </w:p>
        </w:tc>
        <w:tc>
          <w:tcPr>
            <w:tcW w:type="dxa" w:w="1584"/>
          </w:tcPr>
          <w:p>
            <w:r/>
            <w:r>
              <w:rPr>
                <w:sz w:val="16"/>
              </w:rPr>
              <w:t>59 (49-67)</w:t>
            </w:r>
          </w:p>
        </w:tc>
        <w:tc>
          <w:tcPr>
            <w:tcW w:type="dxa" w:w="1584"/>
          </w:tcPr>
          <w:p>
            <w:r/>
            <w:r>
              <w:rPr>
                <w:sz w:val="16"/>
              </w:rPr>
              <w:t>54 (47-67)</w:t>
            </w:r>
          </w:p>
        </w:tc>
        <w:tc>
          <w:tcPr>
            <w:tcW w:type="dxa" w:w="1584"/>
          </w:tcPr>
          <w:p>
            <w:r/>
            <w:r>
              <w:rPr>
                <w:sz w:val="16"/>
              </w:rPr>
              <w:t>59 (50-69)</w:t>
            </w:r>
          </w:p>
        </w:tc>
      </w:tr>
      <w:tr>
        <w:tc>
          <w:tcPr>
            <w:tcW w:type="dxa" w:w="3168"/>
          </w:tcPr>
          <w:p>
            <w:r/>
            <w:r>
              <w:rPr>
                <w:sz w:val="16"/>
              </w:rPr>
              <w:t>Follow-up months, median (IQR)</w:t>
            </w:r>
          </w:p>
        </w:tc>
        <w:tc>
          <w:tcPr>
            <w:tcW w:type="dxa" w:w="1584"/>
          </w:tcPr>
          <w:p>
            <w:r/>
            <w:r>
              <w:rPr>
                <w:sz w:val="16"/>
              </w:rPr>
              <w:t>27 (15-55)</w:t>
            </w:r>
          </w:p>
        </w:tc>
        <w:tc>
          <w:tcPr>
            <w:tcW w:type="dxa" w:w="1584"/>
          </w:tcPr>
          <w:p>
            <w:r/>
            <w:r>
              <w:rPr>
                <w:sz w:val="16"/>
              </w:rPr>
              <w:t>32 (17-62)</w:t>
            </w:r>
          </w:p>
        </w:tc>
        <w:tc>
          <w:tcPr>
            <w:tcW w:type="dxa" w:w="1584"/>
          </w:tcPr>
          <w:p>
            <w:r/>
            <w:r>
              <w:rPr>
                <w:sz w:val="16"/>
              </w:rPr>
              <w:t>27 (15-54)</w:t>
            </w:r>
          </w:p>
        </w:tc>
        <w:tc>
          <w:tcPr>
            <w:tcW w:type="dxa" w:w="1584"/>
          </w:tcPr>
          <w:p>
            <w:r/>
            <w:r>
              <w:rPr>
                <w:sz w:val="16"/>
              </w:rPr>
              <w:t>13 (11-31)</w:t>
            </w:r>
          </w:p>
        </w:tc>
      </w:tr>
      <w:tr>
        <w:tc>
          <w:tcPr>
            <w:tcW w:type="dxa" w:w="3168"/>
          </w:tcPr>
          <w:p>
            <w:r/>
            <w:r>
              <w:rPr>
                <w:sz w:val="16"/>
              </w:rPr>
              <w:t>T1</w:t>
            </w:r>
          </w:p>
        </w:tc>
        <w:tc>
          <w:tcPr>
            <w:tcW w:type="dxa" w:w="1584"/>
          </w:tcPr>
          <w:p>
            <w:r/>
            <w:r>
              <w:rPr>
                <w:sz w:val="16"/>
              </w:rPr>
              <w:t>277 (26%)</w:t>
            </w:r>
          </w:p>
        </w:tc>
        <w:tc>
          <w:tcPr>
            <w:tcW w:type="dxa" w:w="1584"/>
          </w:tcPr>
          <w:p>
            <w:r/>
            <w:r>
              <w:rPr>
                <w:sz w:val="16"/>
              </w:rPr>
              <w:t>209 (28%)</w:t>
            </w:r>
          </w:p>
        </w:tc>
        <w:tc>
          <w:tcPr>
            <w:tcW w:type="dxa" w:w="1584"/>
          </w:tcPr>
          <w:p>
            <w:r/>
            <w:r>
              <w:rPr>
                <w:sz w:val="16"/>
              </w:rPr>
              <w:t>50 (27%)</w:t>
            </w:r>
          </w:p>
        </w:tc>
        <w:tc>
          <w:tcPr>
            <w:tcW w:type="dxa" w:w="1584"/>
          </w:tcPr>
          <w:p>
            <w:r/>
            <w:r>
              <w:rPr>
                <w:sz w:val="16"/>
              </w:rPr>
              <w:t>18 (12%)</w:t>
            </w:r>
          </w:p>
        </w:tc>
      </w:tr>
      <w:tr>
        <w:tc>
          <w:tcPr>
            <w:tcW w:type="dxa" w:w="3168"/>
          </w:tcPr>
          <w:p>
            <w:r/>
            <w:r>
              <w:rPr>
                <w:sz w:val="16"/>
              </w:rPr>
              <w:t>T2</w:t>
            </w:r>
          </w:p>
        </w:tc>
        <w:tc>
          <w:tcPr>
            <w:tcW w:type="dxa" w:w="1584"/>
          </w:tcPr>
          <w:p>
            <w:r/>
            <w:r>
              <w:rPr>
                <w:sz w:val="16"/>
              </w:rPr>
              <w:t>628 (58%)</w:t>
            </w:r>
          </w:p>
        </w:tc>
        <w:tc>
          <w:tcPr>
            <w:tcW w:type="dxa" w:w="1584"/>
          </w:tcPr>
          <w:p>
            <w:r/>
            <w:r>
              <w:rPr>
                <w:sz w:val="16"/>
              </w:rPr>
              <w:t>419 (56%)</w:t>
            </w:r>
          </w:p>
        </w:tc>
        <w:tc>
          <w:tcPr>
            <w:tcW w:type="dxa" w:w="1584"/>
          </w:tcPr>
          <w:p>
            <w:r/>
            <w:r>
              <w:rPr>
                <w:sz w:val="16"/>
              </w:rPr>
              <w:t>105 (58%)</w:t>
            </w:r>
          </w:p>
        </w:tc>
        <w:tc>
          <w:tcPr>
            <w:tcW w:type="dxa" w:w="1584"/>
          </w:tcPr>
          <w:p>
            <w:r/>
            <w:r>
              <w:rPr>
                <w:sz w:val="16"/>
              </w:rPr>
              <w:t>104 (69%)</w:t>
            </w:r>
          </w:p>
        </w:tc>
      </w:tr>
      <w:tr>
        <w:tc>
          <w:tcPr>
            <w:tcW w:type="dxa" w:w="3168"/>
          </w:tcPr>
          <w:p>
            <w:r/>
            <w:r>
              <w:rPr>
                <w:sz w:val="16"/>
              </w:rPr>
              <w:t>T3</w:t>
            </w:r>
          </w:p>
        </w:tc>
        <w:tc>
          <w:tcPr>
            <w:tcW w:type="dxa" w:w="1584"/>
          </w:tcPr>
          <w:p>
            <w:r/>
            <w:r>
              <w:rPr>
                <w:sz w:val="16"/>
              </w:rPr>
              <w:t>137 (13%)</w:t>
            </w:r>
          </w:p>
        </w:tc>
        <w:tc>
          <w:tcPr>
            <w:tcW w:type="dxa" w:w="1584"/>
          </w:tcPr>
          <w:p>
            <w:r/>
            <w:r>
              <w:rPr>
                <w:sz w:val="16"/>
              </w:rPr>
              <w:t>100 (13%)</w:t>
            </w:r>
          </w:p>
        </w:tc>
        <w:tc>
          <w:tcPr>
            <w:tcW w:type="dxa" w:w="1584"/>
          </w:tcPr>
          <w:p>
            <w:r/>
            <w:r>
              <w:rPr>
                <w:sz w:val="16"/>
              </w:rPr>
              <w:t>19 (10%)</w:t>
            </w:r>
          </w:p>
        </w:tc>
        <w:tc>
          <w:tcPr>
            <w:tcW w:type="dxa" w:w="1584"/>
          </w:tcPr>
          <w:p>
            <w:r/>
            <w:r>
              <w:rPr>
                <w:sz w:val="16"/>
              </w:rPr>
              <w:t>18 (12%)</w:t>
            </w:r>
          </w:p>
        </w:tc>
      </w:tr>
      <w:tr>
        <w:tc>
          <w:tcPr>
            <w:tcW w:type="dxa" w:w="3168"/>
          </w:tcPr>
          <w:p>
            <w:r/>
            <w:r>
              <w:rPr>
                <w:sz w:val="16"/>
              </w:rPr>
              <w:t>T4</w:t>
            </w:r>
          </w:p>
        </w:tc>
        <w:tc>
          <w:tcPr>
            <w:tcW w:type="dxa" w:w="1584"/>
          </w:tcPr>
          <w:p>
            <w:r/>
            <w:r>
              <w:rPr>
                <w:sz w:val="16"/>
              </w:rPr>
              <w:t>39 (4%)</w:t>
            </w:r>
          </w:p>
        </w:tc>
        <w:tc>
          <w:tcPr>
            <w:tcW w:type="dxa" w:w="1584"/>
          </w:tcPr>
          <w:p>
            <w:r/>
            <w:r>
              <w:rPr>
                <w:sz w:val="16"/>
              </w:rPr>
              <w:t>22 (3%)</w:t>
            </w:r>
          </w:p>
        </w:tc>
        <w:tc>
          <w:tcPr>
            <w:tcW w:type="dxa" w:w="1584"/>
          </w:tcPr>
          <w:p>
            <w:r/>
            <w:r>
              <w:rPr>
                <w:sz w:val="16"/>
              </w:rPr>
              <w:t>6 (3%)</w:t>
            </w:r>
          </w:p>
        </w:tc>
        <w:tc>
          <w:tcPr>
            <w:tcW w:type="dxa" w:w="1584"/>
          </w:tcPr>
          <w:p>
            <w:r/>
            <w:r>
              <w:rPr>
                <w:sz w:val="16"/>
              </w:rPr>
              <w:t>11 (7%)</w:t>
            </w:r>
          </w:p>
        </w:tc>
      </w:tr>
      <w:tr>
        <w:tc>
          <w:tcPr>
            <w:tcW w:type="dxa" w:w="3168"/>
          </w:tcPr>
          <w:p>
            <w:r/>
            <w:r>
              <w:rPr>
                <w:sz w:val="16"/>
              </w:rPr>
              <w:t>T unknown (TX)</w:t>
            </w:r>
          </w:p>
        </w:tc>
        <w:tc>
          <w:tcPr>
            <w:tcW w:type="dxa" w:w="1584"/>
          </w:tcPr>
          <w:p>
            <w:r/>
            <w:r>
              <w:rPr>
                <w:sz w:val="16"/>
              </w:rPr>
              <w:t>3 (0%)</w:t>
            </w:r>
          </w:p>
        </w:tc>
        <w:tc>
          <w:tcPr>
            <w:tcW w:type="dxa" w:w="1584"/>
          </w:tcPr>
          <w:p>
            <w:r/>
            <w:r>
              <w:rPr>
                <w:sz w:val="16"/>
              </w:rPr>
              <w:t>1 (0%)</w:t>
            </w:r>
          </w:p>
        </w:tc>
        <w:tc>
          <w:tcPr>
            <w:tcW w:type="dxa" w:w="1584"/>
          </w:tcPr>
          <w:p>
            <w:r/>
            <w:r>
              <w:rPr>
                <w:sz w:val="16"/>
              </w:rPr>
              <w:t>2 (1%)</w:t>
            </w:r>
          </w:p>
        </w:tc>
        <w:tc>
          <w:tcPr>
            <w:tcW w:type="dxa" w:w="1584"/>
          </w:tcPr>
          <w:p>
            <w:r/>
            <w:r>
              <w:rPr>
                <w:sz w:val="16"/>
              </w:rPr>
              <w:t>0 (0%)</w:t>
            </w:r>
          </w:p>
        </w:tc>
      </w:tr>
      <w:tr>
        <w:tc>
          <w:tcPr>
            <w:tcW w:type="dxa" w:w="3168"/>
          </w:tcPr>
          <w:p>
            <w:r/>
            <w:r>
              <w:rPr>
                <w:sz w:val="16"/>
              </w:rPr>
              <w:t>N0</w:t>
            </w:r>
          </w:p>
        </w:tc>
        <w:tc>
          <w:tcPr>
            <w:tcW w:type="dxa" w:w="1584"/>
          </w:tcPr>
          <w:p>
            <w:r/>
            <w:r>
              <w:rPr>
                <w:sz w:val="16"/>
              </w:rPr>
              <w:t>512 (47%)</w:t>
            </w:r>
          </w:p>
        </w:tc>
        <w:tc>
          <w:tcPr>
            <w:tcW w:type="dxa" w:w="1584"/>
          </w:tcPr>
          <w:p>
            <w:r/>
            <w:r>
              <w:rPr>
                <w:sz w:val="16"/>
              </w:rPr>
              <w:t>356 (47%)</w:t>
            </w:r>
          </w:p>
        </w:tc>
        <w:tc>
          <w:tcPr>
            <w:tcW w:type="dxa" w:w="1584"/>
          </w:tcPr>
          <w:p>
            <w:r/>
            <w:r>
              <w:rPr>
                <w:sz w:val="16"/>
              </w:rPr>
              <w:t>89 (49%)</w:t>
            </w:r>
          </w:p>
        </w:tc>
        <w:tc>
          <w:tcPr>
            <w:tcW w:type="dxa" w:w="1584"/>
          </w:tcPr>
          <w:p>
            <w:r/>
            <w:r>
              <w:rPr>
                <w:sz w:val="16"/>
              </w:rPr>
              <w:t>67 (44%)</w:t>
            </w:r>
          </w:p>
        </w:tc>
      </w:tr>
      <w:tr>
        <w:tc>
          <w:tcPr>
            <w:tcW w:type="dxa" w:w="3168"/>
          </w:tcPr>
          <w:p>
            <w:r/>
            <w:r>
              <w:rPr>
                <w:sz w:val="16"/>
              </w:rPr>
              <w:t>N1</w:t>
            </w:r>
          </w:p>
        </w:tc>
        <w:tc>
          <w:tcPr>
            <w:tcW w:type="dxa" w:w="1584"/>
          </w:tcPr>
          <w:p>
            <w:r/>
            <w:r>
              <w:rPr>
                <w:sz w:val="16"/>
              </w:rPr>
              <w:t>357 (33%)</w:t>
            </w:r>
          </w:p>
        </w:tc>
        <w:tc>
          <w:tcPr>
            <w:tcW w:type="dxa" w:w="1584"/>
          </w:tcPr>
          <w:p>
            <w:r/>
            <w:r>
              <w:rPr>
                <w:sz w:val="16"/>
              </w:rPr>
              <w:t>249 (33%)</w:t>
            </w:r>
          </w:p>
        </w:tc>
        <w:tc>
          <w:tcPr>
            <w:tcW w:type="dxa" w:w="1584"/>
          </w:tcPr>
          <w:p>
            <w:r/>
            <w:r>
              <w:rPr>
                <w:sz w:val="16"/>
              </w:rPr>
              <w:t>60 (33%)</w:t>
            </w:r>
          </w:p>
        </w:tc>
        <w:tc>
          <w:tcPr>
            <w:tcW w:type="dxa" w:w="1584"/>
          </w:tcPr>
          <w:p>
            <w:r/>
            <w:r>
              <w:rPr>
                <w:sz w:val="16"/>
              </w:rPr>
              <w:t>48 (32%)</w:t>
            </w:r>
          </w:p>
        </w:tc>
      </w:tr>
      <w:tr>
        <w:tc>
          <w:tcPr>
            <w:tcW w:type="dxa" w:w="3168"/>
          </w:tcPr>
          <w:p>
            <w:r/>
            <w:r>
              <w:rPr>
                <w:sz w:val="16"/>
              </w:rPr>
              <w:t>N2</w:t>
            </w:r>
          </w:p>
        </w:tc>
        <w:tc>
          <w:tcPr>
            <w:tcW w:type="dxa" w:w="1584"/>
          </w:tcPr>
          <w:p>
            <w:r/>
            <w:r>
              <w:rPr>
                <w:sz w:val="16"/>
              </w:rPr>
              <w:t>119 (11%)</w:t>
            </w:r>
          </w:p>
        </w:tc>
        <w:tc>
          <w:tcPr>
            <w:tcW w:type="dxa" w:w="1584"/>
          </w:tcPr>
          <w:p>
            <w:r/>
            <w:r>
              <w:rPr>
                <w:sz w:val="16"/>
              </w:rPr>
              <w:t>85 (11%)</w:t>
            </w:r>
          </w:p>
        </w:tc>
        <w:tc>
          <w:tcPr>
            <w:tcW w:type="dxa" w:w="1584"/>
          </w:tcPr>
          <w:p>
            <w:r/>
            <w:r>
              <w:rPr>
                <w:sz w:val="16"/>
              </w:rPr>
              <w:t>16 (9%)</w:t>
            </w:r>
          </w:p>
        </w:tc>
        <w:tc>
          <w:tcPr>
            <w:tcW w:type="dxa" w:w="1584"/>
          </w:tcPr>
          <w:p>
            <w:r/>
            <w:r>
              <w:rPr>
                <w:sz w:val="16"/>
              </w:rPr>
              <w:t>18 (12%)</w:t>
            </w:r>
          </w:p>
        </w:tc>
      </w:tr>
      <w:tr>
        <w:tc>
          <w:tcPr>
            <w:tcW w:type="dxa" w:w="3168"/>
          </w:tcPr>
          <w:p>
            <w:r/>
            <w:r>
              <w:rPr>
                <w:sz w:val="16"/>
              </w:rPr>
              <w:t>N3</w:t>
            </w:r>
          </w:p>
        </w:tc>
        <w:tc>
          <w:tcPr>
            <w:tcW w:type="dxa" w:w="1584"/>
          </w:tcPr>
          <w:p>
            <w:r/>
            <w:r>
              <w:rPr>
                <w:sz w:val="16"/>
              </w:rPr>
              <w:t>76 (7%)</w:t>
            </w:r>
          </w:p>
        </w:tc>
        <w:tc>
          <w:tcPr>
            <w:tcW w:type="dxa" w:w="1584"/>
          </w:tcPr>
          <w:p>
            <w:r/>
            <w:r>
              <w:rPr>
                <w:sz w:val="16"/>
              </w:rPr>
              <w:t>49 (7%)</w:t>
            </w:r>
          </w:p>
        </w:tc>
        <w:tc>
          <w:tcPr>
            <w:tcW w:type="dxa" w:w="1584"/>
          </w:tcPr>
          <w:p>
            <w:r/>
            <w:r>
              <w:rPr>
                <w:sz w:val="16"/>
              </w:rPr>
              <w:t>11 (6%)</w:t>
            </w:r>
          </w:p>
        </w:tc>
        <w:tc>
          <w:tcPr>
            <w:tcW w:type="dxa" w:w="1584"/>
          </w:tcPr>
          <w:p>
            <w:r/>
            <w:r>
              <w:rPr>
                <w:sz w:val="16"/>
              </w:rPr>
              <w:t>16 (11%)</w:t>
            </w:r>
          </w:p>
        </w:tc>
      </w:tr>
      <w:tr>
        <w:tc>
          <w:tcPr>
            <w:tcW w:type="dxa" w:w="3168"/>
          </w:tcPr>
          <w:p>
            <w:r/>
            <w:r>
              <w:rPr>
                <w:sz w:val="16"/>
              </w:rPr>
              <w:t>N unknown (NX)</w:t>
            </w:r>
          </w:p>
        </w:tc>
        <w:tc>
          <w:tcPr>
            <w:tcW w:type="dxa" w:w="1584"/>
          </w:tcPr>
          <w:p>
            <w:r/>
            <w:r>
              <w:rPr>
                <w:sz w:val="16"/>
              </w:rPr>
              <w:t>20 (2%)</w:t>
            </w:r>
          </w:p>
        </w:tc>
        <w:tc>
          <w:tcPr>
            <w:tcW w:type="dxa" w:w="1584"/>
          </w:tcPr>
          <w:p>
            <w:r/>
            <w:r>
              <w:rPr>
                <w:sz w:val="16"/>
              </w:rPr>
              <w:t>12 (2%)</w:t>
            </w:r>
          </w:p>
        </w:tc>
        <w:tc>
          <w:tcPr>
            <w:tcW w:type="dxa" w:w="1584"/>
          </w:tcPr>
          <w:p>
            <w:r/>
            <w:r>
              <w:rPr>
                <w:sz w:val="16"/>
              </w:rPr>
              <w:t>6 (3%)</w:t>
            </w:r>
          </w:p>
        </w:tc>
        <w:tc>
          <w:tcPr>
            <w:tcW w:type="dxa" w:w="1584"/>
          </w:tcPr>
          <w:p>
            <w:r/>
            <w:r>
              <w:rPr>
                <w:sz w:val="16"/>
              </w:rPr>
              <w:t>2 (1%)</w:t>
            </w:r>
          </w:p>
        </w:tc>
      </w:tr>
      <w:tr>
        <w:tc>
          <w:tcPr>
            <w:tcW w:type="dxa" w:w="3168"/>
          </w:tcPr>
          <w:p>
            <w:r/>
            <w:r>
              <w:rPr>
                <w:sz w:val="16"/>
              </w:rPr>
              <w:t>M1</w:t>
            </w:r>
          </w:p>
        </w:tc>
        <w:tc>
          <w:tcPr>
            <w:tcW w:type="dxa" w:w="1584"/>
          </w:tcPr>
          <w:p>
            <w:r/>
            <w:r>
              <w:rPr>
                <w:sz w:val="16"/>
              </w:rPr>
              <w:t>21 (2%)</w:t>
            </w:r>
          </w:p>
        </w:tc>
        <w:tc>
          <w:tcPr>
            <w:tcW w:type="dxa" w:w="1584"/>
          </w:tcPr>
          <w:p>
            <w:r/>
            <w:r>
              <w:rPr>
                <w:sz w:val="16"/>
              </w:rPr>
              <w:t>12 (2%)</w:t>
            </w:r>
          </w:p>
        </w:tc>
        <w:tc>
          <w:tcPr>
            <w:tcW w:type="dxa" w:w="1584"/>
          </w:tcPr>
          <w:p>
            <w:r/>
            <w:r>
              <w:rPr>
                <w:sz w:val="16"/>
              </w:rPr>
              <w:t>5 (3%)</w:t>
            </w:r>
          </w:p>
        </w:tc>
        <w:tc>
          <w:tcPr>
            <w:tcW w:type="dxa" w:w="1584"/>
          </w:tcPr>
          <w:p>
            <w:r/>
            <w:r>
              <w:rPr>
                <w:sz w:val="16"/>
              </w:rPr>
              <w:t>4 (3%)</w:t>
            </w:r>
          </w:p>
        </w:tc>
      </w:tr>
      <w:tr>
        <w:tc>
          <w:tcPr>
            <w:tcW w:type="dxa" w:w="3168"/>
          </w:tcPr>
          <w:p>
            <w:r/>
            <w:r>
              <w:rPr>
                <w:sz w:val="16"/>
              </w:rPr>
              <w:t>M unknown (MX)</w:t>
            </w:r>
          </w:p>
        </w:tc>
        <w:tc>
          <w:tcPr>
            <w:tcW w:type="dxa" w:w="1584"/>
          </w:tcPr>
          <w:p>
            <w:r/>
            <w:r>
              <w:rPr>
                <w:sz w:val="16"/>
              </w:rPr>
              <w:t>168 (15%)</w:t>
            </w:r>
          </w:p>
        </w:tc>
        <w:tc>
          <w:tcPr>
            <w:tcW w:type="dxa" w:w="1584"/>
          </w:tcPr>
          <w:p>
            <w:r/>
            <w:r>
              <w:rPr>
                <w:sz w:val="16"/>
              </w:rPr>
              <w:t>98 (13%)</w:t>
            </w:r>
          </w:p>
        </w:tc>
        <w:tc>
          <w:tcPr>
            <w:tcW w:type="dxa" w:w="1584"/>
          </w:tcPr>
          <w:p>
            <w:r/>
            <w:r>
              <w:rPr>
                <w:sz w:val="16"/>
              </w:rPr>
              <w:t>62 (34%)</w:t>
            </w:r>
          </w:p>
        </w:tc>
        <w:tc>
          <w:tcPr>
            <w:tcW w:type="dxa" w:w="1584"/>
          </w:tcPr>
          <w:p>
            <w:r/>
            <w:r>
              <w:rPr>
                <w:sz w:val="16"/>
              </w:rPr>
              <w:t>8 (5%)</w:t>
            </w:r>
          </w:p>
        </w:tc>
      </w:tr>
      <w:tr>
        <w:tc>
          <w:tcPr>
            <w:tcW w:type="dxa" w:w="3168"/>
          </w:tcPr>
          <w:p>
            <w:r/>
            <w:r>
              <w:rPr>
                <w:sz w:val="16"/>
              </w:rPr>
              <w:t>PAM50 LumA</w:t>
            </w:r>
          </w:p>
        </w:tc>
        <w:tc>
          <w:tcPr>
            <w:tcW w:type="dxa" w:w="1584"/>
          </w:tcPr>
          <w:p>
            <w:r/>
            <w:r>
              <w:rPr>
                <w:sz w:val="16"/>
              </w:rPr>
              <w:t>499 (46%)</w:t>
            </w:r>
          </w:p>
        </w:tc>
        <w:tc>
          <w:tcPr>
            <w:tcW w:type="dxa" w:w="1584"/>
          </w:tcPr>
          <w:p>
            <w:r/>
            <w:r>
              <w:rPr>
                <w:sz w:val="16"/>
              </w:rPr>
              <w:t>384 (51%)</w:t>
            </w:r>
          </w:p>
        </w:tc>
        <w:tc>
          <w:tcPr>
            <w:tcW w:type="dxa" w:w="1584"/>
          </w:tcPr>
          <w:p>
            <w:r/>
            <w:r>
              <w:rPr>
                <w:sz w:val="16"/>
              </w:rPr>
              <w:t>56 (31%)</w:t>
            </w:r>
          </w:p>
        </w:tc>
        <w:tc>
          <w:tcPr>
            <w:tcW w:type="dxa" w:w="1584"/>
          </w:tcPr>
          <w:p>
            <w:r/>
            <w:r>
              <w:rPr>
                <w:sz w:val="16"/>
              </w:rPr>
              <w:t>59 (39%)</w:t>
            </w:r>
          </w:p>
        </w:tc>
      </w:tr>
      <w:tr>
        <w:tc>
          <w:tcPr>
            <w:tcW w:type="dxa" w:w="3168"/>
          </w:tcPr>
          <w:p>
            <w:r/>
            <w:r>
              <w:rPr>
                <w:sz w:val="16"/>
              </w:rPr>
              <w:t>PAM50 LumB</w:t>
            </w:r>
          </w:p>
        </w:tc>
        <w:tc>
          <w:tcPr>
            <w:tcW w:type="dxa" w:w="1584"/>
          </w:tcPr>
          <w:p>
            <w:r/>
            <w:r>
              <w:rPr>
                <w:sz w:val="16"/>
              </w:rPr>
              <w:t>197 (18%)</w:t>
            </w:r>
          </w:p>
        </w:tc>
        <w:tc>
          <w:tcPr>
            <w:tcW w:type="dxa" w:w="1584"/>
          </w:tcPr>
          <w:p>
            <w:r/>
            <w:r>
              <w:rPr>
                <w:sz w:val="16"/>
              </w:rPr>
              <w:t>126 (17%)</w:t>
            </w:r>
          </w:p>
        </w:tc>
        <w:tc>
          <w:tcPr>
            <w:tcW w:type="dxa" w:w="1584"/>
          </w:tcPr>
          <w:p>
            <w:r/>
            <w:r>
              <w:rPr>
                <w:sz w:val="16"/>
              </w:rPr>
              <w:t>26 (14%)</w:t>
            </w:r>
          </w:p>
        </w:tc>
        <w:tc>
          <w:tcPr>
            <w:tcW w:type="dxa" w:w="1584"/>
          </w:tcPr>
          <w:p>
            <w:r/>
            <w:r>
              <w:rPr>
                <w:sz w:val="16"/>
              </w:rPr>
              <w:t>45 (30%)</w:t>
            </w:r>
          </w:p>
        </w:tc>
      </w:tr>
      <w:tr>
        <w:tc>
          <w:tcPr>
            <w:tcW w:type="dxa" w:w="3168"/>
          </w:tcPr>
          <w:p>
            <w:r/>
            <w:r>
              <w:rPr>
                <w:sz w:val="16"/>
              </w:rPr>
              <w:t>PAM50 Her2</w:t>
            </w:r>
          </w:p>
        </w:tc>
        <w:tc>
          <w:tcPr>
            <w:tcW w:type="dxa" w:w="1584"/>
          </w:tcPr>
          <w:p>
            <w:r/>
            <w:r>
              <w:rPr>
                <w:sz w:val="16"/>
              </w:rPr>
              <w:t>78 (7%)</w:t>
            </w:r>
          </w:p>
        </w:tc>
        <w:tc>
          <w:tcPr>
            <w:tcW w:type="dxa" w:w="1584"/>
          </w:tcPr>
          <w:p>
            <w:r/>
            <w:r>
              <w:rPr>
                <w:sz w:val="16"/>
              </w:rPr>
              <w:t>37 (5%)</w:t>
            </w:r>
          </w:p>
        </w:tc>
        <w:tc>
          <w:tcPr>
            <w:tcW w:type="dxa" w:w="1584"/>
          </w:tcPr>
          <w:p>
            <w:r/>
            <w:r>
              <w:rPr>
                <w:sz w:val="16"/>
              </w:rPr>
              <w:t>15 (8%)</w:t>
            </w:r>
          </w:p>
        </w:tc>
        <w:tc>
          <w:tcPr>
            <w:tcW w:type="dxa" w:w="1584"/>
          </w:tcPr>
          <w:p>
            <w:r/>
            <w:r>
              <w:rPr>
                <w:sz w:val="16"/>
              </w:rPr>
              <w:t>26 (17%)</w:t>
            </w:r>
          </w:p>
        </w:tc>
      </w:tr>
      <w:tr>
        <w:tc>
          <w:tcPr>
            <w:tcW w:type="dxa" w:w="3168"/>
          </w:tcPr>
          <w:p>
            <w:r/>
            <w:r>
              <w:rPr>
                <w:sz w:val="16"/>
              </w:rPr>
              <w:t>PAM50 Basal</w:t>
            </w:r>
          </w:p>
        </w:tc>
        <w:tc>
          <w:tcPr>
            <w:tcW w:type="dxa" w:w="1584"/>
          </w:tcPr>
          <w:p>
            <w:r/>
            <w:r>
              <w:rPr>
                <w:sz w:val="16"/>
              </w:rPr>
              <w:t>171 (16%)</w:t>
            </w:r>
          </w:p>
        </w:tc>
        <w:tc>
          <w:tcPr>
            <w:tcW w:type="dxa" w:w="1584"/>
          </w:tcPr>
          <w:p>
            <w:r/>
            <w:r>
              <w:rPr>
                <w:sz w:val="16"/>
              </w:rPr>
              <w:t>106 (14%)</w:t>
            </w:r>
          </w:p>
        </w:tc>
        <w:tc>
          <w:tcPr>
            <w:tcW w:type="dxa" w:w="1584"/>
          </w:tcPr>
          <w:p>
            <w:r/>
            <w:r>
              <w:rPr>
                <w:sz w:val="16"/>
              </w:rPr>
              <w:t>53 (29%)</w:t>
            </w:r>
          </w:p>
        </w:tc>
        <w:tc>
          <w:tcPr>
            <w:tcW w:type="dxa" w:w="1584"/>
          </w:tcPr>
          <w:p>
            <w:r/>
            <w:r>
              <w:rPr>
                <w:sz w:val="16"/>
              </w:rPr>
              <w:t>12 (8%)</w:t>
            </w:r>
          </w:p>
        </w:tc>
      </w:tr>
      <w:tr>
        <w:tc>
          <w:tcPr>
            <w:tcW w:type="dxa" w:w="3168"/>
          </w:tcPr>
          <w:p>
            <w:r/>
            <w:r>
              <w:rPr>
                <w:sz w:val="16"/>
              </w:rPr>
              <w:t>PAM50 Normal</w:t>
            </w:r>
          </w:p>
        </w:tc>
        <w:tc>
          <w:tcPr>
            <w:tcW w:type="dxa" w:w="1584"/>
          </w:tcPr>
          <w:p>
            <w:r/>
            <w:r>
              <w:rPr>
                <w:sz w:val="16"/>
              </w:rPr>
              <w:t>36 (3%)</w:t>
            </w:r>
          </w:p>
        </w:tc>
        <w:tc>
          <w:tcPr>
            <w:tcW w:type="dxa" w:w="1584"/>
          </w:tcPr>
          <w:p>
            <w:r/>
            <w:r>
              <w:rPr>
                <w:sz w:val="16"/>
              </w:rPr>
              <w:t>25 (3%)</w:t>
            </w:r>
          </w:p>
        </w:tc>
        <w:tc>
          <w:tcPr>
            <w:tcW w:type="dxa" w:w="1584"/>
          </w:tcPr>
          <w:p>
            <w:r/>
            <w:r>
              <w:rPr>
                <w:sz w:val="16"/>
              </w:rPr>
              <w:t>9 (5%)</w:t>
            </w:r>
          </w:p>
        </w:tc>
        <w:tc>
          <w:tcPr>
            <w:tcW w:type="dxa" w:w="1584"/>
          </w:tcPr>
          <w:p>
            <w:r/>
            <w:r>
              <w:rPr>
                <w:sz w:val="16"/>
              </w:rPr>
              <w:t>2 (1%)</w:t>
            </w:r>
          </w:p>
        </w:tc>
      </w:tr>
      <w:tr>
        <w:tc>
          <w:tcPr>
            <w:tcW w:type="dxa" w:w="3168"/>
          </w:tcPr>
          <w:p>
            <w:r/>
            <w:r>
              <w:rPr>
                <w:sz w:val="16"/>
              </w:rPr>
              <w:t>PAM50 not called</w:t>
            </w:r>
          </w:p>
        </w:tc>
        <w:tc>
          <w:tcPr>
            <w:tcW w:type="dxa" w:w="1584"/>
          </w:tcPr>
          <w:p>
            <w:r/>
            <w:r>
              <w:rPr>
                <w:sz w:val="16"/>
              </w:rPr>
              <w:t>103 (10%)</w:t>
            </w:r>
          </w:p>
        </w:tc>
        <w:tc>
          <w:tcPr>
            <w:tcW w:type="dxa" w:w="1584"/>
          </w:tcPr>
          <w:p>
            <w:r/>
            <w:r>
              <w:rPr>
                <w:sz w:val="16"/>
              </w:rPr>
              <w:t>73 (10%)</w:t>
            </w:r>
          </w:p>
        </w:tc>
        <w:tc>
          <w:tcPr>
            <w:tcW w:type="dxa" w:w="1584"/>
          </w:tcPr>
          <w:p>
            <w:r/>
            <w:r>
              <w:rPr>
                <w:sz w:val="16"/>
              </w:rPr>
              <w:t>23 (13%)</w:t>
            </w:r>
          </w:p>
        </w:tc>
        <w:tc>
          <w:tcPr>
            <w:tcW w:type="dxa" w:w="1584"/>
          </w:tcPr>
          <w:p>
            <w:r/>
            <w:r>
              <w:rPr>
                <w:sz w:val="16"/>
              </w:rPr>
              <w:t>7 (5%)</w:t>
            </w:r>
          </w:p>
        </w:tc>
      </w:tr>
      <w:tr>
        <w:tc>
          <w:tcPr>
            <w:tcW w:type="dxa" w:w="3168"/>
          </w:tcPr>
          <w:p>
            <w:r/>
            <w:r>
              <w:rPr>
                <w:sz w:val="16"/>
              </w:rPr>
              <w:t>Histology Ductal</w:t>
            </w:r>
          </w:p>
        </w:tc>
        <w:tc>
          <w:tcPr>
            <w:tcW w:type="dxa" w:w="1584"/>
          </w:tcPr>
          <w:p>
            <w:r/>
            <w:r>
              <w:rPr>
                <w:sz w:val="16"/>
              </w:rPr>
              <w:t>768 (71%)</w:t>
            </w:r>
          </w:p>
        </w:tc>
        <w:tc>
          <w:tcPr>
            <w:tcW w:type="dxa" w:w="1584"/>
          </w:tcPr>
          <w:p>
            <w:r/>
            <w:r>
              <w:rPr>
                <w:sz w:val="16"/>
              </w:rPr>
              <w:t>500 (67%)</w:t>
            </w:r>
          </w:p>
        </w:tc>
        <w:tc>
          <w:tcPr>
            <w:tcW w:type="dxa" w:w="1584"/>
          </w:tcPr>
          <w:p>
            <w:r/>
            <w:r>
              <w:rPr>
                <w:sz w:val="16"/>
              </w:rPr>
              <w:t>150 (82%)</w:t>
            </w:r>
          </w:p>
        </w:tc>
        <w:tc>
          <w:tcPr>
            <w:tcW w:type="dxa" w:w="1584"/>
          </w:tcPr>
          <w:p>
            <w:r/>
            <w:r>
              <w:rPr>
                <w:sz w:val="16"/>
              </w:rPr>
              <w:t>118 (78%)</w:t>
            </w:r>
          </w:p>
        </w:tc>
      </w:tr>
      <w:tr>
        <w:tc>
          <w:tcPr>
            <w:tcW w:type="dxa" w:w="3168"/>
          </w:tcPr>
          <w:p>
            <w:r/>
            <w:r>
              <w:rPr>
                <w:sz w:val="16"/>
              </w:rPr>
              <w:t>Histology Lobular</w:t>
            </w:r>
          </w:p>
        </w:tc>
        <w:tc>
          <w:tcPr>
            <w:tcW w:type="dxa" w:w="1584"/>
          </w:tcPr>
          <w:p>
            <w:r/>
            <w:r>
              <w:rPr>
                <w:sz w:val="16"/>
              </w:rPr>
              <w:t>199 (18%)</w:t>
            </w:r>
          </w:p>
        </w:tc>
        <w:tc>
          <w:tcPr>
            <w:tcW w:type="dxa" w:w="1584"/>
          </w:tcPr>
          <w:p>
            <w:r/>
            <w:r>
              <w:rPr>
                <w:sz w:val="16"/>
              </w:rPr>
              <w:t>160 (21%)</w:t>
            </w:r>
          </w:p>
        </w:tc>
        <w:tc>
          <w:tcPr>
            <w:tcW w:type="dxa" w:w="1584"/>
          </w:tcPr>
          <w:p>
            <w:r/>
            <w:r>
              <w:rPr>
                <w:sz w:val="16"/>
              </w:rPr>
              <w:t>16 (9%)</w:t>
            </w:r>
          </w:p>
        </w:tc>
        <w:tc>
          <w:tcPr>
            <w:tcW w:type="dxa" w:w="1584"/>
          </w:tcPr>
          <w:p>
            <w:r/>
            <w:r>
              <w:rPr>
                <w:sz w:val="16"/>
              </w:rPr>
              <w:t>23 (15%)</w:t>
            </w:r>
          </w:p>
        </w:tc>
      </w:tr>
      <w:tr>
        <w:tc>
          <w:tcPr>
            <w:tcW w:type="dxa" w:w="3168"/>
          </w:tcPr>
          <w:p>
            <w:r/>
            <w:r>
              <w:rPr>
                <w:sz w:val="16"/>
              </w:rPr>
              <w:t>Histology Other</w:t>
            </w:r>
          </w:p>
        </w:tc>
        <w:tc>
          <w:tcPr>
            <w:tcW w:type="dxa" w:w="1584"/>
          </w:tcPr>
          <w:p>
            <w:r/>
            <w:r>
              <w:rPr>
                <w:sz w:val="16"/>
              </w:rPr>
              <w:t>117 (11%)</w:t>
            </w:r>
          </w:p>
        </w:tc>
        <w:tc>
          <w:tcPr>
            <w:tcW w:type="dxa" w:w="1584"/>
          </w:tcPr>
          <w:p>
            <w:r/>
            <w:r>
              <w:rPr>
                <w:sz w:val="16"/>
              </w:rPr>
              <w:t>91 (12%)</w:t>
            </w:r>
          </w:p>
        </w:tc>
        <w:tc>
          <w:tcPr>
            <w:tcW w:type="dxa" w:w="1584"/>
          </w:tcPr>
          <w:p>
            <w:r/>
            <w:r>
              <w:rPr>
                <w:sz w:val="16"/>
              </w:rPr>
              <w:t>16 (9%)</w:t>
            </w:r>
          </w:p>
        </w:tc>
        <w:tc>
          <w:tcPr>
            <w:tcW w:type="dxa" w:w="1584"/>
          </w:tcPr>
          <w:p>
            <w:r/>
            <w:r>
              <w:rPr>
                <w:sz w:val="16"/>
              </w:rPr>
              <w:t>10 (7%)</w:t>
            </w:r>
          </w:p>
        </w:tc>
      </w:tr>
      <w:tr>
        <w:tc>
          <w:tcPr>
            <w:tcW w:type="dxa" w:w="3168"/>
          </w:tcPr>
          <w:p>
            <w:r/>
            <w:r>
              <w:rPr>
                <w:sz w:val="16"/>
              </w:rPr>
              <w:t>Radiation therapy: yes</w:t>
            </w:r>
          </w:p>
        </w:tc>
        <w:tc>
          <w:tcPr>
            <w:tcW w:type="dxa" w:w="1584"/>
          </w:tcPr>
          <w:p>
            <w:r/>
            <w:r>
              <w:rPr>
                <w:sz w:val="16"/>
              </w:rPr>
              <w:t>549 (51%)</w:t>
            </w:r>
          </w:p>
        </w:tc>
        <w:tc>
          <w:tcPr>
            <w:tcW w:type="dxa" w:w="1584"/>
          </w:tcPr>
          <w:p>
            <w:r/>
            <w:r>
              <w:rPr>
                <w:sz w:val="16"/>
              </w:rPr>
              <w:t>398 (53%)</w:t>
            </w:r>
          </w:p>
        </w:tc>
        <w:tc>
          <w:tcPr>
            <w:tcW w:type="dxa" w:w="1584"/>
          </w:tcPr>
          <w:p>
            <w:r/>
            <w:r>
              <w:rPr>
                <w:sz w:val="16"/>
              </w:rPr>
              <w:t>98 (54%)</w:t>
            </w:r>
          </w:p>
        </w:tc>
        <w:tc>
          <w:tcPr>
            <w:tcW w:type="dxa" w:w="1584"/>
          </w:tcPr>
          <w:p>
            <w:r/>
            <w:r>
              <w:rPr>
                <w:sz w:val="16"/>
              </w:rPr>
              <w:t>53 (35%)</w:t>
            </w:r>
          </w:p>
        </w:tc>
      </w:tr>
      <w:tr>
        <w:tc>
          <w:tcPr>
            <w:tcW w:type="dxa" w:w="3168"/>
          </w:tcPr>
          <w:p>
            <w:r/>
            <w:r>
              <w:rPr>
                <w:sz w:val="16"/>
              </w:rPr>
              <w:t>Radiation therapy: not recorded</w:t>
            </w:r>
          </w:p>
        </w:tc>
        <w:tc>
          <w:tcPr>
            <w:tcW w:type="dxa" w:w="1584"/>
          </w:tcPr>
          <w:p>
            <w:r/>
            <w:r>
              <w:rPr>
                <w:sz w:val="16"/>
              </w:rPr>
              <w:t>101 (9%)</w:t>
            </w:r>
          </w:p>
        </w:tc>
        <w:tc>
          <w:tcPr>
            <w:tcW w:type="dxa" w:w="1584"/>
          </w:tcPr>
          <w:p>
            <w:r/>
            <w:r>
              <w:rPr>
                <w:sz w:val="16"/>
              </w:rPr>
              <w:t>62 (8%)</w:t>
            </w:r>
          </w:p>
        </w:tc>
        <w:tc>
          <w:tcPr>
            <w:tcW w:type="dxa" w:w="1584"/>
          </w:tcPr>
          <w:p>
            <w:r/>
            <w:r>
              <w:rPr>
                <w:sz w:val="16"/>
              </w:rPr>
              <w:t>9 (5%)</w:t>
            </w:r>
          </w:p>
        </w:tc>
        <w:tc>
          <w:tcPr>
            <w:tcW w:type="dxa" w:w="1584"/>
          </w:tcPr>
          <w:p>
            <w:r/>
            <w:r>
              <w:rPr>
                <w:sz w:val="16"/>
              </w:rPr>
              <w:t>30 (20%)</w:t>
            </w:r>
          </w:p>
        </w:tc>
      </w:tr>
    </w:tbl>
    <w:p>
      <w:pPr>
        <w:spacing w:after="80"/>
      </w:pPr>
    </w:p>
    <w:p>
      <w:pPr>
        <w:spacing w:after="120" w:line="276" w:lineRule="auto"/>
        <w:jc w:val="both"/>
      </w:pPr>
      <w:r>
        <w:rPr>
          <w:b w:val="0"/>
          <w:i w:val="0"/>
        </w:rPr>
        <w:t>Crude mortality is 13.9% overall (14.8% White, 16.5% Black, 6.6% in the other group). Black patients differ in tumour biology (basal-like 53 (29%) versus 106 (14%); Luminal A 56 (31%) versus 384 (51%); DeSantis et al., 2019), and the documentation differs too: the metastasis category is MX (not assessed) for 62 (34%) of Black patients against 98 (13%) of White patients. The "other" group has a much shorter follow-up (median 13 months against 32) and is used only for training.</w:t>
      </w:r>
    </w:p>
    <w:p>
      <w:pPr>
        <w:jc w:val="center"/>
      </w:pPr>
      <w:r>
        <w:drawing>
          <wp:inline xmlns:a="http://schemas.openxmlformats.org/drawingml/2006/main" xmlns:pic="http://schemas.openxmlformats.org/drawingml/2006/picture">
            <wp:extent cx="5669280" cy="2640303"/>
            <wp:docPr id="3" name="Picture 3"/>
            <wp:cNvGraphicFramePr>
              <a:graphicFrameLocks noChangeAspect="1"/>
            </wp:cNvGraphicFramePr>
            <a:graphic>
              <a:graphicData uri="http://schemas.openxmlformats.org/drawingml/2006/picture">
                <pic:pic>
                  <pic:nvPicPr>
                    <pic:cNvPr id="0" name="01_survival_followup.png"/>
                    <pic:cNvPicPr/>
                  </pic:nvPicPr>
                  <pic:blipFill>
                    <a:blip r:embed="rId12"/>
                    <a:stretch>
                      <a:fillRect/>
                    </a:stretch>
                  </pic:blipFill>
                  <pic:spPr>
                    <a:xfrm>
                      <a:off x="0" y="0"/>
                      <a:ext cx="5669280" cy="2640303"/>
                    </a:xfrm>
                    <a:prstGeom prst="rect"/>
                  </pic:spPr>
                </pic:pic>
              </a:graphicData>
            </a:graphic>
          </wp:inline>
        </w:drawing>
      </w:r>
    </w:p>
    <w:p>
      <w:pPr>
        <w:spacing w:after="160"/>
        <w:jc w:val="center"/>
      </w:pPr>
      <w:r>
        <w:rPr>
          <w:b/>
          <w:sz w:val="21"/>
        </w:rPr>
        <w:t>Figure 4.1: Kaplan-Meier survival and follow-up distribution, White and Black patients</w:t>
      </w:r>
    </w:p>
    <w:p>
      <w:pPr>
        <w:pStyle w:val="Heading2"/>
      </w:pPr>
      <w:r>
        <w:t>4.4 Data audit</w:t>
      </w:r>
    </w:p>
    <w:p>
      <w:pPr>
        <w:pStyle w:val="Heading3"/>
      </w:pPr>
      <w:r>
        <w:t>4.4.1 Blanks that carry the outcome</w:t>
      </w:r>
    </w:p>
    <w:p>
      <w:pPr>
        <w:spacing w:after="160"/>
      </w:pPr>
      <w:r>
        <w:rPr>
          <w:b/>
          <w:sz w:val="21"/>
        </w:rPr>
        <w:t>Table 4.2: Death rate when a field or code is blank versus recorded (all 1,084 patients)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032"/>
            <w:shd w:val="clear" w:color="auto" w:fill="E8ECF1"/>
          </w:tcPr>
          <w:p>
            <w:r/>
            <w:r>
              <w:rPr>
                <w:b/>
                <w:sz w:val="17"/>
              </w:rPr>
              <w:t>Column / code</w:t>
            </w:r>
          </w:p>
        </w:tc>
        <w:tc>
          <w:tcPr>
            <w:tcW w:type="dxa" w:w="864"/>
            <w:shd w:val="clear" w:color="auto" w:fill="E8ECF1"/>
          </w:tcPr>
          <w:p>
            <w:r/>
            <w:r>
              <w:rPr>
                <w:b/>
                <w:sz w:val="17"/>
              </w:rPr>
              <w:t>n</w:t>
            </w:r>
          </w:p>
        </w:tc>
        <w:tc>
          <w:tcPr>
            <w:tcW w:type="dxa" w:w="1296"/>
            <w:shd w:val="clear" w:color="auto" w:fill="E8ECF1"/>
          </w:tcPr>
          <w:p>
            <w:r/>
            <w:r>
              <w:rPr>
                <w:b/>
                <w:sz w:val="17"/>
              </w:rPr>
              <w:t>% of patients</w:t>
            </w:r>
          </w:p>
        </w:tc>
        <w:tc>
          <w:tcPr>
            <w:tcW w:type="dxa" w:w="1584"/>
            <w:shd w:val="clear" w:color="auto" w:fill="E8ECF1"/>
          </w:tcPr>
          <w:p>
            <w:r/>
            <w:r>
              <w:rPr>
                <w:b/>
                <w:sz w:val="17"/>
              </w:rPr>
              <w:t>Death rate if missing</w:t>
            </w:r>
          </w:p>
        </w:tc>
        <w:tc>
          <w:tcPr>
            <w:tcW w:type="dxa" w:w="1584"/>
            <w:shd w:val="clear" w:color="auto" w:fill="E8ECF1"/>
          </w:tcPr>
          <w:p>
            <w:r/>
            <w:r>
              <w:rPr>
                <w:b/>
                <w:sz w:val="17"/>
              </w:rPr>
              <w:t>Death rate if recorded</w:t>
            </w:r>
          </w:p>
        </w:tc>
      </w:tr>
      <w:tr>
        <w:tc>
          <w:tcPr>
            <w:tcW w:type="dxa" w:w="4032"/>
          </w:tcPr>
          <w:p>
            <w:r/>
            <w:r>
              <w:rPr>
                <w:sz w:val="17"/>
              </w:rPr>
              <w:t>SUBTYPE</w:t>
            </w:r>
          </w:p>
        </w:tc>
        <w:tc>
          <w:tcPr>
            <w:tcW w:type="dxa" w:w="864"/>
          </w:tcPr>
          <w:p>
            <w:r/>
            <w:r>
              <w:rPr>
                <w:sz w:val="17"/>
              </w:rPr>
              <w:t>103</w:t>
            </w:r>
          </w:p>
        </w:tc>
        <w:tc>
          <w:tcPr>
            <w:tcW w:type="dxa" w:w="1296"/>
          </w:tcPr>
          <w:p>
            <w:r/>
            <w:r>
              <w:rPr>
                <w:sz w:val="17"/>
              </w:rPr>
              <w:t>9.5</w:t>
            </w:r>
          </w:p>
        </w:tc>
        <w:tc>
          <w:tcPr>
            <w:tcW w:type="dxa" w:w="1584"/>
          </w:tcPr>
          <w:p>
            <w:r/>
            <w:r>
              <w:rPr>
                <w:sz w:val="17"/>
              </w:rPr>
              <w:t>18.4%</w:t>
            </w:r>
          </w:p>
        </w:tc>
        <w:tc>
          <w:tcPr>
            <w:tcW w:type="dxa" w:w="1584"/>
          </w:tcPr>
          <w:p>
            <w:r/>
            <w:r>
              <w:rPr>
                <w:sz w:val="17"/>
              </w:rPr>
              <w:t>13.5%</w:t>
            </w:r>
          </w:p>
        </w:tc>
      </w:tr>
      <w:tr>
        <w:tc>
          <w:tcPr>
            <w:tcW w:type="dxa" w:w="4032"/>
          </w:tcPr>
          <w:p>
            <w:r/>
            <w:r>
              <w:rPr>
                <w:sz w:val="17"/>
              </w:rPr>
              <w:t>RADIATION_THERAPY</w:t>
            </w:r>
          </w:p>
        </w:tc>
        <w:tc>
          <w:tcPr>
            <w:tcW w:type="dxa" w:w="864"/>
          </w:tcPr>
          <w:p>
            <w:r/>
            <w:r>
              <w:rPr>
                <w:sz w:val="17"/>
              </w:rPr>
              <w:t>101</w:t>
            </w:r>
          </w:p>
        </w:tc>
        <w:tc>
          <w:tcPr>
            <w:tcW w:type="dxa" w:w="1296"/>
          </w:tcPr>
          <w:p>
            <w:r/>
            <w:r>
              <w:rPr>
                <w:sz w:val="17"/>
              </w:rPr>
              <w:t>9.3</w:t>
            </w:r>
          </w:p>
        </w:tc>
        <w:tc>
          <w:tcPr>
            <w:tcW w:type="dxa" w:w="1584"/>
          </w:tcPr>
          <w:p>
            <w:r/>
            <w:r>
              <w:rPr>
                <w:sz w:val="17"/>
              </w:rPr>
              <w:t>41.6%</w:t>
            </w:r>
          </w:p>
        </w:tc>
        <w:tc>
          <w:tcPr>
            <w:tcW w:type="dxa" w:w="1584"/>
          </w:tcPr>
          <w:p>
            <w:r/>
            <w:r>
              <w:rPr>
                <w:sz w:val="17"/>
              </w:rPr>
              <w:t>11.1%</w:t>
            </w:r>
          </w:p>
        </w:tc>
      </w:tr>
      <w:tr>
        <w:tc>
          <w:tcPr>
            <w:tcW w:type="dxa" w:w="4032"/>
          </w:tcPr>
          <w:p>
            <w:r/>
            <w:r>
              <w:rPr>
                <w:sz w:val="17"/>
              </w:rPr>
              <w:t>ETHNICITY</w:t>
            </w:r>
          </w:p>
        </w:tc>
        <w:tc>
          <w:tcPr>
            <w:tcW w:type="dxa" w:w="864"/>
          </w:tcPr>
          <w:p>
            <w:r/>
            <w:r>
              <w:rPr>
                <w:sz w:val="17"/>
              </w:rPr>
              <w:t>169</w:t>
            </w:r>
          </w:p>
        </w:tc>
        <w:tc>
          <w:tcPr>
            <w:tcW w:type="dxa" w:w="1296"/>
          </w:tcPr>
          <w:p>
            <w:r/>
            <w:r>
              <w:rPr>
                <w:sz w:val="17"/>
              </w:rPr>
              <w:t>15.6</w:t>
            </w:r>
          </w:p>
        </w:tc>
        <w:tc>
          <w:tcPr>
            <w:tcW w:type="dxa" w:w="1584"/>
          </w:tcPr>
          <w:p>
            <w:r/>
            <w:r>
              <w:rPr>
                <w:sz w:val="17"/>
              </w:rPr>
              <w:t>5.9%</w:t>
            </w:r>
          </w:p>
        </w:tc>
        <w:tc>
          <w:tcPr>
            <w:tcW w:type="dxa" w:w="1584"/>
          </w:tcPr>
          <w:p>
            <w:r/>
            <w:r>
              <w:rPr>
                <w:sz w:val="17"/>
              </w:rPr>
              <w:t>15.4%</w:t>
            </w:r>
          </w:p>
        </w:tc>
      </w:tr>
      <w:tr>
        <w:tc>
          <w:tcPr>
            <w:tcW w:type="dxa" w:w="4032"/>
          </w:tcPr>
          <w:p>
            <w:r/>
            <w:r>
              <w:rPr>
                <w:sz w:val="17"/>
              </w:rPr>
              <w:t>PRIMARY_LYMPH_NODE_PRESENTATION_ASSESSMENT</w:t>
            </w:r>
          </w:p>
        </w:tc>
        <w:tc>
          <w:tcPr>
            <w:tcW w:type="dxa" w:w="864"/>
          </w:tcPr>
          <w:p>
            <w:r/>
            <w:r>
              <w:rPr>
                <w:sz w:val="17"/>
              </w:rPr>
              <w:t>364</w:t>
            </w:r>
          </w:p>
        </w:tc>
        <w:tc>
          <w:tcPr>
            <w:tcW w:type="dxa" w:w="1296"/>
          </w:tcPr>
          <w:p>
            <w:r/>
            <w:r>
              <w:rPr>
                <w:sz w:val="17"/>
              </w:rPr>
              <w:t>33.6</w:t>
            </w:r>
          </w:p>
        </w:tc>
        <w:tc>
          <w:tcPr>
            <w:tcW w:type="dxa" w:w="1584"/>
          </w:tcPr>
          <w:p>
            <w:r/>
            <w:r>
              <w:rPr>
                <w:sz w:val="17"/>
              </w:rPr>
              <w:t>14.8%</w:t>
            </w:r>
          </w:p>
        </w:tc>
        <w:tc>
          <w:tcPr>
            <w:tcW w:type="dxa" w:w="1584"/>
          </w:tcPr>
          <w:p>
            <w:r/>
            <w:r>
              <w:rPr>
                <w:sz w:val="17"/>
              </w:rPr>
              <w:t>13.5%</w:t>
            </w:r>
          </w:p>
        </w:tc>
      </w:tr>
      <w:tr>
        <w:tc>
          <w:tcPr>
            <w:tcW w:type="dxa" w:w="4032"/>
          </w:tcPr>
          <w:p>
            <w:r/>
            <w:r>
              <w:rPr>
                <w:sz w:val="17"/>
              </w:rPr>
              <w:t>RACE</w:t>
            </w:r>
          </w:p>
        </w:tc>
        <w:tc>
          <w:tcPr>
            <w:tcW w:type="dxa" w:w="864"/>
          </w:tcPr>
          <w:p>
            <w:r/>
            <w:r>
              <w:rPr>
                <w:sz w:val="17"/>
              </w:rPr>
              <w:t>90</w:t>
            </w:r>
          </w:p>
        </w:tc>
        <w:tc>
          <w:tcPr>
            <w:tcW w:type="dxa" w:w="1296"/>
          </w:tcPr>
          <w:p>
            <w:r/>
            <w:r>
              <w:rPr>
                <w:sz w:val="17"/>
              </w:rPr>
              <w:t>8.3</w:t>
            </w:r>
          </w:p>
        </w:tc>
        <w:tc>
          <w:tcPr>
            <w:tcW w:type="dxa" w:w="1584"/>
          </w:tcPr>
          <w:p>
            <w:r/>
            <w:r>
              <w:rPr>
                <w:sz w:val="17"/>
              </w:rPr>
              <w:t>7.8%</w:t>
            </w:r>
          </w:p>
        </w:tc>
        <w:tc>
          <w:tcPr>
            <w:tcW w:type="dxa" w:w="1584"/>
          </w:tcPr>
          <w:p>
            <w:r/>
            <w:r>
              <w:rPr>
                <w:sz w:val="17"/>
              </w:rPr>
              <w:t>14.5%</w:t>
            </w:r>
          </w:p>
        </w:tc>
      </w:tr>
      <w:tr>
        <w:tc>
          <w:tcPr>
            <w:tcW w:type="dxa" w:w="4032"/>
          </w:tcPr>
          <w:p>
            <w:r/>
            <w:r>
              <w:rPr>
                <w:sz w:val="17"/>
              </w:rPr>
              <w:t>PERSON_NEOPLASM_CANCER_STATUS</w:t>
            </w:r>
          </w:p>
        </w:tc>
        <w:tc>
          <w:tcPr>
            <w:tcW w:type="dxa" w:w="864"/>
          </w:tcPr>
          <w:p>
            <w:r/>
            <w:r>
              <w:rPr>
                <w:sz w:val="17"/>
              </w:rPr>
              <w:t>123</w:t>
            </w:r>
          </w:p>
        </w:tc>
        <w:tc>
          <w:tcPr>
            <w:tcW w:type="dxa" w:w="1296"/>
          </w:tcPr>
          <w:p>
            <w:r/>
            <w:r>
              <w:rPr>
                <w:sz w:val="17"/>
              </w:rPr>
              <w:t>11.3</w:t>
            </w:r>
          </w:p>
        </w:tc>
        <w:tc>
          <w:tcPr>
            <w:tcW w:type="dxa" w:w="1584"/>
          </w:tcPr>
          <w:p>
            <w:r/>
            <w:r>
              <w:rPr>
                <w:sz w:val="17"/>
              </w:rPr>
              <w:t>21.1%</w:t>
            </w:r>
          </w:p>
        </w:tc>
        <w:tc>
          <w:tcPr>
            <w:tcW w:type="dxa" w:w="1584"/>
          </w:tcPr>
          <w:p>
            <w:r/>
            <w:r>
              <w:rPr>
                <w:sz w:val="17"/>
              </w:rPr>
              <w:t>13.0%</w:t>
            </w:r>
          </w:p>
        </w:tc>
      </w:tr>
      <w:tr>
        <w:tc>
          <w:tcPr>
            <w:tcW w:type="dxa" w:w="4032"/>
          </w:tcPr>
          <w:p>
            <w:r/>
            <w:r>
              <w:rPr>
                <w:sz w:val="17"/>
              </w:rPr>
              <w:t>NEW_TUMOR_EVENT_AFTER_INITIAL_TREATMENT</w:t>
            </w:r>
          </w:p>
        </w:tc>
        <w:tc>
          <w:tcPr>
            <w:tcW w:type="dxa" w:w="864"/>
          </w:tcPr>
          <w:p>
            <w:r/>
            <w:r>
              <w:rPr>
                <w:sz w:val="17"/>
              </w:rPr>
              <w:t>199</w:t>
            </w:r>
          </w:p>
        </w:tc>
        <w:tc>
          <w:tcPr>
            <w:tcW w:type="dxa" w:w="1296"/>
          </w:tcPr>
          <w:p>
            <w:r/>
            <w:r>
              <w:rPr>
                <w:sz w:val="17"/>
              </w:rPr>
              <w:t>18.4</w:t>
            </w:r>
          </w:p>
        </w:tc>
        <w:tc>
          <w:tcPr>
            <w:tcW w:type="dxa" w:w="1584"/>
          </w:tcPr>
          <w:p>
            <w:r/>
            <w:r>
              <w:rPr>
                <w:sz w:val="17"/>
              </w:rPr>
              <w:t>28.1%</w:t>
            </w:r>
          </w:p>
        </w:tc>
        <w:tc>
          <w:tcPr>
            <w:tcW w:type="dxa" w:w="1584"/>
          </w:tcPr>
          <w:p>
            <w:r/>
            <w:r>
              <w:rPr>
                <w:sz w:val="17"/>
              </w:rPr>
              <w:t>10.7%</w:t>
            </w:r>
          </w:p>
        </w:tc>
      </w:tr>
      <w:tr>
        <w:tc>
          <w:tcPr>
            <w:tcW w:type="dxa" w:w="4032"/>
          </w:tcPr>
          <w:p>
            <w:r/>
            <w:r>
              <w:rPr>
                <w:sz w:val="17"/>
              </w:rPr>
              <w:t>AJCC_STAGING_EDITION</w:t>
            </w:r>
          </w:p>
        </w:tc>
        <w:tc>
          <w:tcPr>
            <w:tcW w:type="dxa" w:w="864"/>
          </w:tcPr>
          <w:p>
            <w:r/>
            <w:r>
              <w:rPr>
                <w:sz w:val="17"/>
              </w:rPr>
              <w:t>140</w:t>
            </w:r>
          </w:p>
        </w:tc>
        <w:tc>
          <w:tcPr>
            <w:tcW w:type="dxa" w:w="1296"/>
          </w:tcPr>
          <w:p>
            <w:r/>
            <w:r>
              <w:rPr>
                <w:sz w:val="17"/>
              </w:rPr>
              <w:t>12.9</w:t>
            </w:r>
          </w:p>
        </w:tc>
        <w:tc>
          <w:tcPr>
            <w:tcW w:type="dxa" w:w="1584"/>
          </w:tcPr>
          <w:p>
            <w:r/>
            <w:r>
              <w:rPr>
                <w:sz w:val="17"/>
              </w:rPr>
              <w:t>12.1%</w:t>
            </w:r>
          </w:p>
        </w:tc>
        <w:tc>
          <w:tcPr>
            <w:tcW w:type="dxa" w:w="1584"/>
          </w:tcPr>
          <w:p>
            <w:r/>
            <w:r>
              <w:rPr>
                <w:sz w:val="17"/>
              </w:rPr>
              <w:t>14.2%</w:t>
            </w:r>
          </w:p>
        </w:tc>
      </w:tr>
      <w:tr>
        <w:tc>
          <w:tcPr>
            <w:tcW w:type="dxa" w:w="4032"/>
          </w:tcPr>
          <w:p>
            <w:r/>
            <w:r>
              <w:rPr>
                <w:sz w:val="17"/>
              </w:rPr>
              <w:t>DAYS_LAST_FOLLOWUP</w:t>
            </w:r>
          </w:p>
        </w:tc>
        <w:tc>
          <w:tcPr>
            <w:tcW w:type="dxa" w:w="864"/>
          </w:tcPr>
          <w:p>
            <w:r/>
            <w:r>
              <w:rPr>
                <w:sz w:val="17"/>
              </w:rPr>
              <w:t>104</w:t>
            </w:r>
          </w:p>
        </w:tc>
        <w:tc>
          <w:tcPr>
            <w:tcW w:type="dxa" w:w="1296"/>
          </w:tcPr>
          <w:p>
            <w:r/>
            <w:r>
              <w:rPr>
                <w:sz w:val="17"/>
              </w:rPr>
              <w:t>9.6</w:t>
            </w:r>
          </w:p>
        </w:tc>
        <w:tc>
          <w:tcPr>
            <w:tcW w:type="dxa" w:w="1584"/>
          </w:tcPr>
          <w:p>
            <w:r/>
            <w:r>
              <w:rPr>
                <w:sz w:val="17"/>
              </w:rPr>
              <w:t>100.0%</w:t>
            </w:r>
          </w:p>
        </w:tc>
        <w:tc>
          <w:tcPr>
            <w:tcW w:type="dxa" w:w="1584"/>
          </w:tcPr>
          <w:p>
            <w:r/>
            <w:r>
              <w:rPr>
                <w:sz w:val="17"/>
              </w:rPr>
              <w:t>4.8%</w:t>
            </w:r>
          </w:p>
        </w:tc>
      </w:tr>
      <w:tr>
        <w:tc>
          <w:tcPr>
            <w:tcW w:type="dxa" w:w="4032"/>
          </w:tcPr>
          <w:p>
            <w:r/>
            <w:r>
              <w:rPr>
                <w:sz w:val="17"/>
              </w:rPr>
              <w:t>PATH_N_STAGE = NX</w:t>
            </w:r>
          </w:p>
        </w:tc>
        <w:tc>
          <w:tcPr>
            <w:tcW w:type="dxa" w:w="864"/>
          </w:tcPr>
          <w:p>
            <w:r/>
            <w:r>
              <w:rPr>
                <w:sz w:val="17"/>
              </w:rPr>
              <w:t>20</w:t>
            </w:r>
          </w:p>
        </w:tc>
        <w:tc>
          <w:tcPr>
            <w:tcW w:type="dxa" w:w="1296"/>
          </w:tcPr>
          <w:p>
            <w:r/>
            <w:r>
              <w:rPr>
                <w:sz w:val="17"/>
              </w:rPr>
              <w:t>1.8</w:t>
            </w:r>
          </w:p>
        </w:tc>
        <w:tc>
          <w:tcPr>
            <w:tcW w:type="dxa" w:w="1584"/>
          </w:tcPr>
          <w:p>
            <w:r/>
            <w:r>
              <w:rPr>
                <w:sz w:val="17"/>
              </w:rPr>
              <w:t>55.0%</w:t>
            </w:r>
          </w:p>
        </w:tc>
        <w:tc>
          <w:tcPr>
            <w:tcW w:type="dxa" w:w="1584"/>
          </w:tcPr>
          <w:p>
            <w:r/>
            <w:r>
              <w:rPr>
                <w:sz w:val="17"/>
              </w:rPr>
              <w:t>13.2%</w:t>
            </w:r>
          </w:p>
        </w:tc>
      </w:tr>
      <w:tr>
        <w:tc>
          <w:tcPr>
            <w:tcW w:type="dxa" w:w="4032"/>
          </w:tcPr>
          <w:p>
            <w:r/>
            <w:r>
              <w:rPr>
                <w:sz w:val="17"/>
              </w:rPr>
              <w:t>PATH_M_STAGE = MX</w:t>
            </w:r>
          </w:p>
        </w:tc>
        <w:tc>
          <w:tcPr>
            <w:tcW w:type="dxa" w:w="864"/>
          </w:tcPr>
          <w:p>
            <w:r/>
            <w:r>
              <w:rPr>
                <w:sz w:val="17"/>
              </w:rPr>
              <w:t>162</w:t>
            </w:r>
          </w:p>
        </w:tc>
        <w:tc>
          <w:tcPr>
            <w:tcW w:type="dxa" w:w="1296"/>
          </w:tcPr>
          <w:p>
            <w:r/>
            <w:r>
              <w:rPr>
                <w:sz w:val="17"/>
              </w:rPr>
              <w:t>14.9</w:t>
            </w:r>
          </w:p>
        </w:tc>
        <w:tc>
          <w:tcPr>
            <w:tcW w:type="dxa" w:w="1584"/>
          </w:tcPr>
          <w:p>
            <w:r/>
            <w:r>
              <w:rPr>
                <w:sz w:val="17"/>
              </w:rPr>
              <w:t>8.6%</w:t>
            </w:r>
          </w:p>
        </w:tc>
        <w:tc>
          <w:tcPr>
            <w:tcW w:type="dxa" w:w="1584"/>
          </w:tcPr>
          <w:p>
            <w:r/>
            <w:r>
              <w:rPr>
                <w:sz w:val="17"/>
              </w:rPr>
              <w:t>14.9%</w:t>
            </w:r>
          </w:p>
        </w:tc>
      </w:tr>
      <w:tr>
        <w:tc>
          <w:tcPr>
            <w:tcW w:type="dxa" w:w="4032"/>
          </w:tcPr>
          <w:p>
            <w:r/>
            <w:r>
              <w:rPr>
                <w:sz w:val="17"/>
              </w:rPr>
              <w:t>PATH_T_STAGE = TX</w:t>
            </w:r>
          </w:p>
        </w:tc>
        <w:tc>
          <w:tcPr>
            <w:tcW w:type="dxa" w:w="864"/>
          </w:tcPr>
          <w:p>
            <w:r/>
            <w:r>
              <w:rPr>
                <w:sz w:val="17"/>
              </w:rPr>
              <w:t>3</w:t>
            </w:r>
          </w:p>
        </w:tc>
        <w:tc>
          <w:tcPr>
            <w:tcW w:type="dxa" w:w="1296"/>
          </w:tcPr>
          <w:p>
            <w:r/>
            <w:r>
              <w:rPr>
                <w:sz w:val="17"/>
              </w:rPr>
              <w:t>0.3</w:t>
            </w:r>
          </w:p>
        </w:tc>
        <w:tc>
          <w:tcPr>
            <w:tcW w:type="dxa" w:w="1584"/>
          </w:tcPr>
          <w:p>
            <w:r/>
            <w:r>
              <w:rPr>
                <w:sz w:val="17"/>
              </w:rPr>
              <w:t>33.3%</w:t>
            </w:r>
          </w:p>
        </w:tc>
        <w:tc>
          <w:tcPr>
            <w:tcW w:type="dxa" w:w="1584"/>
          </w:tcPr>
          <w:p>
            <w:r/>
            <w:r>
              <w:rPr>
                <w:sz w:val="17"/>
              </w:rPr>
              <w:t>13.9%</w:t>
            </w:r>
          </w:p>
        </w:tc>
      </w:tr>
    </w:tbl>
    <w:p>
      <w:pPr>
        <w:spacing w:after="80"/>
      </w:pPr>
    </w:p>
    <w:p>
      <w:pPr>
        <w:spacing w:after="120" w:line="276" w:lineRule="auto"/>
        <w:jc w:val="both"/>
      </w:pPr>
      <w:r>
        <w:rPr>
          <w:b w:val="0"/>
          <w:i w:val="0"/>
        </w:rPr>
        <w:t>The revised proposal retains radiation therapy and sets NX / MX to missing, and XGBoost reads blanks natively. But radiation therapy is blank for 101 patients, 42% of whom died against 11% of those recorded; NX has a death rate of 55% (n = 20); and the 90 patients without a recorded race have a death rate of 8%. These are registry-documentation patterns, not biology, and a model will exploit them.</w:t>
      </w:r>
    </w:p>
    <w:p>
      <w:pPr>
        <w:pStyle w:val="Heading3"/>
      </w:pPr>
      <w:r>
        <w:t>4.4.2 Leakage ladder and artefact ablation</w:t>
      </w:r>
    </w:p>
    <w:p>
      <w:pPr>
        <w:spacing w:after="160"/>
      </w:pPr>
      <w:r>
        <w:rPr>
          <w:b/>
          <w:sz w:val="21"/>
        </w:rPr>
        <w:t>Table 4.3: Cross-validated performance as columns are added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184"/>
            <w:shd w:val="clear" w:color="auto" w:fill="E8ECF1"/>
          </w:tcPr>
          <w:p>
            <w:r/>
            <w:r>
              <w:rPr>
                <w:b/>
                <w:sz w:val="18"/>
              </w:rPr>
              <w:t>Feature set</w:t>
            </w:r>
          </w:p>
        </w:tc>
        <w:tc>
          <w:tcPr>
            <w:tcW w:type="dxa" w:w="1008"/>
            <w:shd w:val="clear" w:color="auto" w:fill="E8ECF1"/>
          </w:tcPr>
          <w:p>
            <w:r/>
            <w:r>
              <w:rPr>
                <w:b/>
                <w:sz w:val="18"/>
              </w:rPr>
              <w:t>AUC</w:t>
            </w:r>
          </w:p>
        </w:tc>
        <w:tc>
          <w:tcPr>
            <w:tcW w:type="dxa" w:w="1152"/>
            <w:shd w:val="clear" w:color="auto" w:fill="E8ECF1"/>
          </w:tcPr>
          <w:p>
            <w:r/>
            <w:r>
              <w:rPr>
                <w:b/>
                <w:sz w:val="18"/>
              </w:rPr>
              <w:t>PR-AUC</w:t>
            </w:r>
          </w:p>
        </w:tc>
        <w:tc>
          <w:tcPr>
            <w:tcW w:type="dxa" w:w="2016"/>
            <w:shd w:val="clear" w:color="auto" w:fill="E8ECF1"/>
          </w:tcPr>
          <w:p>
            <w:r/>
            <w:r>
              <w:rPr>
                <w:b/>
                <w:sz w:val="18"/>
              </w:rPr>
              <w:t>Precision at 80 % recall</w:t>
            </w:r>
          </w:p>
        </w:tc>
      </w:tr>
      <w:tr>
        <w:tc>
          <w:tcPr>
            <w:tcW w:type="dxa" w:w="5184"/>
          </w:tcPr>
          <w:p>
            <w:r/>
            <w:r>
              <w:rPr>
                <w:sz w:val="18"/>
              </w:rPr>
              <w:t>Audit-hardened features</w:t>
            </w:r>
          </w:p>
        </w:tc>
        <w:tc>
          <w:tcPr>
            <w:tcW w:type="dxa" w:w="1008"/>
          </w:tcPr>
          <w:p>
            <w:r/>
            <w:r>
              <w:rPr>
                <w:sz w:val="18"/>
              </w:rPr>
              <w:t>0.666</w:t>
            </w:r>
          </w:p>
        </w:tc>
        <w:tc>
          <w:tcPr>
            <w:tcW w:type="dxa" w:w="1152"/>
          </w:tcPr>
          <w:p>
            <w:r/>
            <w:r>
              <w:rPr>
                <w:sz w:val="18"/>
              </w:rPr>
              <w:t>0.314</w:t>
            </w:r>
          </w:p>
        </w:tc>
        <w:tc>
          <w:tcPr>
            <w:tcW w:type="dxa" w:w="2016"/>
          </w:tcPr>
          <w:p>
            <w:r/>
            <w:r>
              <w:rPr>
                <w:sz w:val="18"/>
              </w:rPr>
              <w:t>18.1%</w:t>
            </w:r>
          </w:p>
        </w:tc>
      </w:tr>
      <w:tr>
        <w:tc>
          <w:tcPr>
            <w:tcW w:type="dxa" w:w="5184"/>
          </w:tcPr>
          <w:p>
            <w:r/>
            <w:r>
              <w:rPr>
                <w:sz w:val="18"/>
              </w:rPr>
              <w:t>Proposal Table 3.2 predictors (as specified)</w:t>
            </w:r>
          </w:p>
        </w:tc>
        <w:tc>
          <w:tcPr>
            <w:tcW w:type="dxa" w:w="1008"/>
          </w:tcPr>
          <w:p>
            <w:r/>
            <w:r>
              <w:rPr>
                <w:sz w:val="18"/>
              </w:rPr>
              <w:t>0.758</w:t>
            </w:r>
          </w:p>
        </w:tc>
        <w:tc>
          <w:tcPr>
            <w:tcW w:type="dxa" w:w="1152"/>
          </w:tcPr>
          <w:p>
            <w:r/>
            <w:r>
              <w:rPr>
                <w:sz w:val="18"/>
              </w:rPr>
              <w:t>0.466</w:t>
            </w:r>
          </w:p>
        </w:tc>
        <w:tc>
          <w:tcPr>
            <w:tcW w:type="dxa" w:w="2016"/>
          </w:tcPr>
          <w:p>
            <w:r/>
            <w:r>
              <w:rPr>
                <w:sz w:val="18"/>
              </w:rPr>
              <w:t>20.9%</w:t>
            </w:r>
          </w:p>
        </w:tc>
      </w:tr>
      <w:tr>
        <w:tc>
          <w:tcPr>
            <w:tcW w:type="dxa" w:w="5184"/>
          </w:tcPr>
          <w:p>
            <w:r/>
            <w:r>
              <w:rPr>
                <w:sz w:val="18"/>
              </w:rPr>
              <w:t>+ ethnicity and node-assessment</w:t>
            </w:r>
          </w:p>
        </w:tc>
        <w:tc>
          <w:tcPr>
            <w:tcW w:type="dxa" w:w="1008"/>
          </w:tcPr>
          <w:p>
            <w:r/>
            <w:r>
              <w:rPr>
                <w:sz w:val="18"/>
              </w:rPr>
              <w:t>0.768</w:t>
            </w:r>
          </w:p>
        </w:tc>
        <w:tc>
          <w:tcPr>
            <w:tcW w:type="dxa" w:w="1152"/>
          </w:tcPr>
          <w:p>
            <w:r/>
            <w:r>
              <w:rPr>
                <w:sz w:val="18"/>
              </w:rPr>
              <w:t>0.476</w:t>
            </w:r>
          </w:p>
        </w:tc>
        <w:tc>
          <w:tcPr>
            <w:tcW w:type="dxa" w:w="2016"/>
          </w:tcPr>
          <w:p>
            <w:r/>
            <w:r>
              <w:rPr>
                <w:sz w:val="18"/>
              </w:rPr>
              <w:t>22.0%</w:t>
            </w:r>
          </w:p>
        </w:tc>
      </w:tr>
      <w:tr>
        <w:tc>
          <w:tcPr>
            <w:tcW w:type="dxa" w:w="5184"/>
          </w:tcPr>
          <w:p>
            <w:r/>
            <w:r>
              <w:rPr>
                <w:sz w:val="18"/>
              </w:rPr>
              <w:t>+ tumour status &amp; new tumour event at follow-up</w:t>
            </w:r>
          </w:p>
        </w:tc>
        <w:tc>
          <w:tcPr>
            <w:tcW w:type="dxa" w:w="1008"/>
          </w:tcPr>
          <w:p>
            <w:r/>
            <w:r>
              <w:rPr>
                <w:sz w:val="18"/>
              </w:rPr>
              <w:t>0.88</w:t>
            </w:r>
          </w:p>
        </w:tc>
        <w:tc>
          <w:tcPr>
            <w:tcW w:type="dxa" w:w="1152"/>
          </w:tcPr>
          <w:p>
            <w:r/>
            <w:r>
              <w:rPr>
                <w:sz w:val="18"/>
              </w:rPr>
              <w:t>0.636</w:t>
            </w:r>
          </w:p>
        </w:tc>
        <w:tc>
          <w:tcPr>
            <w:tcW w:type="dxa" w:w="2016"/>
          </w:tcPr>
          <w:p>
            <w:r/>
            <w:r>
              <w:rPr>
                <w:sz w:val="18"/>
              </w:rPr>
              <w:t>38.4%</w:t>
            </w:r>
          </w:p>
        </w:tc>
      </w:tr>
      <w:tr>
        <w:tc>
          <w:tcPr>
            <w:tcW w:type="dxa" w:w="5184"/>
          </w:tcPr>
          <w:p>
            <w:r/>
            <w:r>
              <w:rPr>
                <w:sz w:val="18"/>
              </w:rPr>
              <w:t>+ days to last follow-up</w:t>
            </w:r>
          </w:p>
        </w:tc>
        <w:tc>
          <w:tcPr>
            <w:tcW w:type="dxa" w:w="1008"/>
          </w:tcPr>
          <w:p>
            <w:r/>
            <w:r>
              <w:rPr>
                <w:sz w:val="18"/>
              </w:rPr>
              <w:t>0.945</w:t>
            </w:r>
          </w:p>
        </w:tc>
        <w:tc>
          <w:tcPr>
            <w:tcW w:type="dxa" w:w="1152"/>
          </w:tcPr>
          <w:p>
            <w:r/>
            <w:r>
              <w:rPr>
                <w:sz w:val="18"/>
              </w:rPr>
              <w:t>0.891</w:t>
            </w:r>
          </w:p>
        </w:tc>
        <w:tc>
          <w:tcPr>
            <w:tcW w:type="dxa" w:w="2016"/>
          </w:tcPr>
          <w:p>
            <w:r/>
            <w:r>
              <w:rPr>
                <w:sz w:val="18"/>
              </w:rPr>
              <w:t>79.8%</w:t>
            </w:r>
          </w:p>
        </w:tc>
      </w:tr>
    </w:tbl>
    <w:p>
      <w:pPr>
        <w:spacing w:after="80"/>
      </w:pPr>
    </w:p>
    <w:p>
      <w:pPr>
        <w:jc w:val="center"/>
      </w:pPr>
      <w:r>
        <w:drawing>
          <wp:inline xmlns:a="http://schemas.openxmlformats.org/drawingml/2006/main" xmlns:pic="http://schemas.openxmlformats.org/drawingml/2006/picture">
            <wp:extent cx="5303520" cy="1915798"/>
            <wp:docPr id="4" name="Picture 4"/>
            <wp:cNvGraphicFramePr>
              <a:graphicFrameLocks noChangeAspect="1"/>
            </wp:cNvGraphicFramePr>
            <a:graphic>
              <a:graphicData uri="http://schemas.openxmlformats.org/drawingml/2006/picture">
                <pic:pic>
                  <pic:nvPicPr>
                    <pic:cNvPr id="0" name="02_leakage_ladder.png"/>
                    <pic:cNvPicPr/>
                  </pic:nvPicPr>
                  <pic:blipFill>
                    <a:blip r:embed="rId13"/>
                    <a:stretch>
                      <a:fillRect/>
                    </a:stretch>
                  </pic:blipFill>
                  <pic:spPr>
                    <a:xfrm>
                      <a:off x="0" y="0"/>
                      <a:ext cx="5303520" cy="1915798"/>
                    </a:xfrm>
                    <a:prstGeom prst="rect"/>
                  </pic:spPr>
                </pic:pic>
              </a:graphicData>
            </a:graphic>
          </wp:inline>
        </w:drawing>
      </w:r>
    </w:p>
    <w:p>
      <w:pPr>
        <w:spacing w:after="160"/>
        <w:jc w:val="center"/>
      </w:pPr>
      <w:r>
        <w:rPr>
          <w:b/>
          <w:sz w:val="21"/>
        </w:rPr>
        <w:t>Figure 4.2: Apparent performance as excluded columns are added back</w:t>
      </w:r>
    </w:p>
    <w:p>
      <w:pPr>
        <w:spacing w:after="120" w:line="276" w:lineRule="auto"/>
        <w:jc w:val="both"/>
      </w:pPr>
      <w:r>
        <w:rPr>
          <w:b w:val="0"/>
          <w:i w:val="0"/>
        </w:rPr>
        <w:t>Starting from audit-hardened features (AUC 0.666), the proposal's predictor list reaches 0.758, adding ethnicity and node assessment 0.768, post-baseline tumour status 0.880 and days to last follow-up 0.945, at which a flagged patient would be a true death 80% of the time. The last two rungs are leakage and are rightly excluded by the revised proposal. The step from the first to the second rung is subtler and needs attention: Table 4.4 and Figure 4.3 show where it comes from.</w:t>
      </w:r>
    </w:p>
    <w:p>
      <w:pPr>
        <w:spacing w:after="160"/>
      </w:pPr>
      <w:r>
        <w:rPr>
          <w:b/>
          <w:sz w:val="21"/>
        </w:rPr>
        <w:t>Table 4.4: Where the as-specified model's extra AUC comes from (artefact ablation; 5 x 5 CV)</w:t>
      </w:r>
    </w:p>
    <w:tbl>
      <w:tblPr>
        <w:tblStyle w:val="TableGrid"/>
        <w:tblW w:type="auto" w:w="0"/>
        <w:jc w:val="center"/>
        <w:tblLook w:firstColumn="1" w:firstRow="1" w:lastColumn="0" w:lastRow="0" w:noHBand="0" w:noVBand="1" w:val="04A0"/>
      </w:tblPr>
      <w:tblGrid>
        <w:gridCol w:w="3120"/>
        <w:gridCol w:w="3120"/>
        <w:gridCol w:w="3120"/>
      </w:tblGrid>
      <w:tr>
        <w:tc>
          <w:tcPr>
            <w:tcW w:type="dxa" w:w="6192"/>
            <w:shd w:val="clear" w:color="auto" w:fill="E8ECF1"/>
          </w:tcPr>
          <w:p>
            <w:r/>
            <w:r>
              <w:rPr>
                <w:b/>
                <w:sz w:val="18"/>
              </w:rPr>
              <w:t>Variant</w:t>
            </w:r>
          </w:p>
        </w:tc>
        <w:tc>
          <w:tcPr>
            <w:tcW w:type="dxa" w:w="1152"/>
            <w:shd w:val="clear" w:color="auto" w:fill="E8ECF1"/>
          </w:tcPr>
          <w:p>
            <w:r/>
            <w:r>
              <w:rPr>
                <w:b/>
                <w:sz w:val="18"/>
              </w:rPr>
              <w:t>AUC</w:t>
            </w:r>
          </w:p>
        </w:tc>
        <w:tc>
          <w:tcPr>
            <w:tcW w:type="dxa" w:w="1296"/>
            <w:shd w:val="clear" w:color="auto" w:fill="E8ECF1"/>
          </w:tcPr>
          <w:p>
            <w:r/>
            <w:r>
              <w:rPr>
                <w:b/>
                <w:sz w:val="18"/>
              </w:rPr>
              <w:t>PR-AUC</w:t>
            </w:r>
          </w:p>
        </w:tc>
      </w:tr>
      <w:tr>
        <w:tc>
          <w:tcPr>
            <w:tcW w:type="dxa" w:w="6192"/>
          </w:tcPr>
          <w:p>
            <w:r/>
            <w:r>
              <w:rPr>
                <w:sz w:val="18"/>
              </w:rPr>
              <w:t>Proposal predictors (as specified)</w:t>
            </w:r>
          </w:p>
        </w:tc>
        <w:tc>
          <w:tcPr>
            <w:tcW w:type="dxa" w:w="1152"/>
          </w:tcPr>
          <w:p>
            <w:r/>
            <w:r>
              <w:rPr>
                <w:sz w:val="18"/>
              </w:rPr>
              <w:t>0.758</w:t>
            </w:r>
          </w:p>
        </w:tc>
        <w:tc>
          <w:tcPr>
            <w:tcW w:type="dxa" w:w="1296"/>
          </w:tcPr>
          <w:p>
            <w:r/>
            <w:r>
              <w:rPr>
                <w:sz w:val="18"/>
              </w:rPr>
              <w:t>0.466</w:t>
            </w:r>
          </w:p>
        </w:tc>
      </w:tr>
      <w:tr>
        <w:tc>
          <w:tcPr>
            <w:tcW w:type="dxa" w:w="6192"/>
          </w:tcPr>
          <w:p>
            <w:r/>
            <w:r>
              <w:rPr>
                <w:sz w:val="18"/>
              </w:rPr>
              <w:t>minus radiation therapy (blank = 42 % death)</w:t>
            </w:r>
          </w:p>
        </w:tc>
        <w:tc>
          <w:tcPr>
            <w:tcW w:type="dxa" w:w="1152"/>
          </w:tcPr>
          <w:p>
            <w:r/>
            <w:r>
              <w:rPr>
                <w:sz w:val="18"/>
              </w:rPr>
              <w:t>0.699</w:t>
            </w:r>
          </w:p>
        </w:tc>
        <w:tc>
          <w:tcPr>
            <w:tcW w:type="dxa" w:w="1296"/>
          </w:tcPr>
          <w:p>
            <w:r/>
            <w:r>
              <w:rPr>
                <w:sz w:val="18"/>
              </w:rPr>
              <w:t>0.343</w:t>
            </w:r>
          </w:p>
        </w:tc>
      </w:tr>
      <w:tr>
        <w:tc>
          <w:tcPr>
            <w:tcW w:type="dxa" w:w="6192"/>
          </w:tcPr>
          <w:p>
            <w:r/>
            <w:r>
              <w:rPr>
                <w:sz w:val="18"/>
              </w:rPr>
              <w:t>minus race recorded / not recorded signal (unknown -&gt; White)</w:t>
            </w:r>
          </w:p>
        </w:tc>
        <w:tc>
          <w:tcPr>
            <w:tcW w:type="dxa" w:w="1152"/>
          </w:tcPr>
          <w:p>
            <w:r/>
            <w:r>
              <w:rPr>
                <w:sz w:val="18"/>
              </w:rPr>
              <w:t>0.746</w:t>
            </w:r>
          </w:p>
        </w:tc>
        <w:tc>
          <w:tcPr>
            <w:tcW w:type="dxa" w:w="1296"/>
          </w:tcPr>
          <w:p>
            <w:r/>
            <w:r>
              <w:rPr>
                <w:sz w:val="18"/>
              </w:rPr>
              <w:t>0.394</w:t>
            </w:r>
          </w:p>
        </w:tc>
      </w:tr>
      <w:tr>
        <w:tc>
          <w:tcPr>
            <w:tcW w:type="dxa" w:w="6192"/>
          </w:tcPr>
          <w:p>
            <w:r/>
            <w:r>
              <w:rPr>
                <w:sz w:val="18"/>
              </w:rPr>
              <w:t>minus NX / MX codes (NX -&gt; N0, MX -&gt; M0)</w:t>
            </w:r>
          </w:p>
        </w:tc>
        <w:tc>
          <w:tcPr>
            <w:tcW w:type="dxa" w:w="1152"/>
          </w:tcPr>
          <w:p>
            <w:r/>
            <w:r>
              <w:rPr>
                <w:sz w:val="18"/>
              </w:rPr>
              <w:t>0.737</w:t>
            </w:r>
          </w:p>
        </w:tc>
        <w:tc>
          <w:tcPr>
            <w:tcW w:type="dxa" w:w="1296"/>
          </w:tcPr>
          <w:p>
            <w:r/>
            <w:r>
              <w:rPr>
                <w:sz w:val="18"/>
              </w:rPr>
              <w:t>0.445</w:t>
            </w:r>
          </w:p>
        </w:tc>
      </w:tr>
      <w:tr>
        <w:tc>
          <w:tcPr>
            <w:tcW w:type="dxa" w:w="6192"/>
          </w:tcPr>
          <w:p>
            <w:r/>
            <w:r>
              <w:rPr>
                <w:sz w:val="18"/>
              </w:rPr>
              <w:t>minus all three artefacts</w:t>
            </w:r>
          </w:p>
        </w:tc>
        <w:tc>
          <w:tcPr>
            <w:tcW w:type="dxa" w:w="1152"/>
          </w:tcPr>
          <w:p>
            <w:r/>
            <w:r>
              <w:rPr>
                <w:sz w:val="18"/>
              </w:rPr>
              <w:t>0.648</w:t>
            </w:r>
          </w:p>
        </w:tc>
        <w:tc>
          <w:tcPr>
            <w:tcW w:type="dxa" w:w="1296"/>
          </w:tcPr>
          <w:p>
            <w:r/>
            <w:r>
              <w:rPr>
                <w:sz w:val="18"/>
              </w:rPr>
              <w:t>0.294</w:t>
            </w:r>
          </w:p>
        </w:tc>
      </w:tr>
      <w:tr>
        <w:tc>
          <w:tcPr>
            <w:tcW w:type="dxa" w:w="6192"/>
          </w:tcPr>
          <w:p>
            <w:r/>
            <w:r>
              <w:rPr>
                <w:sz w:val="18"/>
              </w:rPr>
              <w:t>minus all three and neoadjuvant (= audit-hardened)</w:t>
            </w:r>
          </w:p>
        </w:tc>
        <w:tc>
          <w:tcPr>
            <w:tcW w:type="dxa" w:w="1152"/>
          </w:tcPr>
          <w:p>
            <w:r/>
            <w:r>
              <w:rPr>
                <w:sz w:val="18"/>
              </w:rPr>
              <w:t>0.649</w:t>
            </w:r>
          </w:p>
        </w:tc>
        <w:tc>
          <w:tcPr>
            <w:tcW w:type="dxa" w:w="1296"/>
          </w:tcPr>
          <w:p>
            <w:r/>
            <w:r>
              <w:rPr>
                <w:sz w:val="18"/>
              </w:rPr>
              <w:t>0.298</w:t>
            </w:r>
          </w:p>
        </w:tc>
      </w:tr>
      <w:tr>
        <w:tc>
          <w:tcPr>
            <w:tcW w:type="dxa" w:w="6192"/>
          </w:tcPr>
          <w:p>
            <w:r/>
            <w:r>
              <w:rPr>
                <w:sz w:val="18"/>
              </w:rPr>
              <w:t>race-blind proposal predictors</w:t>
            </w:r>
          </w:p>
        </w:tc>
        <w:tc>
          <w:tcPr>
            <w:tcW w:type="dxa" w:w="1152"/>
          </w:tcPr>
          <w:p>
            <w:r/>
            <w:r>
              <w:rPr>
                <w:sz w:val="18"/>
              </w:rPr>
              <w:t>0.738</w:t>
            </w:r>
          </w:p>
        </w:tc>
        <w:tc>
          <w:tcPr>
            <w:tcW w:type="dxa" w:w="1296"/>
          </w:tcPr>
          <w:p>
            <w:r/>
            <w:r>
              <w:rPr>
                <w:sz w:val="18"/>
              </w:rPr>
              <w:t>0.389</w:t>
            </w:r>
          </w:p>
        </w:tc>
      </w:tr>
    </w:tbl>
    <w:p>
      <w:pPr>
        <w:spacing w:after="80"/>
      </w:pPr>
    </w:p>
    <w:p>
      <w:pPr>
        <w:jc w:val="center"/>
      </w:pPr>
      <w:r>
        <w:drawing>
          <wp:inline xmlns:a="http://schemas.openxmlformats.org/drawingml/2006/main" xmlns:pic="http://schemas.openxmlformats.org/drawingml/2006/picture">
            <wp:extent cx="5303520" cy="1784575"/>
            <wp:docPr id="5" name="Picture 5"/>
            <wp:cNvGraphicFramePr>
              <a:graphicFrameLocks noChangeAspect="1"/>
            </wp:cNvGraphicFramePr>
            <a:graphic>
              <a:graphicData uri="http://schemas.openxmlformats.org/drawingml/2006/picture">
                <pic:pic>
                  <pic:nvPicPr>
                    <pic:cNvPr id="0" name="24_artefact_ablation.png"/>
                    <pic:cNvPicPr/>
                  </pic:nvPicPr>
                  <pic:blipFill>
                    <a:blip r:embed="rId14"/>
                    <a:stretch>
                      <a:fillRect/>
                    </a:stretch>
                  </pic:blipFill>
                  <pic:spPr>
                    <a:xfrm>
                      <a:off x="0" y="0"/>
                      <a:ext cx="5303520" cy="1784575"/>
                    </a:xfrm>
                    <a:prstGeom prst="rect"/>
                  </pic:spPr>
                </pic:pic>
              </a:graphicData>
            </a:graphic>
          </wp:inline>
        </w:drawing>
      </w:r>
    </w:p>
    <w:p>
      <w:pPr>
        <w:spacing w:after="160"/>
        <w:jc w:val="center"/>
      </w:pPr>
      <w:r>
        <w:rPr>
          <w:b/>
          <w:sz w:val="21"/>
        </w:rPr>
        <w:t>Figure 4.3: Cross-validated AUC after removing documentation artefacts one at a time</w:t>
      </w:r>
    </w:p>
    <w:p>
      <w:pPr>
        <w:spacing w:after="120" w:line="276" w:lineRule="auto"/>
        <w:jc w:val="both"/>
      </w:pPr>
      <w:r>
        <w:rPr>
          <w:b w:val="0"/>
          <w:i w:val="0"/>
        </w:rPr>
        <w:t>Removing radiation therapy alone lowers AUC from 0.758 to 0.699; removing the NX / MX codes to 0.737; removing the race-not-recorded signal to 0.746; and all three to 0.648. The stage-group sensitivity model reaches 0.706 and the complete-case subtype model 0.752. About 11 AUC points of the as-specified model are documentation artefacts. Both specifications are therefore carried through the study; the as-specified model is primary because it is the approved design, and the hardened model is the one this study would recommend for any use beyond the thesis.</w:t>
      </w:r>
    </w:p>
    <w:p>
      <w:pPr>
        <w:pStyle w:val="Heading2"/>
      </w:pPr>
      <w:r>
        <w:t>4.5 Model development</w:t>
      </w:r>
    </w:p>
    <w:p>
      <w:pPr>
        <w:spacing w:after="120" w:line="276" w:lineRule="auto"/>
        <w:jc w:val="both"/>
      </w:pPr>
      <w:r>
        <w:rPr>
          <w:b w:val="0"/>
          <w:i w:val="0"/>
        </w:rPr>
        <w:t>The Bayesian search selected very shallow trees (depth 2, 299 trees, learning rate 0.023, L2 penalty 9.6), i.e. at most pairwise interactions: with 151 events, higher-order interactions between clinical variables are not identifiable. Table 4.5 compares models on identical features. XGBoost, logistic regression and a random forest are statistically indistinguishable, and all are far better than the stage-only model, which has almost no discrimination (AUC 0.54): composite stage alone is a poor predictor in this cohort.</w:t>
      </w:r>
    </w:p>
    <w:p>
      <w:pPr>
        <w:spacing w:after="160"/>
      </w:pPr>
      <w:r>
        <w:rPr>
          <w:b/>
          <w:sz w:val="21"/>
        </w:rPr>
        <w:t>Table 4.5: Model benchmark (5 x 5 CV, all patients)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888"/>
            <w:shd w:val="clear" w:color="auto" w:fill="E8ECF1"/>
          </w:tcPr>
          <w:p>
            <w:r/>
            <w:r>
              <w:rPr>
                <w:b/>
                <w:sz w:val="17"/>
              </w:rPr>
              <w:t>Model</w:t>
            </w:r>
          </w:p>
        </w:tc>
        <w:tc>
          <w:tcPr>
            <w:tcW w:type="dxa" w:w="1008"/>
            <w:shd w:val="clear" w:color="auto" w:fill="E8ECF1"/>
          </w:tcPr>
          <w:p>
            <w:r/>
            <w:r>
              <w:rPr>
                <w:b/>
                <w:sz w:val="17"/>
              </w:rPr>
              <w:t>AUC</w:t>
            </w:r>
          </w:p>
        </w:tc>
        <w:tc>
          <w:tcPr>
            <w:tcW w:type="dxa" w:w="1152"/>
            <w:shd w:val="clear" w:color="auto" w:fill="E8ECF1"/>
          </w:tcPr>
          <w:p>
            <w:r/>
            <w:r>
              <w:rPr>
                <w:b/>
                <w:sz w:val="17"/>
              </w:rPr>
              <w:t>PR-AUC</w:t>
            </w:r>
          </w:p>
        </w:tc>
        <w:tc>
          <w:tcPr>
            <w:tcW w:type="dxa" w:w="1440"/>
            <w:shd w:val="clear" w:color="auto" w:fill="E8ECF1"/>
          </w:tcPr>
          <w:p>
            <w:r/>
            <w:r>
              <w:rPr>
                <w:b/>
                <w:sz w:val="17"/>
              </w:rPr>
              <w:t>FPR at 80 % recall</w:t>
            </w:r>
          </w:p>
        </w:tc>
        <w:tc>
          <w:tcPr>
            <w:tcW w:type="dxa" w:w="1152"/>
            <w:shd w:val="clear" w:color="auto" w:fill="E8ECF1"/>
          </w:tcPr>
          <w:p>
            <w:r/>
            <w:r>
              <w:rPr>
                <w:b/>
                <w:sz w:val="17"/>
              </w:rPr>
              <w:t>AUC White</w:t>
            </w:r>
          </w:p>
        </w:tc>
        <w:tc>
          <w:tcPr>
            <w:tcW w:type="dxa" w:w="1152"/>
            <w:shd w:val="clear" w:color="auto" w:fill="E8ECF1"/>
          </w:tcPr>
          <w:p>
            <w:r/>
            <w:r>
              <w:rPr>
                <w:b/>
                <w:sz w:val="17"/>
              </w:rPr>
              <w:t>AUC Black</w:t>
            </w:r>
          </w:p>
        </w:tc>
      </w:tr>
      <w:tr>
        <w:tc>
          <w:tcPr>
            <w:tcW w:type="dxa" w:w="3888"/>
          </w:tcPr>
          <w:p>
            <w:r/>
            <w:r>
              <w:rPr>
                <w:sz w:val="17"/>
              </w:rPr>
              <w:t>Stage-only (logistic)</w:t>
            </w:r>
          </w:p>
        </w:tc>
        <w:tc>
          <w:tcPr>
            <w:tcW w:type="dxa" w:w="1008"/>
          </w:tcPr>
          <w:p>
            <w:r/>
            <w:r>
              <w:rPr>
                <w:sz w:val="17"/>
              </w:rPr>
              <w:t>0.538</w:t>
            </w:r>
          </w:p>
        </w:tc>
        <w:tc>
          <w:tcPr>
            <w:tcW w:type="dxa" w:w="1152"/>
          </w:tcPr>
          <w:p>
            <w:r/>
            <w:r>
              <w:rPr>
                <w:sz w:val="17"/>
              </w:rPr>
              <w:t>0.175</w:t>
            </w:r>
          </w:p>
        </w:tc>
        <w:tc>
          <w:tcPr>
            <w:tcW w:type="dxa" w:w="1440"/>
          </w:tcPr>
          <w:p>
            <w:r/>
            <w:r>
              <w:rPr>
                <w:sz w:val="17"/>
              </w:rPr>
              <w:t>85.3%</w:t>
            </w:r>
          </w:p>
        </w:tc>
        <w:tc>
          <w:tcPr>
            <w:tcW w:type="dxa" w:w="1152"/>
          </w:tcPr>
          <w:p>
            <w:r/>
            <w:r>
              <w:rPr>
                <w:sz w:val="17"/>
              </w:rPr>
              <w:t>0.537</w:t>
            </w:r>
          </w:p>
        </w:tc>
        <w:tc>
          <w:tcPr>
            <w:tcW w:type="dxa" w:w="1152"/>
          </w:tcPr>
          <w:p>
            <w:r/>
            <w:r>
              <w:rPr>
                <w:sz w:val="17"/>
              </w:rPr>
              <w:t>0.582</w:t>
            </w:r>
          </w:p>
        </w:tc>
      </w:tr>
      <w:tr>
        <w:tc>
          <w:tcPr>
            <w:tcW w:type="dxa" w:w="3888"/>
          </w:tcPr>
          <w:p>
            <w:r/>
            <w:r>
              <w:rPr>
                <w:sz w:val="17"/>
              </w:rPr>
              <w:t>Logistic regression</w:t>
            </w:r>
          </w:p>
        </w:tc>
        <w:tc>
          <w:tcPr>
            <w:tcW w:type="dxa" w:w="1008"/>
          </w:tcPr>
          <w:p>
            <w:r/>
            <w:r>
              <w:rPr>
                <w:sz w:val="17"/>
              </w:rPr>
              <w:t>0.755</w:t>
            </w:r>
          </w:p>
        </w:tc>
        <w:tc>
          <w:tcPr>
            <w:tcW w:type="dxa" w:w="1152"/>
          </w:tcPr>
          <w:p>
            <w:r/>
            <w:r>
              <w:rPr>
                <w:sz w:val="17"/>
              </w:rPr>
              <w:t>0.444</w:t>
            </w:r>
          </w:p>
        </w:tc>
        <w:tc>
          <w:tcPr>
            <w:tcW w:type="dxa" w:w="1440"/>
          </w:tcPr>
          <w:p>
            <w:r/>
            <w:r>
              <w:rPr>
                <w:sz w:val="17"/>
              </w:rPr>
              <w:t>48.9%</w:t>
            </w:r>
          </w:p>
        </w:tc>
        <w:tc>
          <w:tcPr>
            <w:tcW w:type="dxa" w:w="1152"/>
          </w:tcPr>
          <w:p>
            <w:r/>
            <w:r>
              <w:rPr>
                <w:sz w:val="17"/>
              </w:rPr>
              <w:t>0.772</w:t>
            </w:r>
          </w:p>
        </w:tc>
        <w:tc>
          <w:tcPr>
            <w:tcW w:type="dxa" w:w="1152"/>
          </w:tcPr>
          <w:p>
            <w:r/>
            <w:r>
              <w:rPr>
                <w:sz w:val="17"/>
              </w:rPr>
              <w:t>0.708</w:t>
            </w:r>
          </w:p>
        </w:tc>
      </w:tr>
      <w:tr>
        <w:tc>
          <w:tcPr>
            <w:tcW w:type="dxa" w:w="3888"/>
          </w:tcPr>
          <w:p>
            <w:r/>
            <w:r>
              <w:rPr>
                <w:sz w:val="17"/>
              </w:rPr>
              <w:t>Random forest</w:t>
            </w:r>
          </w:p>
        </w:tc>
        <w:tc>
          <w:tcPr>
            <w:tcW w:type="dxa" w:w="1008"/>
          </w:tcPr>
          <w:p>
            <w:r/>
            <w:r>
              <w:rPr>
                <w:sz w:val="17"/>
              </w:rPr>
              <w:t>0.734</w:t>
            </w:r>
          </w:p>
        </w:tc>
        <w:tc>
          <w:tcPr>
            <w:tcW w:type="dxa" w:w="1152"/>
          </w:tcPr>
          <w:p>
            <w:r/>
            <w:r>
              <w:rPr>
                <w:sz w:val="17"/>
              </w:rPr>
              <w:t>0.417</w:t>
            </w:r>
          </w:p>
        </w:tc>
        <w:tc>
          <w:tcPr>
            <w:tcW w:type="dxa" w:w="1440"/>
          </w:tcPr>
          <w:p>
            <w:r/>
            <w:r>
              <w:rPr>
                <w:sz w:val="17"/>
              </w:rPr>
              <w:t>51.5%</w:t>
            </w:r>
          </w:p>
        </w:tc>
        <w:tc>
          <w:tcPr>
            <w:tcW w:type="dxa" w:w="1152"/>
          </w:tcPr>
          <w:p>
            <w:r/>
            <w:r>
              <w:rPr>
                <w:sz w:val="17"/>
              </w:rPr>
              <w:t>0.749</w:t>
            </w:r>
          </w:p>
        </w:tc>
        <w:tc>
          <w:tcPr>
            <w:tcW w:type="dxa" w:w="1152"/>
          </w:tcPr>
          <w:p>
            <w:r/>
            <w:r>
              <w:rPr>
                <w:sz w:val="17"/>
              </w:rPr>
              <w:t>0.68</w:t>
            </w:r>
          </w:p>
        </w:tc>
      </w:tr>
      <w:tr>
        <w:tc>
          <w:tcPr>
            <w:tcW w:type="dxa" w:w="3888"/>
          </w:tcPr>
          <w:p>
            <w:r/>
            <w:r>
              <w:rPr>
                <w:sz w:val="17"/>
              </w:rPr>
              <w:t>XGBoost (defaults)</w:t>
            </w:r>
          </w:p>
        </w:tc>
        <w:tc>
          <w:tcPr>
            <w:tcW w:type="dxa" w:w="1008"/>
          </w:tcPr>
          <w:p>
            <w:r/>
            <w:r>
              <w:rPr>
                <w:sz w:val="17"/>
              </w:rPr>
              <w:t>0.754</w:t>
            </w:r>
          </w:p>
        </w:tc>
        <w:tc>
          <w:tcPr>
            <w:tcW w:type="dxa" w:w="1152"/>
          </w:tcPr>
          <w:p>
            <w:r/>
            <w:r>
              <w:rPr>
                <w:sz w:val="17"/>
              </w:rPr>
              <w:t>0.456</w:t>
            </w:r>
          </w:p>
        </w:tc>
        <w:tc>
          <w:tcPr>
            <w:tcW w:type="dxa" w:w="1440"/>
          </w:tcPr>
          <w:p>
            <w:r/>
            <w:r>
              <w:rPr>
                <w:sz w:val="17"/>
              </w:rPr>
              <w:t>48.7%</w:t>
            </w:r>
          </w:p>
        </w:tc>
        <w:tc>
          <w:tcPr>
            <w:tcW w:type="dxa" w:w="1152"/>
          </w:tcPr>
          <w:p>
            <w:r/>
            <w:r>
              <w:rPr>
                <w:sz w:val="17"/>
              </w:rPr>
              <w:t>0.761</w:t>
            </w:r>
          </w:p>
        </w:tc>
        <w:tc>
          <w:tcPr>
            <w:tcW w:type="dxa" w:w="1152"/>
          </w:tcPr>
          <w:p>
            <w:r/>
            <w:r>
              <w:rPr>
                <w:sz w:val="17"/>
              </w:rPr>
              <w:t>0.74</w:t>
            </w:r>
          </w:p>
        </w:tc>
      </w:tr>
      <w:tr>
        <w:tc>
          <w:tcPr>
            <w:tcW w:type="dxa" w:w="3888"/>
          </w:tcPr>
          <w:p>
            <w:r/>
            <w:r>
              <w:rPr>
                <w:sz w:val="17"/>
              </w:rPr>
              <w:t>XGBoost (tuned, no monotone constraint)</w:t>
            </w:r>
          </w:p>
        </w:tc>
        <w:tc>
          <w:tcPr>
            <w:tcW w:type="dxa" w:w="1008"/>
          </w:tcPr>
          <w:p>
            <w:r/>
            <w:r>
              <w:rPr>
                <w:sz w:val="17"/>
              </w:rPr>
              <w:t>0.756</w:t>
            </w:r>
          </w:p>
        </w:tc>
        <w:tc>
          <w:tcPr>
            <w:tcW w:type="dxa" w:w="1152"/>
          </w:tcPr>
          <w:p>
            <w:r/>
            <w:r>
              <w:rPr>
                <w:sz w:val="17"/>
              </w:rPr>
              <w:t>0.464</w:t>
            </w:r>
          </w:p>
        </w:tc>
        <w:tc>
          <w:tcPr>
            <w:tcW w:type="dxa" w:w="1440"/>
          </w:tcPr>
          <w:p>
            <w:r/>
            <w:r>
              <w:rPr>
                <w:sz w:val="17"/>
              </w:rPr>
              <w:t>49.1%</w:t>
            </w:r>
          </w:p>
        </w:tc>
        <w:tc>
          <w:tcPr>
            <w:tcW w:type="dxa" w:w="1152"/>
          </w:tcPr>
          <w:p>
            <w:r/>
            <w:r>
              <w:rPr>
                <w:sz w:val="17"/>
              </w:rPr>
              <w:t>0.767</w:t>
            </w:r>
          </w:p>
        </w:tc>
        <w:tc>
          <w:tcPr>
            <w:tcW w:type="dxa" w:w="1152"/>
          </w:tcPr>
          <w:p>
            <w:r/>
            <w:r>
              <w:rPr>
                <w:sz w:val="17"/>
              </w:rPr>
              <w:t>0.723</w:t>
            </w:r>
          </w:p>
        </w:tc>
      </w:tr>
      <w:tr>
        <w:tc>
          <w:tcPr>
            <w:tcW w:type="dxa" w:w="3888"/>
          </w:tcPr>
          <w:p>
            <w:r/>
            <w:r>
              <w:rPr>
                <w:sz w:val="17"/>
              </w:rPr>
              <w:t>XGBoost (tuned, monotone) (used)</w:t>
            </w:r>
          </w:p>
        </w:tc>
        <w:tc>
          <w:tcPr>
            <w:tcW w:type="dxa" w:w="1008"/>
          </w:tcPr>
          <w:p>
            <w:r/>
            <w:r>
              <w:rPr>
                <w:sz w:val="17"/>
              </w:rPr>
              <w:t>0.758</w:t>
            </w:r>
          </w:p>
        </w:tc>
        <w:tc>
          <w:tcPr>
            <w:tcW w:type="dxa" w:w="1152"/>
          </w:tcPr>
          <w:p>
            <w:r/>
            <w:r>
              <w:rPr>
                <w:sz w:val="17"/>
              </w:rPr>
              <w:t>0.466</w:t>
            </w:r>
          </w:p>
        </w:tc>
        <w:tc>
          <w:tcPr>
            <w:tcW w:type="dxa" w:w="1440"/>
          </w:tcPr>
          <w:p>
            <w:r/>
            <w:r>
              <w:rPr>
                <w:sz w:val="17"/>
              </w:rPr>
              <w:t>49.0%</w:t>
            </w:r>
          </w:p>
        </w:tc>
        <w:tc>
          <w:tcPr>
            <w:tcW w:type="dxa" w:w="1152"/>
          </w:tcPr>
          <w:p>
            <w:r/>
            <w:r>
              <w:rPr>
                <w:sz w:val="17"/>
              </w:rPr>
              <w:t>0.767</w:t>
            </w:r>
          </w:p>
        </w:tc>
        <w:tc>
          <w:tcPr>
            <w:tcW w:type="dxa" w:w="1152"/>
          </w:tcPr>
          <w:p>
            <w:r/>
            <w:r>
              <w:rPr>
                <w:sz w:val="17"/>
              </w:rPr>
              <w:t>0.729</w:t>
            </w:r>
          </w:p>
        </w:tc>
      </w:tr>
    </w:tbl>
    <w:p>
      <w:pPr>
        <w:spacing w:after="80"/>
      </w:pPr>
    </w:p>
    <w:p>
      <w:pPr>
        <w:jc w:val="center"/>
      </w:pPr>
      <w:r>
        <w:drawing>
          <wp:inline xmlns:a="http://schemas.openxmlformats.org/drawingml/2006/main" xmlns:pic="http://schemas.openxmlformats.org/drawingml/2006/picture">
            <wp:extent cx="5303520" cy="1618023"/>
            <wp:docPr id="6" name="Picture 6"/>
            <wp:cNvGraphicFramePr>
              <a:graphicFrameLocks noChangeAspect="1"/>
            </wp:cNvGraphicFramePr>
            <a:graphic>
              <a:graphicData uri="http://schemas.openxmlformats.org/drawingml/2006/picture">
                <pic:pic>
                  <pic:nvPicPr>
                    <pic:cNvPr id="0" name="03_model_benchmark.png"/>
                    <pic:cNvPicPr/>
                  </pic:nvPicPr>
                  <pic:blipFill>
                    <a:blip r:embed="rId15"/>
                    <a:stretch>
                      <a:fillRect/>
                    </a:stretch>
                  </pic:blipFill>
                  <pic:spPr>
                    <a:xfrm>
                      <a:off x="0" y="0"/>
                      <a:ext cx="5303520" cy="1618023"/>
                    </a:xfrm>
                    <a:prstGeom prst="rect"/>
                  </pic:spPr>
                </pic:pic>
              </a:graphicData>
            </a:graphic>
          </wp:inline>
        </w:drawing>
      </w:r>
    </w:p>
    <w:p>
      <w:pPr>
        <w:spacing w:after="160"/>
        <w:jc w:val="center"/>
      </w:pPr>
      <w:r>
        <w:rPr>
          <w:b/>
          <w:sz w:val="21"/>
        </w:rPr>
        <w:t>Figure 4.4: Benchmark of candidate models</w:t>
      </w:r>
    </w:p>
    <w:p>
      <w:pPr>
        <w:spacing w:after="120" w:line="276" w:lineRule="auto"/>
        <w:jc w:val="both"/>
      </w:pPr>
      <w:r>
        <w:rPr>
          <w:b w:val="0"/>
          <w:i w:val="0"/>
        </w:rPr>
        <w:t>Overfitting control (Figure 4.5): along the boosting path training AUC rises to 0.840, cross-validated AUC plateaus at 0.757 and hold-out AUC is 0.765. The training-to-validation gap is modest (0.08) and the cross-validated and hold-out curves are flat beyond about 150 trees, so the 299-tree model sits on the plateau. The monotone constraint made no measurable difference (Table 4.5).</w:t>
      </w:r>
    </w:p>
    <w:p>
      <w:pPr>
        <w:jc w:val="center"/>
      </w:pPr>
      <w:r>
        <w:drawing>
          <wp:inline xmlns:a="http://schemas.openxmlformats.org/drawingml/2006/main" xmlns:pic="http://schemas.openxmlformats.org/drawingml/2006/picture">
            <wp:extent cx="4389120" cy="2933583"/>
            <wp:docPr id="7" name="Picture 7"/>
            <wp:cNvGraphicFramePr>
              <a:graphicFrameLocks noChangeAspect="1"/>
            </wp:cNvGraphicFramePr>
            <a:graphic>
              <a:graphicData uri="http://schemas.openxmlformats.org/drawingml/2006/picture">
                <pic:pic>
                  <pic:nvPicPr>
                    <pic:cNvPr id="0" name="21_learning_curve.png"/>
                    <pic:cNvPicPr/>
                  </pic:nvPicPr>
                  <pic:blipFill>
                    <a:blip r:embed="rId16"/>
                    <a:stretch>
                      <a:fillRect/>
                    </a:stretch>
                  </pic:blipFill>
                  <pic:spPr>
                    <a:xfrm>
                      <a:off x="0" y="0"/>
                      <a:ext cx="4389120" cy="2933583"/>
                    </a:xfrm>
                    <a:prstGeom prst="rect"/>
                  </pic:spPr>
                </pic:pic>
              </a:graphicData>
            </a:graphic>
          </wp:inline>
        </w:drawing>
      </w:r>
    </w:p>
    <w:p>
      <w:pPr>
        <w:spacing w:after="160"/>
        <w:jc w:val="center"/>
      </w:pPr>
      <w:r>
        <w:rPr>
          <w:b/>
          <w:sz w:val="21"/>
        </w:rPr>
        <w:t>Figure 4.5: Training, cross-validated and hold-out AUC along the boosting path</w:t>
      </w:r>
    </w:p>
    <w:p>
      <w:pPr>
        <w:pStyle w:val="Heading2"/>
      </w:pPr>
      <w:r>
        <w:t>4.6 Performance at the recall-first operating point (Objective 2)</w:t>
      </w:r>
    </w:p>
    <w:p>
      <w:pPr>
        <w:spacing w:after="120" w:line="276" w:lineRule="auto"/>
        <w:jc w:val="both"/>
      </w:pPr>
      <w:r>
        <w:rPr>
          <w:b w:val="0"/>
          <w:i w:val="0"/>
        </w:rPr>
        <w:t>Cross-validated over all 1,084 patients (race-aware model), AUC-ROC is 0.747 and PR-AUC 0.457 against a no-skill value of 0.139. At the recall-first threshold the model catches 79.2% of deaths (CI 73.2% to 84.3%), flags 55% of patients and has a precision of 20.2%, which clears the floor of 0.17.</w:t>
      </w:r>
    </w:p>
    <w:p>
      <w:pPr>
        <w:spacing w:after="160"/>
      </w:pPr>
      <w:r>
        <w:rPr>
          <w:b/>
          <w:sz w:val="21"/>
        </w:rPr>
        <w:t>Table 4.6: Hold-out test results (217 patients, 30 deaths; estimate (95 % bootstrap CI))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E8ECF1"/>
          </w:tcPr>
          <w:p>
            <w:r/>
            <w:r>
              <w:rPr>
                <w:b/>
                <w:sz w:val="16"/>
              </w:rPr>
              <w:t>Model</w:t>
            </w:r>
          </w:p>
        </w:tc>
        <w:tc>
          <w:tcPr>
            <w:tcW w:type="dxa" w:w="1440"/>
            <w:shd w:val="clear" w:color="auto" w:fill="E8ECF1"/>
          </w:tcPr>
          <w:p>
            <w:r/>
            <w:r>
              <w:rPr>
                <w:b/>
                <w:sz w:val="16"/>
              </w:rPr>
              <w:t>Recall</w:t>
            </w:r>
          </w:p>
        </w:tc>
        <w:tc>
          <w:tcPr>
            <w:tcW w:type="dxa" w:w="1440"/>
            <w:shd w:val="clear" w:color="auto" w:fill="E8ECF1"/>
          </w:tcPr>
          <w:p>
            <w:r/>
            <w:r>
              <w:rPr>
                <w:b/>
                <w:sz w:val="16"/>
              </w:rPr>
              <w:t>Precision</w:t>
            </w:r>
          </w:p>
        </w:tc>
        <w:tc>
          <w:tcPr>
            <w:tcW w:type="dxa" w:w="1440"/>
            <w:shd w:val="clear" w:color="auto" w:fill="E8ECF1"/>
          </w:tcPr>
          <w:p>
            <w:r/>
            <w:r>
              <w:rPr>
                <w:b/>
                <w:sz w:val="16"/>
              </w:rPr>
              <w:t>F1</w:t>
            </w:r>
          </w:p>
        </w:tc>
        <w:tc>
          <w:tcPr>
            <w:tcW w:type="dxa" w:w="1440"/>
            <w:shd w:val="clear" w:color="auto" w:fill="E8ECF1"/>
          </w:tcPr>
          <w:p>
            <w:r/>
            <w:r>
              <w:rPr>
                <w:b/>
                <w:sz w:val="16"/>
              </w:rPr>
              <w:t>AUC-ROC</w:t>
            </w:r>
          </w:p>
        </w:tc>
        <w:tc>
          <w:tcPr>
            <w:tcW w:type="dxa" w:w="1440"/>
            <w:shd w:val="clear" w:color="auto" w:fill="E8ECF1"/>
          </w:tcPr>
          <w:p>
            <w:r/>
            <w:r>
              <w:rPr>
                <w:b/>
                <w:sz w:val="16"/>
              </w:rPr>
              <w:t>PR-AUC</w:t>
            </w:r>
          </w:p>
        </w:tc>
        <w:tc>
          <w:tcPr>
            <w:tcW w:type="dxa" w:w="1008"/>
            <w:shd w:val="clear" w:color="auto" w:fill="E8ECF1"/>
          </w:tcPr>
          <w:p>
            <w:r/>
            <w:r>
              <w:rPr>
                <w:b/>
                <w:sz w:val="16"/>
              </w:rPr>
              <w:t>Accuracy</w:t>
            </w:r>
          </w:p>
        </w:tc>
      </w:tr>
      <w:tr>
        <w:tc>
          <w:tcPr>
            <w:tcW w:type="dxa" w:w="2016"/>
          </w:tcPr>
          <w:p>
            <w:r/>
            <w:r>
              <w:rPr>
                <w:sz w:val="16"/>
              </w:rPr>
              <w:t>XGBoost (primary)</w:t>
            </w:r>
          </w:p>
        </w:tc>
        <w:tc>
          <w:tcPr>
            <w:tcW w:type="dxa" w:w="1440"/>
          </w:tcPr>
          <w:p>
            <w:r/>
            <w:r>
              <w:rPr>
                <w:sz w:val="16"/>
              </w:rPr>
              <w:t>0.70 (0.53-0.85)</w:t>
            </w:r>
          </w:p>
        </w:tc>
        <w:tc>
          <w:tcPr>
            <w:tcW w:type="dxa" w:w="1440"/>
          </w:tcPr>
          <w:p>
            <w:r/>
            <w:r>
              <w:rPr>
                <w:sz w:val="16"/>
              </w:rPr>
              <w:t>0.23 (0.15-0.32)</w:t>
            </w:r>
          </w:p>
        </w:tc>
        <w:tc>
          <w:tcPr>
            <w:tcW w:type="dxa" w:w="1440"/>
          </w:tcPr>
          <w:p>
            <w:r/>
            <w:r>
              <w:rPr>
                <w:sz w:val="16"/>
              </w:rPr>
              <w:t>0.35 (0.23-0.45)</w:t>
            </w:r>
          </w:p>
        </w:tc>
        <w:tc>
          <w:tcPr>
            <w:tcW w:type="dxa" w:w="1440"/>
          </w:tcPr>
          <w:p>
            <w:r/>
            <w:r>
              <w:rPr>
                <w:sz w:val="16"/>
              </w:rPr>
              <w:t>0.77 (0.66-0.86)</w:t>
            </w:r>
          </w:p>
        </w:tc>
        <w:tc>
          <w:tcPr>
            <w:tcW w:type="dxa" w:w="1440"/>
          </w:tcPr>
          <w:p>
            <w:r/>
            <w:r>
              <w:rPr>
                <w:sz w:val="16"/>
              </w:rPr>
              <w:t>0.47 (0.30-0.66)</w:t>
            </w:r>
          </w:p>
        </w:tc>
        <w:tc>
          <w:tcPr>
            <w:tcW w:type="dxa" w:w="1008"/>
          </w:tcPr>
          <w:p>
            <w:r/>
            <w:r>
              <w:rPr>
                <w:sz w:val="16"/>
              </w:rPr>
              <w:t>0.64</w:t>
            </w:r>
          </w:p>
        </w:tc>
      </w:tr>
      <w:tr>
        <w:tc>
          <w:tcPr>
            <w:tcW w:type="dxa" w:w="2016"/>
          </w:tcPr>
          <w:p>
            <w:r/>
            <w:r>
              <w:rPr>
                <w:sz w:val="16"/>
              </w:rPr>
              <w:t>XGBoost (race-blind)</w:t>
            </w:r>
          </w:p>
        </w:tc>
        <w:tc>
          <w:tcPr>
            <w:tcW w:type="dxa" w:w="1440"/>
          </w:tcPr>
          <w:p>
            <w:r/>
            <w:r>
              <w:rPr>
                <w:sz w:val="16"/>
              </w:rPr>
              <w:t>0.73 (0.56-0.88)</w:t>
            </w:r>
          </w:p>
        </w:tc>
        <w:tc>
          <w:tcPr>
            <w:tcW w:type="dxa" w:w="1440"/>
          </w:tcPr>
          <w:p>
            <w:r/>
            <w:r>
              <w:rPr>
                <w:sz w:val="16"/>
              </w:rPr>
              <w:t>0.20 (0.13-0.27)</w:t>
            </w:r>
          </w:p>
        </w:tc>
        <w:tc>
          <w:tcPr>
            <w:tcW w:type="dxa" w:w="1440"/>
          </w:tcPr>
          <w:p>
            <w:r/>
            <w:r>
              <w:rPr>
                <w:sz w:val="16"/>
              </w:rPr>
              <w:t>0.32 (0.21-0.41)</w:t>
            </w:r>
          </w:p>
        </w:tc>
        <w:tc>
          <w:tcPr>
            <w:tcW w:type="dxa" w:w="1440"/>
          </w:tcPr>
          <w:p>
            <w:r/>
            <w:r>
              <w:rPr>
                <w:sz w:val="16"/>
              </w:rPr>
              <w:t>0.76 (0.65-0.85)</w:t>
            </w:r>
          </w:p>
        </w:tc>
        <w:tc>
          <w:tcPr>
            <w:tcW w:type="dxa" w:w="1440"/>
          </w:tcPr>
          <w:p>
            <w:r/>
            <w:r>
              <w:rPr>
                <w:sz w:val="16"/>
              </w:rPr>
              <w:t>0.44 (0.29-0.64)</w:t>
            </w:r>
          </w:p>
        </w:tc>
        <w:tc>
          <w:tcPr>
            <w:tcW w:type="dxa" w:w="1008"/>
          </w:tcPr>
          <w:p>
            <w:r/>
            <w:r>
              <w:rPr>
                <w:sz w:val="16"/>
              </w:rPr>
              <w:t>0.56</w:t>
            </w:r>
          </w:p>
        </w:tc>
      </w:tr>
      <w:tr>
        <w:tc>
          <w:tcPr>
            <w:tcW w:type="dxa" w:w="2016"/>
          </w:tcPr>
          <w:p>
            <w:r/>
            <w:r>
              <w:rPr>
                <w:sz w:val="16"/>
              </w:rPr>
              <w:t>Logistic regression</w:t>
            </w:r>
          </w:p>
        </w:tc>
        <w:tc>
          <w:tcPr>
            <w:tcW w:type="dxa" w:w="1440"/>
          </w:tcPr>
          <w:p>
            <w:r/>
            <w:r>
              <w:rPr>
                <w:sz w:val="16"/>
              </w:rPr>
              <w:t>0.70 (0.52-0.85)</w:t>
            </w:r>
          </w:p>
        </w:tc>
        <w:tc>
          <w:tcPr>
            <w:tcW w:type="dxa" w:w="1440"/>
          </w:tcPr>
          <w:p>
            <w:r/>
            <w:r>
              <w:rPr>
                <w:sz w:val="16"/>
              </w:rPr>
              <w:t>0.22 (0.14-0.30)</w:t>
            </w:r>
          </w:p>
        </w:tc>
        <w:tc>
          <w:tcPr>
            <w:tcW w:type="dxa" w:w="1440"/>
          </w:tcPr>
          <w:p>
            <w:r/>
            <w:r>
              <w:rPr>
                <w:sz w:val="16"/>
              </w:rPr>
              <w:t>0.34 (0.23-0.44)</w:t>
            </w:r>
          </w:p>
        </w:tc>
        <w:tc>
          <w:tcPr>
            <w:tcW w:type="dxa" w:w="1440"/>
          </w:tcPr>
          <w:p>
            <w:r/>
            <w:r>
              <w:rPr>
                <w:sz w:val="16"/>
              </w:rPr>
              <w:t>0.73 (0.60-0.83)</w:t>
            </w:r>
          </w:p>
        </w:tc>
        <w:tc>
          <w:tcPr>
            <w:tcW w:type="dxa" w:w="1440"/>
          </w:tcPr>
          <w:p>
            <w:r/>
            <w:r>
              <w:rPr>
                <w:sz w:val="16"/>
              </w:rPr>
              <w:t>0.48 (0.30-0.65)</w:t>
            </w:r>
          </w:p>
        </w:tc>
        <w:tc>
          <w:tcPr>
            <w:tcW w:type="dxa" w:w="1008"/>
          </w:tcPr>
          <w:p>
            <w:r/>
            <w:r>
              <w:rPr>
                <w:sz w:val="16"/>
              </w:rPr>
              <w:t>0.62</w:t>
            </w:r>
          </w:p>
        </w:tc>
      </w:tr>
      <w:tr>
        <w:tc>
          <w:tcPr>
            <w:tcW w:type="dxa" w:w="2016"/>
          </w:tcPr>
          <w:p>
            <w:r/>
            <w:r>
              <w:rPr>
                <w:sz w:val="16"/>
              </w:rPr>
              <w:t>Random forest</w:t>
            </w:r>
          </w:p>
        </w:tc>
        <w:tc>
          <w:tcPr>
            <w:tcW w:type="dxa" w:w="1440"/>
          </w:tcPr>
          <w:p>
            <w:r/>
            <w:r>
              <w:rPr>
                <w:sz w:val="16"/>
              </w:rPr>
              <w:t>0.80 (0.65-0.94)</w:t>
            </w:r>
          </w:p>
        </w:tc>
        <w:tc>
          <w:tcPr>
            <w:tcW w:type="dxa" w:w="1440"/>
          </w:tcPr>
          <w:p>
            <w:r/>
            <w:r>
              <w:rPr>
                <w:sz w:val="16"/>
              </w:rPr>
              <w:t>0.22 (0.15-0.30)</w:t>
            </w:r>
          </w:p>
        </w:tc>
        <w:tc>
          <w:tcPr>
            <w:tcW w:type="dxa" w:w="1440"/>
          </w:tcPr>
          <w:p>
            <w:r/>
            <w:r>
              <w:rPr>
                <w:sz w:val="16"/>
              </w:rPr>
              <w:t>0.35 (0.25-0.44)</w:t>
            </w:r>
          </w:p>
        </w:tc>
        <w:tc>
          <w:tcPr>
            <w:tcW w:type="dxa" w:w="1440"/>
          </w:tcPr>
          <w:p>
            <w:r/>
            <w:r>
              <w:rPr>
                <w:sz w:val="16"/>
              </w:rPr>
              <w:t>0.77 (0.66-0.86)</w:t>
            </w:r>
          </w:p>
        </w:tc>
        <w:tc>
          <w:tcPr>
            <w:tcW w:type="dxa" w:w="1440"/>
          </w:tcPr>
          <w:p>
            <w:r/>
            <w:r>
              <w:rPr>
                <w:sz w:val="16"/>
              </w:rPr>
              <w:t>0.47 (0.30-0.64)</w:t>
            </w:r>
          </w:p>
        </w:tc>
        <w:tc>
          <w:tcPr>
            <w:tcW w:type="dxa" w:w="1008"/>
          </w:tcPr>
          <w:p>
            <w:r/>
            <w:r>
              <w:rPr>
                <w:sz w:val="16"/>
              </w:rPr>
              <w:t>0.58</w:t>
            </w:r>
          </w:p>
        </w:tc>
      </w:tr>
      <w:tr>
        <w:tc>
          <w:tcPr>
            <w:tcW w:type="dxa" w:w="2016"/>
          </w:tcPr>
          <w:p>
            <w:r/>
            <w:r>
              <w:rPr>
                <w:sz w:val="16"/>
              </w:rPr>
              <w:t>Stage-only (logistic)</w:t>
            </w:r>
          </w:p>
        </w:tc>
        <w:tc>
          <w:tcPr>
            <w:tcW w:type="dxa" w:w="1440"/>
          </w:tcPr>
          <w:p>
            <w:r/>
            <w:r>
              <w:rPr>
                <w:sz w:val="16"/>
              </w:rPr>
              <w:t>0.87 (0.73-0.97)</w:t>
            </w:r>
          </w:p>
        </w:tc>
        <w:tc>
          <w:tcPr>
            <w:tcW w:type="dxa" w:w="1440"/>
          </w:tcPr>
          <w:p>
            <w:r/>
            <w:r>
              <w:rPr>
                <w:sz w:val="16"/>
              </w:rPr>
              <w:t>0.15 (0.10-0.21)</w:t>
            </w:r>
          </w:p>
        </w:tc>
        <w:tc>
          <w:tcPr>
            <w:tcW w:type="dxa" w:w="1440"/>
          </w:tcPr>
          <w:p>
            <w:r/>
            <w:r>
              <w:rPr>
                <w:sz w:val="16"/>
              </w:rPr>
              <w:t>0.26 (0.17-0.34)</w:t>
            </w:r>
          </w:p>
        </w:tc>
        <w:tc>
          <w:tcPr>
            <w:tcW w:type="dxa" w:w="1440"/>
          </w:tcPr>
          <w:p>
            <w:r/>
            <w:r>
              <w:rPr>
                <w:sz w:val="16"/>
              </w:rPr>
              <w:t>0.62 (0.51-0.71)</w:t>
            </w:r>
          </w:p>
        </w:tc>
        <w:tc>
          <w:tcPr>
            <w:tcW w:type="dxa" w:w="1440"/>
          </w:tcPr>
          <w:p>
            <w:r/>
            <w:r>
              <w:rPr>
                <w:sz w:val="16"/>
              </w:rPr>
              <w:t>0.20 (0.12-0.32)</w:t>
            </w:r>
          </w:p>
        </w:tc>
        <w:tc>
          <w:tcPr>
            <w:tcW w:type="dxa" w:w="1008"/>
          </w:tcPr>
          <w:p>
            <w:r/>
            <w:r>
              <w:rPr>
                <w:sz w:val="16"/>
              </w:rPr>
              <w:t>0.33</w:t>
            </w:r>
          </w:p>
        </w:tc>
      </w:tr>
    </w:tbl>
    <w:p>
      <w:pPr>
        <w:spacing w:after="80"/>
      </w:pPr>
    </w:p>
    <w:p>
      <w:pPr>
        <w:spacing w:after="120" w:line="276" w:lineRule="auto"/>
        <w:jc w:val="both"/>
      </w:pPr>
      <w:r>
        <w:rPr>
          <w:b w:val="0"/>
          <w:i w:val="0"/>
        </w:rPr>
        <w:t>On the hold-out set the primary model flagged 21 of 30 deaths (recall 0.70 (0.53-0.85)), with precision 0.23, AUC-ROC 0.77 (0.66-0.86) and PR-AUC 0.47 (0.30-0.66). The hold-out recall of 0.70 is below the 80 % target that was met on the development data and in cross-validation (79%), but the target lies inside its interval: with 30 deaths, one more or fewer caught death moves recall by three points. Its accuracy of 0.64 is far below the 0.86 of always predicting "living": this is the price of recall-first operation, and accuracy is the wrong yardstick here. The intervals of XGBoost, logistic regression and the random forest overlap almost completely (Figure 4.6), whereas the stage-only model is clearly worse in PR-AUC.</w:t>
      </w:r>
    </w:p>
    <w:p>
      <w:pPr>
        <w:jc w:val="center"/>
      </w:pPr>
      <w:r>
        <w:drawing>
          <wp:inline xmlns:a="http://schemas.openxmlformats.org/drawingml/2006/main" xmlns:pic="http://schemas.openxmlformats.org/drawingml/2006/picture">
            <wp:extent cx="5852160" cy="1985507"/>
            <wp:docPr id="8" name="Picture 8"/>
            <wp:cNvGraphicFramePr>
              <a:graphicFrameLocks noChangeAspect="1"/>
            </wp:cNvGraphicFramePr>
            <a:graphic>
              <a:graphicData uri="http://schemas.openxmlformats.org/drawingml/2006/picture">
                <pic:pic>
                  <pic:nvPicPr>
                    <pic:cNvPr id="0" name="23_test_forest.png"/>
                    <pic:cNvPicPr/>
                  </pic:nvPicPr>
                  <pic:blipFill>
                    <a:blip r:embed="rId17"/>
                    <a:stretch>
                      <a:fillRect/>
                    </a:stretch>
                  </pic:blipFill>
                  <pic:spPr>
                    <a:xfrm>
                      <a:off x="0" y="0"/>
                      <a:ext cx="5852160" cy="1985507"/>
                    </a:xfrm>
                    <a:prstGeom prst="rect"/>
                  </pic:spPr>
                </pic:pic>
              </a:graphicData>
            </a:graphic>
          </wp:inline>
        </w:drawing>
      </w:r>
    </w:p>
    <w:p>
      <w:pPr>
        <w:spacing w:after="160"/>
        <w:jc w:val="center"/>
      </w:pPr>
      <w:r>
        <w:rPr>
          <w:b/>
          <w:sz w:val="21"/>
        </w:rPr>
        <w:t>Figure 4.6: Hold-out recall, AUC-ROC and PR-AUC with bootstrap intervals</w:t>
      </w:r>
    </w:p>
    <w:p>
      <w:pPr>
        <w:spacing w:after="160"/>
      </w:pPr>
      <w:r>
        <w:rPr>
          <w:b/>
          <w:sz w:val="21"/>
        </w:rPr>
        <w:t>Table 4.7: Threshold rules learned on the development set and applied to the hold-out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312"/>
            <w:shd w:val="clear" w:color="auto" w:fill="E8ECF1"/>
          </w:tcPr>
          <w:p>
            <w:r/>
            <w:r>
              <w:rPr>
                <w:b/>
                <w:sz w:val="17"/>
              </w:rPr>
              <w:t>Rule</w:t>
            </w:r>
          </w:p>
        </w:tc>
        <w:tc>
          <w:tcPr>
            <w:tcW w:type="dxa" w:w="1152"/>
            <w:shd w:val="clear" w:color="auto" w:fill="E8ECF1"/>
          </w:tcPr>
          <w:p>
            <w:r/>
            <w:r>
              <w:rPr>
                <w:b/>
                <w:sz w:val="17"/>
              </w:rPr>
              <w:t>Threshold</w:t>
            </w:r>
          </w:p>
        </w:tc>
        <w:tc>
          <w:tcPr>
            <w:tcW w:type="dxa" w:w="1296"/>
            <w:shd w:val="clear" w:color="auto" w:fill="E8ECF1"/>
          </w:tcPr>
          <w:p>
            <w:r/>
            <w:r>
              <w:rPr>
                <w:b/>
                <w:sz w:val="17"/>
              </w:rPr>
              <w:t>Recall (hold-out)</w:t>
            </w:r>
          </w:p>
        </w:tc>
        <w:tc>
          <w:tcPr>
            <w:tcW w:type="dxa" w:w="1152"/>
            <w:shd w:val="clear" w:color="auto" w:fill="E8ECF1"/>
          </w:tcPr>
          <w:p>
            <w:r/>
            <w:r>
              <w:rPr>
                <w:b/>
                <w:sz w:val="17"/>
              </w:rPr>
              <w:t>Precision</w:t>
            </w:r>
          </w:p>
        </w:tc>
        <w:tc>
          <w:tcPr>
            <w:tcW w:type="dxa" w:w="1152"/>
            <w:shd w:val="clear" w:color="auto" w:fill="E8ECF1"/>
          </w:tcPr>
          <w:p>
            <w:r/>
            <w:r>
              <w:rPr>
                <w:b/>
                <w:sz w:val="17"/>
              </w:rPr>
              <w:t>Share flagged</w:t>
            </w:r>
          </w:p>
        </w:tc>
        <w:tc>
          <w:tcPr>
            <w:tcW w:type="dxa" w:w="1296"/>
            <w:shd w:val="clear" w:color="auto" w:fill="E8ECF1"/>
          </w:tcPr>
          <w:p>
            <w:r/>
            <w:r>
              <w:rPr>
                <w:b/>
                <w:sz w:val="17"/>
              </w:rPr>
              <w:t>Recall (dev, OOF)</w:t>
            </w:r>
          </w:p>
        </w:tc>
      </w:tr>
      <w:tr>
        <w:tc>
          <w:tcPr>
            <w:tcW w:type="dxa" w:w="3312"/>
          </w:tcPr>
          <w:p>
            <w:r/>
            <w:r>
              <w:rPr>
                <w:sz w:val="17"/>
              </w:rPr>
              <w:t>recall &gt;= 80 % (primary)</w:t>
            </w:r>
          </w:p>
        </w:tc>
        <w:tc>
          <w:tcPr>
            <w:tcW w:type="dxa" w:w="1152"/>
          </w:tcPr>
          <w:p>
            <w:r/>
            <w:r>
              <w:rPr>
                <w:sz w:val="17"/>
              </w:rPr>
              <w:t>0.389</w:t>
            </w:r>
          </w:p>
        </w:tc>
        <w:tc>
          <w:tcPr>
            <w:tcW w:type="dxa" w:w="1296"/>
          </w:tcPr>
          <w:p>
            <w:r/>
            <w:r>
              <w:rPr>
                <w:sz w:val="17"/>
              </w:rPr>
              <w:t>0.7</w:t>
            </w:r>
          </w:p>
        </w:tc>
        <w:tc>
          <w:tcPr>
            <w:tcW w:type="dxa" w:w="1152"/>
          </w:tcPr>
          <w:p>
            <w:r/>
            <w:r>
              <w:rPr>
                <w:sz w:val="17"/>
              </w:rPr>
              <w:t>0.23</w:t>
            </w:r>
          </w:p>
        </w:tc>
        <w:tc>
          <w:tcPr>
            <w:tcW w:type="dxa" w:w="1152"/>
          </w:tcPr>
          <w:p>
            <w:r/>
            <w:r>
              <w:rPr>
                <w:sz w:val="17"/>
              </w:rPr>
              <w:t>41%</w:t>
            </w:r>
          </w:p>
        </w:tc>
        <w:tc>
          <w:tcPr>
            <w:tcW w:type="dxa" w:w="1296"/>
          </w:tcPr>
          <w:p>
            <w:r/>
            <w:r>
              <w:rPr>
                <w:sz w:val="17"/>
              </w:rPr>
              <w:t>0.8</w:t>
            </w:r>
          </w:p>
        </w:tc>
      </w:tr>
      <w:tr>
        <w:tc>
          <w:tcPr>
            <w:tcW w:type="dxa" w:w="3312"/>
          </w:tcPr>
          <w:p>
            <w:r/>
            <w:r>
              <w:rPr>
                <w:sz w:val="17"/>
              </w:rPr>
              <w:t>recall &gt;= 90 %</w:t>
            </w:r>
          </w:p>
        </w:tc>
        <w:tc>
          <w:tcPr>
            <w:tcW w:type="dxa" w:w="1152"/>
          </w:tcPr>
          <w:p>
            <w:r/>
            <w:r>
              <w:rPr>
                <w:sz w:val="17"/>
              </w:rPr>
              <w:t>0.322</w:t>
            </w:r>
          </w:p>
        </w:tc>
        <w:tc>
          <w:tcPr>
            <w:tcW w:type="dxa" w:w="1296"/>
          </w:tcPr>
          <w:p>
            <w:r/>
            <w:r>
              <w:rPr>
                <w:sz w:val="17"/>
              </w:rPr>
              <w:t>0.83</w:t>
            </w:r>
          </w:p>
        </w:tc>
        <w:tc>
          <w:tcPr>
            <w:tcW w:type="dxa" w:w="1152"/>
          </w:tcPr>
          <w:p>
            <w:r/>
            <w:r>
              <w:rPr>
                <w:sz w:val="17"/>
              </w:rPr>
              <w:t>0.17</w:t>
            </w:r>
          </w:p>
        </w:tc>
        <w:tc>
          <w:tcPr>
            <w:tcW w:type="dxa" w:w="1152"/>
          </w:tcPr>
          <w:p>
            <w:r/>
            <w:r>
              <w:rPr>
                <w:sz w:val="17"/>
              </w:rPr>
              <w:t>66%</w:t>
            </w:r>
          </w:p>
        </w:tc>
        <w:tc>
          <w:tcPr>
            <w:tcW w:type="dxa" w:w="1296"/>
          </w:tcPr>
          <w:p>
            <w:r/>
            <w:r>
              <w:rPr>
                <w:sz w:val="17"/>
              </w:rPr>
              <w:t>0.9</w:t>
            </w:r>
          </w:p>
        </w:tc>
      </w:tr>
      <w:tr>
        <w:tc>
          <w:tcPr>
            <w:tcW w:type="dxa" w:w="3312"/>
          </w:tcPr>
          <w:p>
            <w:r/>
            <w:r>
              <w:rPr>
                <w:sz w:val="17"/>
              </w:rPr>
              <w:t>max recall s.t. precision &gt;= 0.17</w:t>
            </w:r>
          </w:p>
        </w:tc>
        <w:tc>
          <w:tcPr>
            <w:tcW w:type="dxa" w:w="1152"/>
          </w:tcPr>
          <w:p>
            <w:r/>
            <w:r>
              <w:rPr>
                <w:sz w:val="17"/>
              </w:rPr>
              <w:t>0.291</w:t>
            </w:r>
          </w:p>
        </w:tc>
        <w:tc>
          <w:tcPr>
            <w:tcW w:type="dxa" w:w="1296"/>
          </w:tcPr>
          <w:p>
            <w:r/>
            <w:r>
              <w:rPr>
                <w:sz w:val="17"/>
              </w:rPr>
              <w:t>0.93</w:t>
            </w:r>
          </w:p>
        </w:tc>
        <w:tc>
          <w:tcPr>
            <w:tcW w:type="dxa" w:w="1152"/>
          </w:tcPr>
          <w:p>
            <w:r/>
            <w:r>
              <w:rPr>
                <w:sz w:val="17"/>
              </w:rPr>
              <w:t>0.17</w:t>
            </w:r>
          </w:p>
        </w:tc>
        <w:tc>
          <w:tcPr>
            <w:tcW w:type="dxa" w:w="1152"/>
          </w:tcPr>
          <w:p>
            <w:r/>
            <w:r>
              <w:rPr>
                <w:sz w:val="17"/>
              </w:rPr>
              <w:t>77%</w:t>
            </w:r>
          </w:p>
        </w:tc>
        <w:tc>
          <w:tcPr>
            <w:tcW w:type="dxa" w:w="1296"/>
          </w:tcPr>
          <w:p>
            <w:r/>
            <w:r>
              <w:rPr>
                <w:sz w:val="17"/>
              </w:rPr>
              <w:t>0.93</w:t>
            </w:r>
          </w:p>
        </w:tc>
      </w:tr>
      <w:tr>
        <w:tc>
          <w:tcPr>
            <w:tcW w:type="dxa" w:w="3312"/>
          </w:tcPr>
          <w:p>
            <w:r/>
            <w:r>
              <w:rPr>
                <w:sz w:val="17"/>
              </w:rPr>
              <w:t>max F2</w:t>
            </w:r>
          </w:p>
        </w:tc>
        <w:tc>
          <w:tcPr>
            <w:tcW w:type="dxa" w:w="1152"/>
          </w:tcPr>
          <w:p>
            <w:r/>
            <w:r>
              <w:rPr>
                <w:sz w:val="17"/>
              </w:rPr>
              <w:t>0.385</w:t>
            </w:r>
          </w:p>
        </w:tc>
        <w:tc>
          <w:tcPr>
            <w:tcW w:type="dxa" w:w="1296"/>
          </w:tcPr>
          <w:p>
            <w:r/>
            <w:r>
              <w:rPr>
                <w:sz w:val="17"/>
              </w:rPr>
              <w:t>0.7</w:t>
            </w:r>
          </w:p>
        </w:tc>
        <w:tc>
          <w:tcPr>
            <w:tcW w:type="dxa" w:w="1152"/>
          </w:tcPr>
          <w:p>
            <w:r/>
            <w:r>
              <w:rPr>
                <w:sz w:val="17"/>
              </w:rPr>
              <w:t>0.22</w:t>
            </w:r>
          </w:p>
        </w:tc>
        <w:tc>
          <w:tcPr>
            <w:tcW w:type="dxa" w:w="1152"/>
          </w:tcPr>
          <w:p>
            <w:r/>
            <w:r>
              <w:rPr>
                <w:sz w:val="17"/>
              </w:rPr>
              <w:t>45%</w:t>
            </w:r>
          </w:p>
        </w:tc>
        <w:tc>
          <w:tcPr>
            <w:tcW w:type="dxa" w:w="1296"/>
          </w:tcPr>
          <w:p>
            <w:r/>
            <w:r>
              <w:rPr>
                <w:sz w:val="17"/>
              </w:rPr>
              <w:t>0.82</w:t>
            </w:r>
          </w:p>
        </w:tc>
      </w:tr>
      <w:tr>
        <w:tc>
          <w:tcPr>
            <w:tcW w:type="dxa" w:w="3312"/>
          </w:tcPr>
          <w:p>
            <w:r/>
            <w:r>
              <w:rPr>
                <w:sz w:val="17"/>
              </w:rPr>
              <w:t>Youden J</w:t>
            </w:r>
          </w:p>
        </w:tc>
        <w:tc>
          <w:tcPr>
            <w:tcW w:type="dxa" w:w="1152"/>
          </w:tcPr>
          <w:p>
            <w:r/>
            <w:r>
              <w:rPr>
                <w:sz w:val="17"/>
              </w:rPr>
              <w:t>0.496</w:t>
            </w:r>
          </w:p>
        </w:tc>
        <w:tc>
          <w:tcPr>
            <w:tcW w:type="dxa" w:w="1296"/>
          </w:tcPr>
          <w:p>
            <w:r/>
            <w:r>
              <w:rPr>
                <w:sz w:val="17"/>
              </w:rPr>
              <w:t>0.6</w:t>
            </w:r>
          </w:p>
        </w:tc>
        <w:tc>
          <w:tcPr>
            <w:tcW w:type="dxa" w:w="1152"/>
          </w:tcPr>
          <w:p>
            <w:r/>
            <w:r>
              <w:rPr>
                <w:sz w:val="17"/>
              </w:rPr>
              <w:t>0.38</w:t>
            </w:r>
          </w:p>
        </w:tc>
        <w:tc>
          <w:tcPr>
            <w:tcW w:type="dxa" w:w="1152"/>
          </w:tcPr>
          <w:p>
            <w:r/>
            <w:r>
              <w:rPr>
                <w:sz w:val="17"/>
              </w:rPr>
              <w:t>22%</w:t>
            </w:r>
          </w:p>
        </w:tc>
        <w:tc>
          <w:tcPr>
            <w:tcW w:type="dxa" w:w="1296"/>
          </w:tcPr>
          <w:p>
            <w:r/>
            <w:r>
              <w:rPr>
                <w:sz w:val="17"/>
              </w:rPr>
              <w:t>0.6</w:t>
            </w:r>
          </w:p>
        </w:tc>
      </w:tr>
      <w:tr>
        <w:tc>
          <w:tcPr>
            <w:tcW w:type="dxa" w:w="3312"/>
          </w:tcPr>
          <w:p>
            <w:r/>
            <w:r>
              <w:rPr>
                <w:sz w:val="17"/>
              </w:rPr>
              <w:t>0.5 (default)</w:t>
            </w:r>
          </w:p>
        </w:tc>
        <w:tc>
          <w:tcPr>
            <w:tcW w:type="dxa" w:w="1152"/>
          </w:tcPr>
          <w:p>
            <w:r/>
            <w:r>
              <w:rPr>
                <w:sz w:val="17"/>
              </w:rPr>
              <w:t>0.5</w:t>
            </w:r>
          </w:p>
        </w:tc>
        <w:tc>
          <w:tcPr>
            <w:tcW w:type="dxa" w:w="1296"/>
          </w:tcPr>
          <w:p>
            <w:r/>
            <w:r>
              <w:rPr>
                <w:sz w:val="17"/>
              </w:rPr>
              <w:t>0.6</w:t>
            </w:r>
          </w:p>
        </w:tc>
        <w:tc>
          <w:tcPr>
            <w:tcW w:type="dxa" w:w="1152"/>
          </w:tcPr>
          <w:p>
            <w:r/>
            <w:r>
              <w:rPr>
                <w:sz w:val="17"/>
              </w:rPr>
              <w:t>0.39</w:t>
            </w:r>
          </w:p>
        </w:tc>
        <w:tc>
          <w:tcPr>
            <w:tcW w:type="dxa" w:w="1152"/>
          </w:tcPr>
          <w:p>
            <w:r/>
            <w:r>
              <w:rPr>
                <w:sz w:val="17"/>
              </w:rPr>
              <w:t>21%</w:t>
            </w:r>
          </w:p>
        </w:tc>
        <w:tc>
          <w:tcPr>
            <w:tcW w:type="dxa" w:w="1296"/>
          </w:tcPr>
          <w:p>
            <w:r/>
            <w:r>
              <w:rPr>
                <w:sz w:val="17"/>
              </w:rPr>
              <w:t>0.57</w:t>
            </w:r>
          </w:p>
        </w:tc>
      </w:tr>
    </w:tbl>
    <w:p>
      <w:pPr>
        <w:spacing w:after="80"/>
      </w:pPr>
    </w:p>
    <w:p>
      <w:pPr>
        <w:spacing w:after="120" w:line="276" w:lineRule="auto"/>
        <w:jc w:val="both"/>
      </w:pPr>
      <w:r>
        <w:rPr>
          <w:b w:val="0"/>
          <w:i w:val="0"/>
        </w:rPr>
        <w:t>The proposal asks for a threshold that "maximises recall at an acceptable precision". A rule that only maximises recall subject to a precision floor close to the prevalence returns a threshold that flags 77% of patients; rules that balance precision and recall (Youden, default 0.5) each give up 40% of deaths on the hold-out set. The recall target of 80 % is the only rule that makes the recall-first priority explicit and reproducible (Figure 4.7).</w:t>
      </w:r>
    </w:p>
    <w:p>
      <w:pPr>
        <w:jc w:val="center"/>
      </w:pPr>
      <w:r>
        <w:drawing>
          <wp:inline xmlns:a="http://schemas.openxmlformats.org/drawingml/2006/main" xmlns:pic="http://schemas.openxmlformats.org/drawingml/2006/picture">
            <wp:extent cx="4572000" cy="2927420"/>
            <wp:docPr id="9" name="Picture 9"/>
            <wp:cNvGraphicFramePr>
              <a:graphicFrameLocks noChangeAspect="1"/>
            </wp:cNvGraphicFramePr>
            <a:graphic>
              <a:graphicData uri="http://schemas.openxmlformats.org/drawingml/2006/picture">
                <pic:pic>
                  <pic:nvPicPr>
                    <pic:cNvPr id="0" name="22_precision_recall.png"/>
                    <pic:cNvPicPr/>
                  </pic:nvPicPr>
                  <pic:blipFill>
                    <a:blip r:embed="rId18"/>
                    <a:stretch>
                      <a:fillRect/>
                    </a:stretch>
                  </pic:blipFill>
                  <pic:spPr>
                    <a:xfrm>
                      <a:off x="0" y="0"/>
                      <a:ext cx="4572000" cy="2927420"/>
                    </a:xfrm>
                    <a:prstGeom prst="rect"/>
                  </pic:spPr>
                </pic:pic>
              </a:graphicData>
            </a:graphic>
          </wp:inline>
        </w:drawing>
      </w:r>
    </w:p>
    <w:p>
      <w:pPr>
        <w:spacing w:after="160"/>
        <w:jc w:val="center"/>
      </w:pPr>
      <w:r>
        <w:rPr>
          <w:b/>
          <w:sz w:val="21"/>
        </w:rPr>
        <w:t>Figure 4.7: Hold-out precision-recall curve with the threshold rules of the table above</w:t>
      </w:r>
    </w:p>
    <w:p>
      <w:pPr>
        <w:pStyle w:val="Heading2"/>
      </w:pPr>
      <w:r>
        <w:t>4.7 SHAP analysis (Objective 3)</w:t>
      </w:r>
    </w:p>
    <w:p>
      <w:pPr>
        <w:pStyle w:val="Heading3"/>
      </w:pPr>
      <w:r>
        <w:t>4.7.1 Global and local explanations</w:t>
      </w:r>
    </w:p>
    <w:p>
      <w:pPr>
        <w:spacing w:after="120" w:line="276" w:lineRule="auto"/>
        <w:jc w:val="both"/>
      </w:pPr>
      <w:r>
        <w:rPr>
          <w:b w:val="0"/>
          <w:i w:val="0"/>
        </w:rPr>
        <w:t>Figure 4.8 ranks the drivers of the as-specified model: Radiation therapy (mean |SHAP| 0.33 log-odds), Nodal status (N) (0.30), Age at diagnosis (0.23), Race: Asian (0.15) and Distant metastasis (M) (0.13). Three of these five are established prognostic factors; the other two are not: radiation therapy is a treatment-documentation field and the Asian-race indicator reflects three deaths among 60 patients. The staging effects point in the expected direction (Spearman correlation between value and SHAP: age 0.65, T 0.85, N 0.92, M 0.26).</w:t>
      </w:r>
    </w:p>
    <w:p>
      <w:pPr>
        <w:jc w:val="center"/>
      </w:pPr>
      <w:r>
        <w:drawing>
          <wp:inline xmlns:a="http://schemas.openxmlformats.org/drawingml/2006/main" xmlns:pic="http://schemas.openxmlformats.org/drawingml/2006/picture">
            <wp:extent cx="5120640" cy="2720919"/>
            <wp:docPr id="10" name="Picture 10"/>
            <wp:cNvGraphicFramePr>
              <a:graphicFrameLocks noChangeAspect="1"/>
            </wp:cNvGraphicFramePr>
            <a:graphic>
              <a:graphicData uri="http://schemas.openxmlformats.org/drawingml/2006/picture">
                <pic:pic>
                  <pic:nvPicPr>
                    <pic:cNvPr id="0" name="12_shap_beeswarm.png"/>
                    <pic:cNvPicPr/>
                  </pic:nvPicPr>
                  <pic:blipFill>
                    <a:blip r:embed="rId19"/>
                    <a:stretch>
                      <a:fillRect/>
                    </a:stretch>
                  </pic:blipFill>
                  <pic:spPr>
                    <a:xfrm>
                      <a:off x="0" y="0"/>
                      <a:ext cx="5120640" cy="2720919"/>
                    </a:xfrm>
                    <a:prstGeom prst="rect"/>
                  </pic:spPr>
                </pic:pic>
              </a:graphicData>
            </a:graphic>
          </wp:inline>
        </w:drawing>
      </w:r>
    </w:p>
    <w:p>
      <w:pPr>
        <w:spacing w:after="160"/>
        <w:jc w:val="center"/>
      </w:pPr>
      <w:r>
        <w:rPr>
          <w:b/>
          <w:sz w:val="21"/>
        </w:rPr>
        <w:t>Figure 4.8: SHAP summary (beeswarm) of the as-specified model</w:t>
      </w:r>
    </w:p>
    <w:p>
      <w:pPr>
        <w:jc w:val="center"/>
      </w:pPr>
      <w:r>
        <w:drawing>
          <wp:inline xmlns:a="http://schemas.openxmlformats.org/drawingml/2006/main" xmlns:pic="http://schemas.openxmlformats.org/drawingml/2006/picture">
            <wp:extent cx="5852160" cy="2079741"/>
            <wp:docPr id="11" name="Picture 11"/>
            <wp:cNvGraphicFramePr>
              <a:graphicFrameLocks noChangeAspect="1"/>
            </wp:cNvGraphicFramePr>
            <a:graphic>
              <a:graphicData uri="http://schemas.openxmlformats.org/drawingml/2006/picture">
                <pic:pic>
                  <pic:nvPicPr>
                    <pic:cNvPr id="0" name="14_dependence.png"/>
                    <pic:cNvPicPr/>
                  </pic:nvPicPr>
                  <pic:blipFill>
                    <a:blip r:embed="rId20"/>
                    <a:stretch>
                      <a:fillRect/>
                    </a:stretch>
                  </pic:blipFill>
                  <pic:spPr>
                    <a:xfrm>
                      <a:off x="0" y="0"/>
                      <a:ext cx="5852160" cy="2079741"/>
                    </a:xfrm>
                    <a:prstGeom prst="rect"/>
                  </pic:spPr>
                </pic:pic>
              </a:graphicData>
            </a:graphic>
          </wp:inline>
        </w:drawing>
      </w:r>
    </w:p>
    <w:p>
      <w:pPr>
        <w:spacing w:after="160"/>
        <w:jc w:val="center"/>
      </w:pPr>
      <w:r>
        <w:rPr>
          <w:b/>
          <w:sz w:val="21"/>
        </w:rPr>
        <w:t>Figure 4.9: SHAP dependence plots for age, nodal status and tumour size by race</w:t>
      </w:r>
    </w:p>
    <w:p>
      <w:pPr>
        <w:spacing w:after="120" w:line="276" w:lineRule="auto"/>
        <w:jc w:val="both"/>
      </w:pPr>
      <w:r>
        <w:rPr>
          <w:b w:val="0"/>
          <w:i w:val="0"/>
        </w:rPr>
        <w:t>Local explanations (Figure 4.10 to Figure 4.12) show the reasoning for a Black patient whose death was caught, a Black patient whose death was missed, and a White survivor correctly not flagged. They let a reviewer see why the missed death fell below the threshold: young age and node-negative status subtracted more risk than the weak positive signals added.</w:t>
      </w:r>
    </w:p>
    <w:p>
      <w:pPr>
        <w:jc w:val="center"/>
      </w:pPr>
      <w:r>
        <w:drawing>
          <wp:inline xmlns:a="http://schemas.openxmlformats.org/drawingml/2006/main" xmlns:pic="http://schemas.openxmlformats.org/drawingml/2006/picture">
            <wp:extent cx="4206240" cy="2636894"/>
            <wp:docPr id="12" name="Picture 12"/>
            <wp:cNvGraphicFramePr>
              <a:graphicFrameLocks noChangeAspect="1"/>
            </wp:cNvGraphicFramePr>
            <a:graphic>
              <a:graphicData uri="http://schemas.openxmlformats.org/drawingml/2006/picture">
                <pic:pic>
                  <pic:nvPicPr>
                    <pic:cNvPr id="0" name="15_waterfall_true_positive_black.png"/>
                    <pic:cNvPicPr/>
                  </pic:nvPicPr>
                  <pic:blipFill>
                    <a:blip r:embed="rId21"/>
                    <a:stretch>
                      <a:fillRect/>
                    </a:stretch>
                  </pic:blipFill>
                  <pic:spPr>
                    <a:xfrm>
                      <a:off x="0" y="0"/>
                      <a:ext cx="4206240" cy="2636894"/>
                    </a:xfrm>
                    <a:prstGeom prst="rect"/>
                  </pic:spPr>
                </pic:pic>
              </a:graphicData>
            </a:graphic>
          </wp:inline>
        </w:drawing>
      </w:r>
    </w:p>
    <w:p>
      <w:pPr>
        <w:spacing w:after="160"/>
        <w:jc w:val="center"/>
      </w:pPr>
      <w:r>
        <w:rPr>
          <w:b/>
          <w:sz w:val="21"/>
        </w:rPr>
        <w:t>Figure 4.10: Waterfall explanation: True positive (Black patient)</w:t>
      </w:r>
    </w:p>
    <w:p>
      <w:pPr>
        <w:jc w:val="center"/>
      </w:pPr>
      <w:r>
        <w:drawing>
          <wp:inline xmlns:a="http://schemas.openxmlformats.org/drawingml/2006/main" xmlns:pic="http://schemas.openxmlformats.org/drawingml/2006/picture">
            <wp:extent cx="4206240" cy="2627674"/>
            <wp:docPr id="13" name="Picture 13"/>
            <wp:cNvGraphicFramePr>
              <a:graphicFrameLocks noChangeAspect="1"/>
            </wp:cNvGraphicFramePr>
            <a:graphic>
              <a:graphicData uri="http://schemas.openxmlformats.org/drawingml/2006/picture">
                <pic:pic>
                  <pic:nvPicPr>
                    <pic:cNvPr id="0" name="15_waterfall_false_negative_black.png"/>
                    <pic:cNvPicPr/>
                  </pic:nvPicPr>
                  <pic:blipFill>
                    <a:blip r:embed="rId22"/>
                    <a:stretch>
                      <a:fillRect/>
                    </a:stretch>
                  </pic:blipFill>
                  <pic:spPr>
                    <a:xfrm>
                      <a:off x="0" y="0"/>
                      <a:ext cx="4206240" cy="2627674"/>
                    </a:xfrm>
                    <a:prstGeom prst="rect"/>
                  </pic:spPr>
                </pic:pic>
              </a:graphicData>
            </a:graphic>
          </wp:inline>
        </w:drawing>
      </w:r>
    </w:p>
    <w:p>
      <w:pPr>
        <w:spacing w:after="160"/>
        <w:jc w:val="center"/>
      </w:pPr>
      <w:r>
        <w:rPr>
          <w:b/>
          <w:sz w:val="21"/>
        </w:rPr>
        <w:t>Figure 4.11: Waterfall explanation: False negative (Black patient)</w:t>
      </w:r>
    </w:p>
    <w:p>
      <w:pPr>
        <w:jc w:val="center"/>
      </w:pPr>
      <w:r>
        <w:drawing>
          <wp:inline xmlns:a="http://schemas.openxmlformats.org/drawingml/2006/main" xmlns:pic="http://schemas.openxmlformats.org/drawingml/2006/picture">
            <wp:extent cx="4206240" cy="2459951"/>
            <wp:docPr id="14" name="Picture 14"/>
            <wp:cNvGraphicFramePr>
              <a:graphicFrameLocks noChangeAspect="1"/>
            </wp:cNvGraphicFramePr>
            <a:graphic>
              <a:graphicData uri="http://schemas.openxmlformats.org/drawingml/2006/picture">
                <pic:pic>
                  <pic:nvPicPr>
                    <pic:cNvPr id="0" name="15_waterfall_true_negative_white.png"/>
                    <pic:cNvPicPr/>
                  </pic:nvPicPr>
                  <pic:blipFill>
                    <a:blip r:embed="rId23"/>
                    <a:stretch>
                      <a:fillRect/>
                    </a:stretch>
                  </pic:blipFill>
                  <pic:spPr>
                    <a:xfrm>
                      <a:off x="0" y="0"/>
                      <a:ext cx="4206240" cy="2459951"/>
                    </a:xfrm>
                    <a:prstGeom prst="rect"/>
                  </pic:spPr>
                </pic:pic>
              </a:graphicData>
            </a:graphic>
          </wp:inline>
        </w:drawing>
      </w:r>
    </w:p>
    <w:p>
      <w:pPr>
        <w:spacing w:after="160"/>
        <w:jc w:val="center"/>
      </w:pPr>
      <w:r>
        <w:rPr>
          <w:b/>
          <w:sz w:val="21"/>
        </w:rPr>
        <w:t>Figure 4.12: Waterfall explanation: True negative (White patient)</w:t>
      </w:r>
    </w:p>
    <w:p>
      <w:pPr>
        <w:pStyle w:val="Heading3"/>
      </w:pPr>
      <w:r>
        <w:t>4.7.2 Quality of the explanations</w:t>
      </w:r>
    </w:p>
    <w:p>
      <w:pPr>
        <w:spacing w:after="160"/>
      </w:pPr>
      <w:r>
        <w:rPr>
          <w:b/>
          <w:sz w:val="21"/>
        </w:rPr>
        <w:t>Table 4.8: Explanation quality of the as-specified model</w:t>
      </w:r>
    </w:p>
    <w:tbl>
      <w:tblPr>
        <w:tblStyle w:val="TableGrid"/>
        <w:tblW w:type="auto" w:w="0"/>
        <w:jc w:val="center"/>
        <w:tblLook w:firstColumn="1" w:firstRow="1" w:lastColumn="0" w:lastRow="0" w:noHBand="0" w:noVBand="1" w:val="04A0"/>
      </w:tblPr>
      <w:tblGrid>
        <w:gridCol w:w="4680"/>
        <w:gridCol w:w="4680"/>
      </w:tblGrid>
      <w:tr>
        <w:tc>
          <w:tcPr>
            <w:tcW w:type="dxa" w:w="5472"/>
            <w:shd w:val="clear" w:color="auto" w:fill="E8ECF1"/>
          </w:tcPr>
          <w:p>
            <w:r/>
            <w:r>
              <w:rPr>
                <w:b/>
                <w:sz w:val="18"/>
              </w:rPr>
              <w:t>Criterion</w:t>
            </w:r>
          </w:p>
        </w:tc>
        <w:tc>
          <w:tcPr>
            <w:tcW w:type="dxa" w:w="3888"/>
            <w:shd w:val="clear" w:color="auto" w:fill="E8ECF1"/>
          </w:tcPr>
          <w:p>
            <w:r/>
            <w:r>
              <w:rPr>
                <w:b/>
                <w:sz w:val="18"/>
              </w:rPr>
              <w:t>Result</w:t>
            </w:r>
          </w:p>
        </w:tc>
      </w:tr>
      <w:tr>
        <w:tc>
          <w:tcPr>
            <w:tcW w:type="dxa" w:w="5472"/>
          </w:tcPr>
          <w:p>
            <w:r/>
            <w:r>
              <w:rPr>
                <w:sz w:val="18"/>
              </w:rPr>
              <w:t>Fidelity: max |base + sum(SHAP) - margin|</w:t>
            </w:r>
          </w:p>
        </w:tc>
        <w:tc>
          <w:tcPr>
            <w:tcW w:type="dxa" w:w="3888"/>
          </w:tcPr>
          <w:p>
            <w:r/>
            <w:r>
              <w:rPr>
                <w:sz w:val="18"/>
              </w:rPr>
              <w:t>2.4e-06 over 1,084 patients</w:t>
            </w:r>
          </w:p>
        </w:tc>
      </w:tr>
      <w:tr>
        <w:tc>
          <w:tcPr>
            <w:tcW w:type="dxa" w:w="5472"/>
          </w:tcPr>
          <w:p>
            <w:r/>
            <w:r>
              <w:rPr>
                <w:sz w:val="18"/>
              </w:rPr>
              <w:t>Stability across 10 CV-fold models (mean / min Spearman)</w:t>
            </w:r>
          </w:p>
        </w:tc>
        <w:tc>
          <w:tcPr>
            <w:tcW w:type="dxa" w:w="3888"/>
          </w:tcPr>
          <w:p>
            <w:r/>
            <w:r>
              <w:rPr>
                <w:sz w:val="18"/>
              </w:rPr>
              <w:t>0.90 / 0.79</w:t>
            </w:r>
          </w:p>
        </w:tc>
      </w:tr>
      <w:tr>
        <w:tc>
          <w:tcPr>
            <w:tcW w:type="dxa" w:w="5472"/>
          </w:tcPr>
          <w:p>
            <w:r/>
            <w:r>
              <w:rPr>
                <w:sz w:val="18"/>
              </w:rPr>
              <w:t>Stability across 100 bootstrap refits (mean Spearman)</w:t>
            </w:r>
          </w:p>
        </w:tc>
        <w:tc>
          <w:tcPr>
            <w:tcW w:type="dxa" w:w="3888"/>
          </w:tcPr>
          <w:p>
            <w:r/>
            <w:r>
              <w:rPr>
                <w:sz w:val="18"/>
              </w:rPr>
              <w:t>0.82</w:t>
            </w:r>
          </w:p>
        </w:tc>
      </w:tr>
      <w:tr>
        <w:tc>
          <w:tcPr>
            <w:tcW w:type="dxa" w:w="5472"/>
          </w:tcPr>
          <w:p>
            <w:r/>
            <w:r>
              <w:rPr>
                <w:sz w:val="18"/>
              </w:rPr>
              <w:t>Agreement with XGBoost gain / weight / cover importance (Spearman)</w:t>
            </w:r>
          </w:p>
        </w:tc>
        <w:tc>
          <w:tcPr>
            <w:tcW w:type="dxa" w:w="3888"/>
          </w:tcPr>
          <w:p>
            <w:r/>
            <w:r>
              <w:rPr>
                <w:sz w:val="18"/>
              </w:rPr>
              <w:t>0.95 / 0.94 / 0.78</w:t>
            </w:r>
          </w:p>
        </w:tc>
      </w:tr>
      <w:tr>
        <w:tc>
          <w:tcPr>
            <w:tcW w:type="dxa" w:w="5472"/>
          </w:tcPr>
          <w:p>
            <w:r/>
            <w:r>
              <w:rPr>
                <w:sz w:val="18"/>
              </w:rPr>
              <w:t>Deletion test: AUC after blanking the top-1 / top-2 attributed features</w:t>
            </w:r>
          </w:p>
        </w:tc>
        <w:tc>
          <w:tcPr>
            <w:tcW w:type="dxa" w:w="3888"/>
          </w:tcPr>
          <w:p>
            <w:r/>
            <w:r>
              <w:rPr>
                <w:sz w:val="18"/>
              </w:rPr>
              <w:t>0.62 / 0.57 (random: 0.79 / 0.74; intact 0.83)</w:t>
            </w:r>
          </w:p>
        </w:tc>
      </w:tr>
      <w:tr>
        <w:tc>
          <w:tcPr>
            <w:tcW w:type="dxa" w:w="5472"/>
          </w:tcPr>
          <w:p>
            <w:r/>
            <w:r>
              <w:rPr>
                <w:sz w:val="18"/>
              </w:rPr>
              <w:t>Clinical alignment: top-5 features that are established prognostic factors</w:t>
            </w:r>
          </w:p>
        </w:tc>
        <w:tc>
          <w:tcPr>
            <w:tcW w:type="dxa" w:w="3888"/>
          </w:tcPr>
          <w:p>
            <w:r/>
            <w:r>
              <w:rPr>
                <w:sz w:val="18"/>
              </w:rPr>
              <w:t>3 of 5</w:t>
            </w:r>
          </w:p>
        </w:tc>
      </w:tr>
    </w:tbl>
    <w:p>
      <w:pPr>
        <w:spacing w:after="80"/>
      </w:pPr>
    </w:p>
    <w:p>
      <w:pPr>
        <w:spacing w:after="120" w:line="276" w:lineRule="auto"/>
        <w:jc w:val="both"/>
      </w:pPr>
      <w:r>
        <w:rPr>
          <w:b w:val="0"/>
          <w:i w:val="0"/>
        </w:rPr>
        <w:t>Fidelity holds to numerical precision, as it must for TreeSHAP. Rankings are stable (rank correlation 0.90 across fold models, 0.82 across bootstraps) and agree with XGBoost's own gain importance (0.95). The deletion test confirms that SHAP points at what the model really uses: blanking the single most-attributed feature takes AUC from 0.83 to 0.62, against 0.79 for a random feature (Figure 4.13). Faithful and stable explanations of a model that leans on documentation artefacts are not the same as clinically meaningful explanations, which is why alignment is reported separately.</w:t>
      </w:r>
    </w:p>
    <w:p>
      <w:pPr>
        <w:jc w:val="center"/>
      </w:pPr>
      <w:r>
        <w:drawing>
          <wp:inline xmlns:a="http://schemas.openxmlformats.org/drawingml/2006/main" xmlns:pic="http://schemas.openxmlformats.org/drawingml/2006/picture">
            <wp:extent cx="4023360" cy="2939245"/>
            <wp:docPr id="15" name="Picture 15"/>
            <wp:cNvGraphicFramePr>
              <a:graphicFrameLocks noChangeAspect="1"/>
            </wp:cNvGraphicFramePr>
            <a:graphic>
              <a:graphicData uri="http://schemas.openxmlformats.org/drawingml/2006/picture">
                <pic:pic>
                  <pic:nvPicPr>
                    <pic:cNvPr id="0" name="26_deletion_test.png"/>
                    <pic:cNvPicPr/>
                  </pic:nvPicPr>
                  <pic:blipFill>
                    <a:blip r:embed="rId24"/>
                    <a:stretch>
                      <a:fillRect/>
                    </a:stretch>
                  </pic:blipFill>
                  <pic:spPr>
                    <a:xfrm>
                      <a:off x="0" y="0"/>
                      <a:ext cx="4023360" cy="2939245"/>
                    </a:xfrm>
                    <a:prstGeom prst="rect"/>
                  </pic:spPr>
                </pic:pic>
              </a:graphicData>
            </a:graphic>
          </wp:inline>
        </w:drawing>
      </w:r>
    </w:p>
    <w:p>
      <w:pPr>
        <w:spacing w:after="160"/>
        <w:jc w:val="center"/>
      </w:pPr>
      <w:r>
        <w:rPr>
          <w:b/>
          <w:sz w:val="21"/>
        </w:rPr>
        <w:t>Figure 4.13: Faithfulness (deletion) test</w:t>
      </w:r>
    </w:p>
    <w:p>
      <w:pPr>
        <w:pStyle w:val="Heading3"/>
      </w:pPr>
      <w:r>
        <w:t>4.7.3 The race check</w:t>
      </w:r>
    </w:p>
    <w:p>
      <w:pPr>
        <w:spacing w:after="120" w:line="276" w:lineRule="auto"/>
        <w:jc w:val="both"/>
      </w:pPr>
      <w:r>
        <w:rPr>
          <w:b w:val="0"/>
          <w:i w:val="0"/>
        </w:rPr>
        <w:t>For the 993 patients whose race is recorded the race columns carry 8% of the attribution. For the 91 patients whose race is not recorded they carry 39%, with a mean effect of -0.83 log-odds; their observed death rate is 7.7%. The model has learned that a blank race field means low risk (Figure 4.14). The check therefore finds that the model does not rely on race itself, but it does rely on whether race was documented.</w:t>
      </w:r>
    </w:p>
    <w:p>
      <w:pPr>
        <w:jc w:val="center"/>
      </w:pPr>
      <w:r>
        <w:drawing>
          <wp:inline xmlns:a="http://schemas.openxmlformats.org/drawingml/2006/main" xmlns:pic="http://schemas.openxmlformats.org/drawingml/2006/picture">
            <wp:extent cx="4937760" cy="2062689"/>
            <wp:docPr id="16" name="Picture 16"/>
            <wp:cNvGraphicFramePr>
              <a:graphicFrameLocks noChangeAspect="1"/>
            </wp:cNvGraphicFramePr>
            <a:graphic>
              <a:graphicData uri="http://schemas.openxmlformats.org/drawingml/2006/picture">
                <pic:pic>
                  <pic:nvPicPr>
                    <pic:cNvPr id="0" name="25_race_missing_signal.png"/>
                    <pic:cNvPicPr/>
                  </pic:nvPicPr>
                  <pic:blipFill>
                    <a:blip r:embed="rId25"/>
                    <a:stretch>
                      <a:fillRect/>
                    </a:stretch>
                  </pic:blipFill>
                  <pic:spPr>
                    <a:xfrm>
                      <a:off x="0" y="0"/>
                      <a:ext cx="4937760" cy="2062689"/>
                    </a:xfrm>
                    <a:prstGeom prst="rect"/>
                  </pic:spPr>
                </pic:pic>
              </a:graphicData>
            </a:graphic>
          </wp:inline>
        </w:drawing>
      </w:r>
    </w:p>
    <w:p>
      <w:pPr>
        <w:spacing w:after="160"/>
        <w:jc w:val="center"/>
      </w:pPr>
      <w:r>
        <w:rPr>
          <w:b/>
          <w:sz w:val="21"/>
        </w:rPr>
        <w:t>Figure 4.14: Attribution carried by the race columns, and observed mortality, by whether race was recorded</w:t>
      </w:r>
    </w:p>
    <w:p>
      <w:pPr>
        <w:pStyle w:val="Heading2"/>
      </w:pPr>
      <w:r>
        <w:t>4.8 Fairness audit and bias mitigation (extension)</w:t>
      </w:r>
    </w:p>
    <w:p>
      <w:pPr>
        <w:pStyle w:val="Heading3"/>
      </w:pPr>
      <w:r>
        <w:t>4.8.1 Equal opportunity and false-alarm burden</w:t>
      </w:r>
    </w:p>
    <w:p>
      <w:pPr>
        <w:spacing w:after="120" w:line="276" w:lineRule="auto"/>
        <w:jc w:val="both"/>
      </w:pPr>
      <w:r>
        <w:rPr>
          <w:b w:val="0"/>
          <w:i w:val="0"/>
        </w:rPr>
        <w:t>For the race-aware baseline, recall is 80.2% for White and 87.3% for Black patients: a gap of +7.2 percentage points (95% CI -4.2 to +17.0). The false-alarm rate is 54.0% against 55.4%, a gap of +1.4 percentage points (95% CI -6.6 to +8.9). Neither gap is distinguishable from zero, but with 30 Black deaths the recall-gap interval is about ±11 points wide, so a smaller gap could not be detected (Figure 4.15, Figure 4.16, Table 4.9).</w:t>
      </w:r>
    </w:p>
    <w:p>
      <w:pPr>
        <w:jc w:val="center"/>
      </w:pPr>
      <w:r>
        <w:drawing>
          <wp:inline xmlns:a="http://schemas.openxmlformats.org/drawingml/2006/main" xmlns:pic="http://schemas.openxmlformats.org/drawingml/2006/picture">
            <wp:extent cx="5852160" cy="2603373"/>
            <wp:docPr id="17" name="Picture 17"/>
            <wp:cNvGraphicFramePr>
              <a:graphicFrameLocks noChangeAspect="1"/>
            </wp:cNvGraphicFramePr>
            <a:graphic>
              <a:graphicData uri="http://schemas.openxmlformats.org/drawingml/2006/picture">
                <pic:pic>
                  <pic:nvPicPr>
                    <pic:cNvPr id="0" name="05_rates_by_race.png"/>
                    <pic:cNvPicPr/>
                  </pic:nvPicPr>
                  <pic:blipFill>
                    <a:blip r:embed="rId26"/>
                    <a:stretch>
                      <a:fillRect/>
                    </a:stretch>
                  </pic:blipFill>
                  <pic:spPr>
                    <a:xfrm>
                      <a:off x="0" y="0"/>
                      <a:ext cx="5852160" cy="2603373"/>
                    </a:xfrm>
                    <a:prstGeom prst="rect"/>
                  </pic:spPr>
                </pic:pic>
              </a:graphicData>
            </a:graphic>
          </wp:inline>
        </w:drawing>
      </w:r>
    </w:p>
    <w:p>
      <w:pPr>
        <w:spacing w:after="160"/>
        <w:jc w:val="center"/>
      </w:pPr>
      <w:r>
        <w:rPr>
          <w:b/>
          <w:sz w:val="21"/>
        </w:rPr>
        <w:t>Figure 4.15: Recall and false-alarm rate by race for the five strategies (5 x 5 CV, bootstrap CI)</w:t>
      </w:r>
    </w:p>
    <w:p>
      <w:pPr>
        <w:spacing w:after="160"/>
      </w:pPr>
      <w:r>
        <w:rPr>
          <w:b/>
          <w:sz w:val="21"/>
        </w:rPr>
        <w:t>Table 4.9: Fairness metrics by strategy (Black minus White; 95 % bootstrap CI)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E8ECF1"/>
          </w:tcPr>
          <w:p>
            <w:r/>
            <w:r>
              <w:rPr>
                <w:b/>
                <w:sz w:val="16"/>
              </w:rPr>
              <w:t>Strategy</w:t>
            </w:r>
          </w:p>
        </w:tc>
        <w:tc>
          <w:tcPr>
            <w:tcW w:type="dxa" w:w="1008"/>
            <w:shd w:val="clear" w:color="auto" w:fill="E8ECF1"/>
          </w:tcPr>
          <w:p>
            <w:r/>
            <w:r>
              <w:rPr>
                <w:b/>
                <w:sz w:val="16"/>
              </w:rPr>
              <w:t>Recall White</w:t>
            </w:r>
          </w:p>
        </w:tc>
        <w:tc>
          <w:tcPr>
            <w:tcW w:type="dxa" w:w="1008"/>
            <w:shd w:val="clear" w:color="auto" w:fill="E8ECF1"/>
          </w:tcPr>
          <w:p>
            <w:r/>
            <w:r>
              <w:rPr>
                <w:b/>
                <w:sz w:val="16"/>
              </w:rPr>
              <w:t>Recall Black</w:t>
            </w:r>
          </w:p>
        </w:tc>
        <w:tc>
          <w:tcPr>
            <w:tcW w:type="dxa" w:w="2016"/>
            <w:shd w:val="clear" w:color="auto" w:fill="E8ECF1"/>
          </w:tcPr>
          <w:p>
            <w:r/>
            <w:r>
              <w:rPr>
                <w:b/>
                <w:sz w:val="16"/>
              </w:rPr>
              <w:t>Recall gap</w:t>
            </w:r>
          </w:p>
        </w:tc>
        <w:tc>
          <w:tcPr>
            <w:tcW w:type="dxa" w:w="2016"/>
            <w:shd w:val="clear" w:color="auto" w:fill="E8ECF1"/>
          </w:tcPr>
          <w:p>
            <w:r/>
            <w:r>
              <w:rPr>
                <w:b/>
                <w:sz w:val="16"/>
              </w:rPr>
              <w:t>False-alarm gap</w:t>
            </w:r>
          </w:p>
        </w:tc>
        <w:tc>
          <w:tcPr>
            <w:tcW w:type="dxa" w:w="1152"/>
            <w:shd w:val="clear" w:color="auto" w:fill="E8ECF1"/>
          </w:tcPr>
          <w:p>
            <w:r/>
            <w:r>
              <w:rPr>
                <w:b/>
                <w:sz w:val="16"/>
              </w:rPr>
              <w:t>Equalised-odds diff.</w:t>
            </w:r>
          </w:p>
        </w:tc>
      </w:tr>
      <w:tr>
        <w:tc>
          <w:tcPr>
            <w:tcW w:type="dxa" w:w="2160"/>
          </w:tcPr>
          <w:p>
            <w:r/>
            <w:r>
              <w:rPr>
                <w:sz w:val="16"/>
              </w:rPr>
              <w:t>Baseline (race-aware)</w:t>
            </w:r>
          </w:p>
        </w:tc>
        <w:tc>
          <w:tcPr>
            <w:tcW w:type="dxa" w:w="1008"/>
          </w:tcPr>
          <w:p>
            <w:r/>
            <w:r>
              <w:rPr>
                <w:sz w:val="16"/>
              </w:rPr>
              <w:t>80.2%</w:t>
            </w:r>
          </w:p>
        </w:tc>
        <w:tc>
          <w:tcPr>
            <w:tcW w:type="dxa" w:w="1008"/>
          </w:tcPr>
          <w:p>
            <w:r/>
            <w:r>
              <w:rPr>
                <w:sz w:val="16"/>
              </w:rPr>
              <w:t>87.3%</w:t>
            </w:r>
          </w:p>
        </w:tc>
        <w:tc>
          <w:tcPr>
            <w:tcW w:type="dxa" w:w="2016"/>
          </w:tcPr>
          <w:p>
            <w:r/>
            <w:r>
              <w:rPr>
                <w:sz w:val="16"/>
              </w:rPr>
              <w:t>+7.2 pp (95% CI -4.2 to +17.0)</w:t>
            </w:r>
          </w:p>
        </w:tc>
        <w:tc>
          <w:tcPr>
            <w:tcW w:type="dxa" w:w="2016"/>
          </w:tcPr>
          <w:p>
            <w:r/>
            <w:r>
              <w:rPr>
                <w:sz w:val="16"/>
              </w:rPr>
              <w:t>+1.4 pp (95% CI -6.6 to +8.9)</w:t>
            </w:r>
          </w:p>
        </w:tc>
        <w:tc>
          <w:tcPr>
            <w:tcW w:type="dxa" w:w="1152"/>
          </w:tcPr>
          <w:p>
            <w:r/>
            <w:r>
              <w:rPr>
                <w:sz w:val="16"/>
              </w:rPr>
              <w:t>7.2%</w:t>
            </w:r>
          </w:p>
        </w:tc>
      </w:tr>
      <w:tr>
        <w:tc>
          <w:tcPr>
            <w:tcW w:type="dxa" w:w="2160"/>
          </w:tcPr>
          <w:p>
            <w:r/>
            <w:r>
              <w:rPr>
                <w:sz w:val="16"/>
              </w:rPr>
              <w:t>Race-blind</w:t>
            </w:r>
          </w:p>
        </w:tc>
        <w:tc>
          <w:tcPr>
            <w:tcW w:type="dxa" w:w="1008"/>
          </w:tcPr>
          <w:p>
            <w:r/>
            <w:r>
              <w:rPr>
                <w:sz w:val="16"/>
              </w:rPr>
              <w:t>80.4%</w:t>
            </w:r>
          </w:p>
        </w:tc>
        <w:tc>
          <w:tcPr>
            <w:tcW w:type="dxa" w:w="1008"/>
          </w:tcPr>
          <w:p>
            <w:r/>
            <w:r>
              <w:rPr>
                <w:sz w:val="16"/>
              </w:rPr>
              <w:t>72.7%</w:t>
            </w:r>
          </w:p>
        </w:tc>
        <w:tc>
          <w:tcPr>
            <w:tcW w:type="dxa" w:w="2016"/>
          </w:tcPr>
          <w:p>
            <w:r/>
            <w:r>
              <w:rPr>
                <w:sz w:val="16"/>
              </w:rPr>
              <w:t>-7.7 pp (95% CI -22.5 to +6.5)</w:t>
            </w:r>
          </w:p>
        </w:tc>
        <w:tc>
          <w:tcPr>
            <w:tcW w:type="dxa" w:w="2016"/>
          </w:tcPr>
          <w:p>
            <w:r/>
            <w:r>
              <w:rPr>
                <w:sz w:val="16"/>
              </w:rPr>
              <w:t>-7.2 pp (95% CI -15.4 to +0.7)</w:t>
            </w:r>
          </w:p>
        </w:tc>
        <w:tc>
          <w:tcPr>
            <w:tcW w:type="dxa" w:w="1152"/>
          </w:tcPr>
          <w:p>
            <w:r/>
            <w:r>
              <w:rPr>
                <w:sz w:val="16"/>
              </w:rPr>
              <w:t>7.7%</w:t>
            </w:r>
          </w:p>
        </w:tc>
      </w:tr>
      <w:tr>
        <w:tc>
          <w:tcPr>
            <w:tcW w:type="dxa" w:w="2160"/>
          </w:tcPr>
          <w:p>
            <w:r/>
            <w:r>
              <w:rPr>
                <w:sz w:val="16"/>
              </w:rPr>
              <w:t>Reweighing</w:t>
            </w:r>
          </w:p>
        </w:tc>
        <w:tc>
          <w:tcPr>
            <w:tcW w:type="dxa" w:w="1008"/>
          </w:tcPr>
          <w:p>
            <w:r/>
            <w:r>
              <w:rPr>
                <w:sz w:val="16"/>
              </w:rPr>
              <w:t>80.9%</w:t>
            </w:r>
          </w:p>
        </w:tc>
        <w:tc>
          <w:tcPr>
            <w:tcW w:type="dxa" w:w="1008"/>
          </w:tcPr>
          <w:p>
            <w:r/>
            <w:r>
              <w:rPr>
                <w:sz w:val="16"/>
              </w:rPr>
              <w:t>70.0%</w:t>
            </w:r>
          </w:p>
        </w:tc>
        <w:tc>
          <w:tcPr>
            <w:tcW w:type="dxa" w:w="2016"/>
          </w:tcPr>
          <w:p>
            <w:r/>
            <w:r>
              <w:rPr>
                <w:sz w:val="16"/>
              </w:rPr>
              <w:t>-10.9 pp (95% CI -26.4 to +4.8)</w:t>
            </w:r>
          </w:p>
        </w:tc>
        <w:tc>
          <w:tcPr>
            <w:tcW w:type="dxa" w:w="2016"/>
          </w:tcPr>
          <w:p>
            <w:r/>
            <w:r>
              <w:rPr>
                <w:sz w:val="16"/>
              </w:rPr>
              <w:t>-9.6 pp (95% CI -17.8 to -1.6)</w:t>
            </w:r>
          </w:p>
        </w:tc>
        <w:tc>
          <w:tcPr>
            <w:tcW w:type="dxa" w:w="1152"/>
          </w:tcPr>
          <w:p>
            <w:r/>
            <w:r>
              <w:rPr>
                <w:sz w:val="16"/>
              </w:rPr>
              <w:t>10.9%</w:t>
            </w:r>
          </w:p>
        </w:tc>
      </w:tr>
      <w:tr>
        <w:tc>
          <w:tcPr>
            <w:tcW w:type="dxa" w:w="2160"/>
          </w:tcPr>
          <w:p>
            <w:r/>
            <w:r>
              <w:rPr>
                <w:sz w:val="16"/>
              </w:rPr>
              <w:t>Group thresholds</w:t>
            </w:r>
          </w:p>
        </w:tc>
        <w:tc>
          <w:tcPr>
            <w:tcW w:type="dxa" w:w="1008"/>
          </w:tcPr>
          <w:p>
            <w:r/>
            <w:r>
              <w:rPr>
                <w:sz w:val="16"/>
              </w:rPr>
              <w:t>79.8%</w:t>
            </w:r>
          </w:p>
        </w:tc>
        <w:tc>
          <w:tcPr>
            <w:tcW w:type="dxa" w:w="1008"/>
          </w:tcPr>
          <w:p>
            <w:r/>
            <w:r>
              <w:rPr>
                <w:sz w:val="16"/>
              </w:rPr>
              <w:t>78.0%</w:t>
            </w:r>
          </w:p>
        </w:tc>
        <w:tc>
          <w:tcPr>
            <w:tcW w:type="dxa" w:w="2016"/>
          </w:tcPr>
          <w:p>
            <w:r/>
            <w:r>
              <w:rPr>
                <w:sz w:val="16"/>
              </w:rPr>
              <w:t>-1.8 pp (95% CI -15.3 to +10.8)</w:t>
            </w:r>
          </w:p>
        </w:tc>
        <w:tc>
          <w:tcPr>
            <w:tcW w:type="dxa" w:w="2016"/>
          </w:tcPr>
          <w:p>
            <w:r/>
            <w:r>
              <w:rPr>
                <w:sz w:val="16"/>
              </w:rPr>
              <w:t>-3.9 pp (95% CI -12.4 to +3.8)</w:t>
            </w:r>
          </w:p>
        </w:tc>
        <w:tc>
          <w:tcPr>
            <w:tcW w:type="dxa" w:w="1152"/>
          </w:tcPr>
          <w:p>
            <w:r/>
            <w:r>
              <w:rPr>
                <w:sz w:val="16"/>
              </w:rPr>
              <w:t>3.9%</w:t>
            </w:r>
          </w:p>
        </w:tc>
      </w:tr>
      <w:tr>
        <w:tc>
          <w:tcPr>
            <w:tcW w:type="dxa" w:w="2160"/>
          </w:tcPr>
          <w:p>
            <w:r/>
            <w:r>
              <w:rPr>
                <w:sz w:val="16"/>
              </w:rPr>
              <w:t>Reweighing + group thresholds</w:t>
            </w:r>
          </w:p>
        </w:tc>
        <w:tc>
          <w:tcPr>
            <w:tcW w:type="dxa" w:w="1008"/>
          </w:tcPr>
          <w:p>
            <w:r/>
            <w:r>
              <w:rPr>
                <w:sz w:val="16"/>
              </w:rPr>
              <w:t>80.2%</w:t>
            </w:r>
          </w:p>
        </w:tc>
        <w:tc>
          <w:tcPr>
            <w:tcW w:type="dxa" w:w="1008"/>
          </w:tcPr>
          <w:p>
            <w:r/>
            <w:r>
              <w:rPr>
                <w:sz w:val="16"/>
              </w:rPr>
              <w:t>78.7%</w:t>
            </w:r>
          </w:p>
        </w:tc>
        <w:tc>
          <w:tcPr>
            <w:tcW w:type="dxa" w:w="2016"/>
          </w:tcPr>
          <w:p>
            <w:r/>
            <w:r>
              <w:rPr>
                <w:sz w:val="16"/>
              </w:rPr>
              <w:t>-1.5 pp (95% CI -14.0 to +11.7)</w:t>
            </w:r>
          </w:p>
        </w:tc>
        <w:tc>
          <w:tcPr>
            <w:tcW w:type="dxa" w:w="2016"/>
          </w:tcPr>
          <w:p>
            <w:r/>
            <w:r>
              <w:rPr>
                <w:sz w:val="16"/>
              </w:rPr>
              <w:t>-2.2 pp (95% CI -10.3 to +5.6)</w:t>
            </w:r>
          </w:p>
        </w:tc>
        <w:tc>
          <w:tcPr>
            <w:tcW w:type="dxa" w:w="1152"/>
          </w:tcPr>
          <w:p>
            <w:r/>
            <w:r>
              <w:rPr>
                <w:sz w:val="16"/>
              </w:rPr>
              <w:t>2.2%</w:t>
            </w:r>
          </w:p>
        </w:tc>
      </w:tr>
    </w:tbl>
    <w:p>
      <w:pPr>
        <w:spacing w:after="80"/>
      </w:pPr>
    </w:p>
    <w:p>
      <w:pPr>
        <w:jc w:val="center"/>
      </w:pPr>
      <w:r>
        <w:drawing>
          <wp:inline xmlns:a="http://schemas.openxmlformats.org/drawingml/2006/main" xmlns:pic="http://schemas.openxmlformats.org/drawingml/2006/picture">
            <wp:extent cx="5669280" cy="2118193"/>
            <wp:docPr id="18" name="Picture 18"/>
            <wp:cNvGraphicFramePr>
              <a:graphicFrameLocks noChangeAspect="1"/>
            </wp:cNvGraphicFramePr>
            <a:graphic>
              <a:graphicData uri="http://schemas.openxmlformats.org/drawingml/2006/picture">
                <pic:pic>
                  <pic:nvPicPr>
                    <pic:cNvPr id="0" name="06_gap_forest.png"/>
                    <pic:cNvPicPr/>
                  </pic:nvPicPr>
                  <pic:blipFill>
                    <a:blip r:embed="rId27"/>
                    <a:stretch>
                      <a:fillRect/>
                    </a:stretch>
                  </pic:blipFill>
                  <pic:spPr>
                    <a:xfrm>
                      <a:off x="0" y="0"/>
                      <a:ext cx="5669280" cy="2118193"/>
                    </a:xfrm>
                    <a:prstGeom prst="rect"/>
                  </pic:spPr>
                </pic:pic>
              </a:graphicData>
            </a:graphic>
          </wp:inline>
        </w:drawing>
      </w:r>
    </w:p>
    <w:p>
      <w:pPr>
        <w:spacing w:after="160"/>
        <w:jc w:val="center"/>
      </w:pPr>
      <w:r>
        <w:rPr>
          <w:b/>
          <w:sz w:val="21"/>
        </w:rPr>
        <w:t>Figure 4.16: Recall and false-alarm gaps with 95 % intervals</w:t>
      </w:r>
    </w:p>
    <w:p>
      <w:pPr>
        <w:pStyle w:val="Heading3"/>
      </w:pPr>
      <w:r>
        <w:t>4.8.2 What did mitigation do?</w:t>
      </w:r>
    </w:p>
    <w:p>
      <w:pPr>
        <w:spacing w:after="120" w:line="276" w:lineRule="auto"/>
        <w:jc w:val="both"/>
      </w:pPr>
      <w:r>
        <w:rPr>
          <w:b w:val="0"/>
          <w:i w:val="0"/>
        </w:rPr>
        <w:t>Differences between strategies are small compared with the uncertainty of each, so a paired bootstrap is used (Table 4.10). (i) Race is not inert in this model: the Black indicator adds +0.092 log-odds to the average Black-minus-White score gap. Removing race (race-blind) lowers the false-alarm gap (paired change -0.085, CI -0.111 to -0.060) but also moves the recall gap by -0.147 (CI -0.236 to -0.064), so unawareness trades Black recall for fewer false alarms rather than being neutral. (ii) Reweighing does the same more strongly: the recall gap falls by 0.179 (CI -0.272 to -0.091), i.e. fewer Black deaths are caught, while the false-alarm gap changes by -0.110 (CI -0.140 to -0.082). In a recall-first system this is the wrong direction. (iii) Group-specific thresholds target equal opportunity directly: the gaps become -1.8 (recall) and -3.9 (false alarms) points, and the equalised-odds difference falls from 7.2% to 3.9%. Relative to the baseline, whose higher Black recall comes from the race term, their paired recall-gap change is -0.088 (CI -0.161 to -0.024); the improvement in the equalised-odds difference itself is not statistically distinguishable (paired change -0.010, CI -0.100 to +0.118), and the Black-specific threshold is estimated from about 30 deaths and varies across folds (SD 0.023 against 0.014 for White). (iv) Reweighing combined with group thresholds has the smallest equalised-odds difference (2.2%) and near-equal recall (-1.5 points (95% CI -14.0 to +11.7)).</w:t>
      </w:r>
    </w:p>
    <w:p>
      <w:pPr>
        <w:spacing w:after="160"/>
      </w:pPr>
      <w:r>
        <w:rPr>
          <w:b/>
          <w:sz w:val="21"/>
        </w:rPr>
        <w:t>Table 4.10: Paired bootstrap change in each gap relative to the race-aware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736"/>
            <w:shd w:val="clear" w:color="auto" w:fill="E8ECF1"/>
          </w:tcPr>
          <w:p>
            <w:r/>
            <w:r>
              <w:rPr>
                <w:b/>
                <w:sz w:val="17"/>
              </w:rPr>
              <w:t>Strategy</w:t>
            </w:r>
          </w:p>
        </w:tc>
        <w:tc>
          <w:tcPr>
            <w:tcW w:type="dxa" w:w="2160"/>
            <w:shd w:val="clear" w:color="auto" w:fill="E8ECF1"/>
          </w:tcPr>
          <w:p>
            <w:r/>
            <w:r>
              <w:rPr>
                <w:b/>
                <w:sz w:val="17"/>
              </w:rPr>
              <w:t>Metric</w:t>
            </w:r>
          </w:p>
        </w:tc>
        <w:tc>
          <w:tcPr>
            <w:tcW w:type="dxa" w:w="1152"/>
            <w:shd w:val="clear" w:color="auto" w:fill="E8ECF1"/>
          </w:tcPr>
          <w:p>
            <w:r/>
            <w:r>
              <w:rPr>
                <w:b/>
                <w:sz w:val="17"/>
              </w:rPr>
              <w:t>Change</w:t>
            </w:r>
          </w:p>
        </w:tc>
        <w:tc>
          <w:tcPr>
            <w:tcW w:type="dxa" w:w="1872"/>
            <w:shd w:val="clear" w:color="auto" w:fill="E8ECF1"/>
          </w:tcPr>
          <w:p>
            <w:r/>
            <w:r>
              <w:rPr>
                <w:b/>
                <w:sz w:val="17"/>
              </w:rPr>
              <w:t>95 % CI</w:t>
            </w:r>
          </w:p>
        </w:tc>
        <w:tc>
          <w:tcPr>
            <w:tcW w:type="dxa" w:w="1584"/>
            <w:shd w:val="clear" w:color="auto" w:fill="E8ECF1"/>
          </w:tcPr>
          <w:p>
            <w:r/>
            <w:r>
              <w:rPr>
                <w:b/>
                <w:sz w:val="17"/>
              </w:rPr>
              <w:t>Distinguishable from 0?</w:t>
            </w:r>
          </w:p>
        </w:tc>
      </w:tr>
      <w:tr>
        <w:tc>
          <w:tcPr>
            <w:tcW w:type="dxa" w:w="2736"/>
          </w:tcPr>
          <w:p>
            <w:r/>
            <w:r>
              <w:rPr>
                <w:sz w:val="17"/>
              </w:rPr>
              <w:t>Race-blind</w:t>
            </w:r>
          </w:p>
        </w:tc>
        <w:tc>
          <w:tcPr>
            <w:tcW w:type="dxa" w:w="2160"/>
          </w:tcPr>
          <w:p>
            <w:r/>
            <w:r>
              <w:rPr>
                <w:sz w:val="17"/>
              </w:rPr>
              <w:t>Recall gap</w:t>
            </w:r>
          </w:p>
        </w:tc>
        <w:tc>
          <w:tcPr>
            <w:tcW w:type="dxa" w:w="1152"/>
          </w:tcPr>
          <w:p>
            <w:r/>
            <w:r>
              <w:rPr>
                <w:sz w:val="17"/>
              </w:rPr>
              <w:t>-0.147</w:t>
            </w:r>
          </w:p>
        </w:tc>
        <w:tc>
          <w:tcPr>
            <w:tcW w:type="dxa" w:w="1872"/>
          </w:tcPr>
          <w:p>
            <w:r/>
            <w:r>
              <w:rPr>
                <w:sz w:val="17"/>
              </w:rPr>
              <w:t>[-0.236, -0.064]</w:t>
            </w:r>
          </w:p>
        </w:tc>
        <w:tc>
          <w:tcPr>
            <w:tcW w:type="dxa" w:w="1584"/>
          </w:tcPr>
          <w:p>
            <w:r/>
            <w:r>
              <w:rPr>
                <w:sz w:val="17"/>
              </w:rPr>
              <w:t>yes</w:t>
            </w:r>
          </w:p>
        </w:tc>
      </w:tr>
      <w:tr>
        <w:tc>
          <w:tcPr>
            <w:tcW w:type="dxa" w:w="2736"/>
          </w:tcPr>
          <w:p>
            <w:r/>
            <w:r>
              <w:rPr>
                <w:sz w:val="17"/>
              </w:rPr>
              <w:t>Race-blind</w:t>
            </w:r>
          </w:p>
        </w:tc>
        <w:tc>
          <w:tcPr>
            <w:tcW w:type="dxa" w:w="2160"/>
          </w:tcPr>
          <w:p>
            <w:r/>
            <w:r>
              <w:rPr>
                <w:sz w:val="17"/>
              </w:rPr>
              <w:t>False-alarm gap</w:t>
            </w:r>
          </w:p>
        </w:tc>
        <w:tc>
          <w:tcPr>
            <w:tcW w:type="dxa" w:w="1152"/>
          </w:tcPr>
          <w:p>
            <w:r/>
            <w:r>
              <w:rPr>
                <w:sz w:val="17"/>
              </w:rPr>
              <w:t>-0.085</w:t>
            </w:r>
          </w:p>
        </w:tc>
        <w:tc>
          <w:tcPr>
            <w:tcW w:type="dxa" w:w="1872"/>
          </w:tcPr>
          <w:p>
            <w:r/>
            <w:r>
              <w:rPr>
                <w:sz w:val="17"/>
              </w:rPr>
              <w:t>[-0.111, -0.060]</w:t>
            </w:r>
          </w:p>
        </w:tc>
        <w:tc>
          <w:tcPr>
            <w:tcW w:type="dxa" w:w="1584"/>
          </w:tcPr>
          <w:p>
            <w:r/>
            <w:r>
              <w:rPr>
                <w:sz w:val="17"/>
              </w:rPr>
              <w:t>yes</w:t>
            </w:r>
          </w:p>
        </w:tc>
      </w:tr>
      <w:tr>
        <w:tc>
          <w:tcPr>
            <w:tcW w:type="dxa" w:w="2736"/>
          </w:tcPr>
          <w:p>
            <w:r/>
            <w:r>
              <w:rPr>
                <w:sz w:val="17"/>
              </w:rPr>
              <w:t>Race-blind</w:t>
            </w:r>
          </w:p>
        </w:tc>
        <w:tc>
          <w:tcPr>
            <w:tcW w:type="dxa" w:w="2160"/>
          </w:tcPr>
          <w:p>
            <w:r/>
            <w:r>
              <w:rPr>
                <w:sz w:val="17"/>
              </w:rPr>
              <w:t>Equalised-odds diff.</w:t>
            </w:r>
          </w:p>
        </w:tc>
        <w:tc>
          <w:tcPr>
            <w:tcW w:type="dxa" w:w="1152"/>
          </w:tcPr>
          <w:p>
            <w:r/>
            <w:r>
              <w:rPr>
                <w:sz w:val="17"/>
              </w:rPr>
              <w:t>+0.027</w:t>
            </w:r>
          </w:p>
        </w:tc>
        <w:tc>
          <w:tcPr>
            <w:tcW w:type="dxa" w:w="1872"/>
          </w:tcPr>
          <w:p>
            <w:r/>
            <w:r>
              <w:rPr>
                <w:sz w:val="17"/>
              </w:rPr>
              <w:t>[-0.100, +0.183]</w:t>
            </w:r>
          </w:p>
        </w:tc>
        <w:tc>
          <w:tcPr>
            <w:tcW w:type="dxa" w:w="1584"/>
          </w:tcPr>
          <w:p>
            <w:r/>
            <w:r>
              <w:rPr>
                <w:sz w:val="17"/>
              </w:rPr>
              <w:t>no</w:t>
            </w:r>
          </w:p>
        </w:tc>
      </w:tr>
      <w:tr>
        <w:tc>
          <w:tcPr>
            <w:tcW w:type="dxa" w:w="2736"/>
          </w:tcPr>
          <w:p>
            <w:r/>
            <w:r>
              <w:rPr>
                <w:sz w:val="17"/>
              </w:rPr>
              <w:t>Reweighing</w:t>
            </w:r>
          </w:p>
        </w:tc>
        <w:tc>
          <w:tcPr>
            <w:tcW w:type="dxa" w:w="2160"/>
          </w:tcPr>
          <w:p>
            <w:r/>
            <w:r>
              <w:rPr>
                <w:sz w:val="17"/>
              </w:rPr>
              <w:t>Recall gap</w:t>
            </w:r>
          </w:p>
        </w:tc>
        <w:tc>
          <w:tcPr>
            <w:tcW w:type="dxa" w:w="1152"/>
          </w:tcPr>
          <w:p>
            <w:r/>
            <w:r>
              <w:rPr>
                <w:sz w:val="17"/>
              </w:rPr>
              <w:t>-0.179</w:t>
            </w:r>
          </w:p>
        </w:tc>
        <w:tc>
          <w:tcPr>
            <w:tcW w:type="dxa" w:w="1872"/>
          </w:tcPr>
          <w:p>
            <w:r/>
            <w:r>
              <w:rPr>
                <w:sz w:val="17"/>
              </w:rPr>
              <w:t>[-0.272, -0.091]</w:t>
            </w:r>
          </w:p>
        </w:tc>
        <w:tc>
          <w:tcPr>
            <w:tcW w:type="dxa" w:w="1584"/>
          </w:tcPr>
          <w:p>
            <w:r/>
            <w:r>
              <w:rPr>
                <w:sz w:val="17"/>
              </w:rPr>
              <w:t>yes</w:t>
            </w:r>
          </w:p>
        </w:tc>
      </w:tr>
      <w:tr>
        <w:tc>
          <w:tcPr>
            <w:tcW w:type="dxa" w:w="2736"/>
          </w:tcPr>
          <w:p>
            <w:r/>
            <w:r>
              <w:rPr>
                <w:sz w:val="17"/>
              </w:rPr>
              <w:t>Reweighing</w:t>
            </w:r>
          </w:p>
        </w:tc>
        <w:tc>
          <w:tcPr>
            <w:tcW w:type="dxa" w:w="2160"/>
          </w:tcPr>
          <w:p>
            <w:r/>
            <w:r>
              <w:rPr>
                <w:sz w:val="17"/>
              </w:rPr>
              <w:t>False-alarm gap</w:t>
            </w:r>
          </w:p>
        </w:tc>
        <w:tc>
          <w:tcPr>
            <w:tcW w:type="dxa" w:w="1152"/>
          </w:tcPr>
          <w:p>
            <w:r/>
            <w:r>
              <w:rPr>
                <w:sz w:val="17"/>
              </w:rPr>
              <w:t>-0.110</w:t>
            </w:r>
          </w:p>
        </w:tc>
        <w:tc>
          <w:tcPr>
            <w:tcW w:type="dxa" w:w="1872"/>
          </w:tcPr>
          <w:p>
            <w:r/>
            <w:r>
              <w:rPr>
                <w:sz w:val="17"/>
              </w:rPr>
              <w:t>[-0.140, -0.082]</w:t>
            </w:r>
          </w:p>
        </w:tc>
        <w:tc>
          <w:tcPr>
            <w:tcW w:type="dxa" w:w="1584"/>
          </w:tcPr>
          <w:p>
            <w:r/>
            <w:r>
              <w:rPr>
                <w:sz w:val="17"/>
              </w:rPr>
              <w:t>yes</w:t>
            </w:r>
          </w:p>
        </w:tc>
      </w:tr>
      <w:tr>
        <w:tc>
          <w:tcPr>
            <w:tcW w:type="dxa" w:w="2736"/>
          </w:tcPr>
          <w:p>
            <w:r/>
            <w:r>
              <w:rPr>
                <w:sz w:val="17"/>
              </w:rPr>
              <w:t>Reweighing</w:t>
            </w:r>
          </w:p>
        </w:tc>
        <w:tc>
          <w:tcPr>
            <w:tcW w:type="dxa" w:w="2160"/>
          </w:tcPr>
          <w:p>
            <w:r/>
            <w:r>
              <w:rPr>
                <w:sz w:val="17"/>
              </w:rPr>
              <w:t>Equalised-odds diff.</w:t>
            </w:r>
          </w:p>
        </w:tc>
        <w:tc>
          <w:tcPr>
            <w:tcW w:type="dxa" w:w="1152"/>
          </w:tcPr>
          <w:p>
            <w:r/>
            <w:r>
              <w:rPr>
                <w:sz w:val="17"/>
              </w:rPr>
              <w:t>+0.056</w:t>
            </w:r>
          </w:p>
        </w:tc>
        <w:tc>
          <w:tcPr>
            <w:tcW w:type="dxa" w:w="1872"/>
          </w:tcPr>
          <w:p>
            <w:r/>
            <w:r>
              <w:rPr>
                <w:sz w:val="17"/>
              </w:rPr>
              <w:t>[-0.086, +0.224]</w:t>
            </w:r>
          </w:p>
        </w:tc>
        <w:tc>
          <w:tcPr>
            <w:tcW w:type="dxa" w:w="1584"/>
          </w:tcPr>
          <w:p>
            <w:r/>
            <w:r>
              <w:rPr>
                <w:sz w:val="17"/>
              </w:rPr>
              <w:t>no</w:t>
            </w:r>
          </w:p>
        </w:tc>
      </w:tr>
      <w:tr>
        <w:tc>
          <w:tcPr>
            <w:tcW w:type="dxa" w:w="2736"/>
          </w:tcPr>
          <w:p>
            <w:r/>
            <w:r>
              <w:rPr>
                <w:sz w:val="17"/>
              </w:rPr>
              <w:t>Group thresholds</w:t>
            </w:r>
          </w:p>
        </w:tc>
        <w:tc>
          <w:tcPr>
            <w:tcW w:type="dxa" w:w="2160"/>
          </w:tcPr>
          <w:p>
            <w:r/>
            <w:r>
              <w:rPr>
                <w:sz w:val="17"/>
              </w:rPr>
              <w:t>Recall gap</w:t>
            </w:r>
          </w:p>
        </w:tc>
        <w:tc>
          <w:tcPr>
            <w:tcW w:type="dxa" w:w="1152"/>
          </w:tcPr>
          <w:p>
            <w:r/>
            <w:r>
              <w:rPr>
                <w:sz w:val="17"/>
              </w:rPr>
              <w:t>-0.088</w:t>
            </w:r>
          </w:p>
        </w:tc>
        <w:tc>
          <w:tcPr>
            <w:tcW w:type="dxa" w:w="1872"/>
          </w:tcPr>
          <w:p>
            <w:r/>
            <w:r>
              <w:rPr>
                <w:sz w:val="17"/>
              </w:rPr>
              <w:t>[-0.161, -0.024]</w:t>
            </w:r>
          </w:p>
        </w:tc>
        <w:tc>
          <w:tcPr>
            <w:tcW w:type="dxa" w:w="1584"/>
          </w:tcPr>
          <w:p>
            <w:r/>
            <w:r>
              <w:rPr>
                <w:sz w:val="17"/>
              </w:rPr>
              <w:t>yes</w:t>
            </w:r>
          </w:p>
        </w:tc>
      </w:tr>
      <w:tr>
        <w:tc>
          <w:tcPr>
            <w:tcW w:type="dxa" w:w="2736"/>
          </w:tcPr>
          <w:p>
            <w:r/>
            <w:r>
              <w:rPr>
                <w:sz w:val="17"/>
              </w:rPr>
              <w:t>Group thresholds</w:t>
            </w:r>
          </w:p>
        </w:tc>
        <w:tc>
          <w:tcPr>
            <w:tcW w:type="dxa" w:w="2160"/>
          </w:tcPr>
          <w:p>
            <w:r/>
            <w:r>
              <w:rPr>
                <w:sz w:val="17"/>
              </w:rPr>
              <w:t>False-alarm gap</w:t>
            </w:r>
          </w:p>
        </w:tc>
        <w:tc>
          <w:tcPr>
            <w:tcW w:type="dxa" w:w="1152"/>
          </w:tcPr>
          <w:p>
            <w:r/>
            <w:r>
              <w:rPr>
                <w:sz w:val="17"/>
              </w:rPr>
              <w:t>-0.053</w:t>
            </w:r>
          </w:p>
        </w:tc>
        <w:tc>
          <w:tcPr>
            <w:tcW w:type="dxa" w:w="1872"/>
          </w:tcPr>
          <w:p>
            <w:r/>
            <w:r>
              <w:rPr>
                <w:sz w:val="17"/>
              </w:rPr>
              <w:t>[-0.077, -0.032]</w:t>
            </w:r>
          </w:p>
        </w:tc>
        <w:tc>
          <w:tcPr>
            <w:tcW w:type="dxa" w:w="1584"/>
          </w:tcPr>
          <w:p>
            <w:r/>
            <w:r>
              <w:rPr>
                <w:sz w:val="17"/>
              </w:rPr>
              <w:t>yes</w:t>
            </w:r>
          </w:p>
        </w:tc>
      </w:tr>
      <w:tr>
        <w:tc>
          <w:tcPr>
            <w:tcW w:type="dxa" w:w="2736"/>
          </w:tcPr>
          <w:p>
            <w:r/>
            <w:r>
              <w:rPr>
                <w:sz w:val="17"/>
              </w:rPr>
              <w:t>Group thresholds</w:t>
            </w:r>
          </w:p>
        </w:tc>
        <w:tc>
          <w:tcPr>
            <w:tcW w:type="dxa" w:w="2160"/>
          </w:tcPr>
          <w:p>
            <w:r/>
            <w:r>
              <w:rPr>
                <w:sz w:val="17"/>
              </w:rPr>
              <w:t>Equalised-odds diff.</w:t>
            </w:r>
          </w:p>
        </w:tc>
        <w:tc>
          <w:tcPr>
            <w:tcW w:type="dxa" w:w="1152"/>
          </w:tcPr>
          <w:p>
            <w:r/>
            <w:r>
              <w:rPr>
                <w:sz w:val="17"/>
              </w:rPr>
              <w:t>-0.010</w:t>
            </w:r>
          </w:p>
        </w:tc>
        <w:tc>
          <w:tcPr>
            <w:tcW w:type="dxa" w:w="1872"/>
          </w:tcPr>
          <w:p>
            <w:r/>
            <w:r>
              <w:rPr>
                <w:sz w:val="17"/>
              </w:rPr>
              <w:t>[-0.100, +0.118]</w:t>
            </w:r>
          </w:p>
        </w:tc>
        <w:tc>
          <w:tcPr>
            <w:tcW w:type="dxa" w:w="1584"/>
          </w:tcPr>
          <w:p>
            <w:r/>
            <w:r>
              <w:rPr>
                <w:sz w:val="17"/>
              </w:rPr>
              <w:t>no</w:t>
            </w:r>
          </w:p>
        </w:tc>
      </w:tr>
      <w:tr>
        <w:tc>
          <w:tcPr>
            <w:tcW w:type="dxa" w:w="2736"/>
          </w:tcPr>
          <w:p>
            <w:r/>
            <w:r>
              <w:rPr>
                <w:sz w:val="17"/>
              </w:rPr>
              <w:t>Reweighing + group thresholds</w:t>
            </w:r>
          </w:p>
        </w:tc>
        <w:tc>
          <w:tcPr>
            <w:tcW w:type="dxa" w:w="2160"/>
          </w:tcPr>
          <w:p>
            <w:r/>
            <w:r>
              <w:rPr>
                <w:sz w:val="17"/>
              </w:rPr>
              <w:t>Recall gap</w:t>
            </w:r>
          </w:p>
        </w:tc>
        <w:tc>
          <w:tcPr>
            <w:tcW w:type="dxa" w:w="1152"/>
          </w:tcPr>
          <w:p>
            <w:r/>
            <w:r>
              <w:rPr>
                <w:sz w:val="17"/>
              </w:rPr>
              <w:t>-0.086</w:t>
            </w:r>
          </w:p>
        </w:tc>
        <w:tc>
          <w:tcPr>
            <w:tcW w:type="dxa" w:w="1872"/>
          </w:tcPr>
          <w:p>
            <w:r/>
            <w:r>
              <w:rPr>
                <w:sz w:val="17"/>
              </w:rPr>
              <w:t>[-0.146, -0.029]</w:t>
            </w:r>
          </w:p>
        </w:tc>
        <w:tc>
          <w:tcPr>
            <w:tcW w:type="dxa" w:w="1584"/>
          </w:tcPr>
          <w:p>
            <w:r/>
            <w:r>
              <w:rPr>
                <w:sz w:val="17"/>
              </w:rPr>
              <w:t>yes</w:t>
            </w:r>
          </w:p>
        </w:tc>
      </w:tr>
      <w:tr>
        <w:tc>
          <w:tcPr>
            <w:tcW w:type="dxa" w:w="2736"/>
          </w:tcPr>
          <w:p>
            <w:r/>
            <w:r>
              <w:rPr>
                <w:sz w:val="17"/>
              </w:rPr>
              <w:t>Reweighing + group thresholds</w:t>
            </w:r>
          </w:p>
        </w:tc>
        <w:tc>
          <w:tcPr>
            <w:tcW w:type="dxa" w:w="2160"/>
          </w:tcPr>
          <w:p>
            <w:r/>
            <w:r>
              <w:rPr>
                <w:sz w:val="17"/>
              </w:rPr>
              <w:t>False-alarm gap</w:t>
            </w:r>
          </w:p>
        </w:tc>
        <w:tc>
          <w:tcPr>
            <w:tcW w:type="dxa" w:w="1152"/>
          </w:tcPr>
          <w:p>
            <w:r/>
            <w:r>
              <w:rPr>
                <w:sz w:val="17"/>
              </w:rPr>
              <w:t>-0.036</w:t>
            </w:r>
          </w:p>
        </w:tc>
        <w:tc>
          <w:tcPr>
            <w:tcW w:type="dxa" w:w="1872"/>
          </w:tcPr>
          <w:p>
            <w:r/>
            <w:r>
              <w:rPr>
                <w:sz w:val="17"/>
              </w:rPr>
              <w:t>[-0.056, -0.015]</w:t>
            </w:r>
          </w:p>
        </w:tc>
        <w:tc>
          <w:tcPr>
            <w:tcW w:type="dxa" w:w="1584"/>
          </w:tcPr>
          <w:p>
            <w:r/>
            <w:r>
              <w:rPr>
                <w:sz w:val="17"/>
              </w:rPr>
              <w:t>yes</w:t>
            </w:r>
          </w:p>
        </w:tc>
      </w:tr>
      <w:tr>
        <w:tc>
          <w:tcPr>
            <w:tcW w:type="dxa" w:w="2736"/>
          </w:tcPr>
          <w:p>
            <w:r/>
            <w:r>
              <w:rPr>
                <w:sz w:val="17"/>
              </w:rPr>
              <w:t>Reweighing + group thresholds</w:t>
            </w:r>
          </w:p>
        </w:tc>
        <w:tc>
          <w:tcPr>
            <w:tcW w:type="dxa" w:w="2160"/>
          </w:tcPr>
          <w:p>
            <w:r/>
            <w:r>
              <w:rPr>
                <w:sz w:val="17"/>
              </w:rPr>
              <w:t>Equalised-odds diff.</w:t>
            </w:r>
          </w:p>
        </w:tc>
        <w:tc>
          <w:tcPr>
            <w:tcW w:type="dxa" w:w="1152"/>
          </w:tcPr>
          <w:p>
            <w:r/>
            <w:r>
              <w:rPr>
                <w:sz w:val="17"/>
              </w:rPr>
              <w:t>-0.017</w:t>
            </w:r>
          </w:p>
        </w:tc>
        <w:tc>
          <w:tcPr>
            <w:tcW w:type="dxa" w:w="1872"/>
          </w:tcPr>
          <w:p>
            <w:r/>
            <w:r>
              <w:rPr>
                <w:sz w:val="17"/>
              </w:rPr>
              <w:t>[-0.098, +0.106]</w:t>
            </w:r>
          </w:p>
        </w:tc>
        <w:tc>
          <w:tcPr>
            <w:tcW w:type="dxa" w:w="1584"/>
          </w:tcPr>
          <w:p>
            <w:r/>
            <w:r>
              <w:rPr>
                <w:sz w:val="17"/>
              </w:rPr>
              <w:t>no</w:t>
            </w:r>
          </w:p>
        </w:tc>
      </w:tr>
    </w:tbl>
    <w:p>
      <w:pPr>
        <w:spacing w:after="80"/>
      </w:pPr>
    </w:p>
    <w:p>
      <w:pPr>
        <w:jc w:val="center"/>
      </w:pPr>
      <w:r>
        <w:drawing>
          <wp:inline xmlns:a="http://schemas.openxmlformats.org/drawingml/2006/main" xmlns:pic="http://schemas.openxmlformats.org/drawingml/2006/picture">
            <wp:extent cx="4114800" cy="2456641"/>
            <wp:docPr id="19" name="Picture 19"/>
            <wp:cNvGraphicFramePr>
              <a:graphicFrameLocks noChangeAspect="1"/>
            </wp:cNvGraphicFramePr>
            <a:graphic>
              <a:graphicData uri="http://schemas.openxmlformats.org/drawingml/2006/picture">
                <pic:pic>
                  <pic:nvPicPr>
                    <pic:cNvPr id="0" name="07_tradeoff.png"/>
                    <pic:cNvPicPr/>
                  </pic:nvPicPr>
                  <pic:blipFill>
                    <a:blip r:embed="rId28"/>
                    <a:stretch>
                      <a:fillRect/>
                    </a:stretch>
                  </pic:blipFill>
                  <pic:spPr>
                    <a:xfrm>
                      <a:off x="0" y="0"/>
                      <a:ext cx="4114800" cy="2456641"/>
                    </a:xfrm>
                    <a:prstGeom prst="rect"/>
                  </pic:spPr>
                </pic:pic>
              </a:graphicData>
            </a:graphic>
          </wp:inline>
        </w:drawing>
      </w:r>
    </w:p>
    <w:p>
      <w:pPr>
        <w:spacing w:after="160"/>
        <w:jc w:val="center"/>
      </w:pPr>
      <w:r>
        <w:rPr>
          <w:b/>
          <w:sz w:val="21"/>
        </w:rPr>
        <w:t>Figure 4.17: Cost of fairness: workload against equalised-odds difference</w:t>
      </w:r>
    </w:p>
    <w:p>
      <w:pPr>
        <w:pStyle w:val="Heading3"/>
      </w:pPr>
      <w:r>
        <w:t>4.8.3 Sensitivity to the recall target</w:t>
      </w:r>
    </w:p>
    <w:p>
      <w:pPr>
        <w:spacing w:after="120" w:line="276" w:lineRule="auto"/>
        <w:jc w:val="both"/>
      </w:pPr>
      <w:r>
        <w:rPr>
          <w:b w:val="0"/>
          <w:i w:val="0"/>
        </w:rPr>
        <w:t>Across recall targets from 70 % to 95 % the baseline recall gap stays between +0.012 and +0.100 and the false-alarm gap between -0.010 and +0.063 (Figure 4.18). The sign and rough size of the gaps do not depend on the 80 % target, and the intervals are as wide as at 80 %. The false-alarm gap of the group-threshold strategies changes sign at high targets, which again reflects noise in thresholds estimated from few deaths.</w:t>
      </w:r>
    </w:p>
    <w:p>
      <w:pPr>
        <w:jc w:val="center"/>
      </w:pPr>
      <w:r>
        <w:drawing>
          <wp:inline xmlns:a="http://schemas.openxmlformats.org/drawingml/2006/main" xmlns:pic="http://schemas.openxmlformats.org/drawingml/2006/picture">
            <wp:extent cx="5669280" cy="2402726"/>
            <wp:docPr id="20" name="Picture 20"/>
            <wp:cNvGraphicFramePr>
              <a:graphicFrameLocks noChangeAspect="1"/>
            </wp:cNvGraphicFramePr>
            <a:graphic>
              <a:graphicData uri="http://schemas.openxmlformats.org/drawingml/2006/picture">
                <pic:pic>
                  <pic:nvPicPr>
                    <pic:cNvPr id="0" name="08_recall_target_sweep.png"/>
                    <pic:cNvPicPr/>
                  </pic:nvPicPr>
                  <pic:blipFill>
                    <a:blip r:embed="rId29"/>
                    <a:stretch>
                      <a:fillRect/>
                    </a:stretch>
                  </pic:blipFill>
                  <pic:spPr>
                    <a:xfrm>
                      <a:off x="0" y="0"/>
                      <a:ext cx="5669280" cy="2402726"/>
                    </a:xfrm>
                    <a:prstGeom prst="rect"/>
                  </pic:spPr>
                </pic:pic>
              </a:graphicData>
            </a:graphic>
          </wp:inline>
        </w:drawing>
      </w:r>
    </w:p>
    <w:p>
      <w:pPr>
        <w:spacing w:after="160"/>
        <w:jc w:val="center"/>
      </w:pPr>
      <w:r>
        <w:rPr>
          <w:b/>
          <w:sz w:val="21"/>
        </w:rPr>
        <w:t>Figure 4.18: Gaps as the recall target varies from 70 % to 95 %</w:t>
      </w:r>
    </w:p>
    <w:p>
      <w:pPr>
        <w:pStyle w:val="Heading3"/>
      </w:pPr>
      <w:r>
        <w:t>4.8.4 Sensitivity to model selection</w:t>
      </w:r>
    </w:p>
    <w:p>
      <w:pPr>
        <w:spacing w:after="160"/>
      </w:pPr>
      <w:r>
        <w:rPr>
          <w:b/>
          <w:sz w:val="21"/>
        </w:rPr>
        <w:t>Table 4.11: Gap estimates (percentage points, Black minus White) across near-equivalent tuned configurations (3 x 5-fold CV)</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872"/>
            <w:shd w:val="clear" w:color="auto" w:fill="E8ECF1"/>
          </w:tcPr>
          <w:p>
            <w:r/>
            <w:r>
              <w:rPr>
                <w:b/>
                <w:sz w:val="15"/>
              </w:rPr>
              <w:t>Strategy</w:t>
            </w:r>
          </w:p>
        </w:tc>
        <w:tc>
          <w:tcPr>
            <w:tcW w:type="dxa" w:w="1584"/>
            <w:shd w:val="clear" w:color="auto" w:fill="E8ECF1"/>
          </w:tcPr>
          <w:p>
            <w:r/>
            <w:r>
              <w:rPr>
                <w:b/>
                <w:sz w:val="15"/>
              </w:rPr>
              <w:t>Metric</w:t>
            </w:r>
          </w:p>
        </w:tc>
        <w:tc>
          <w:tcPr>
            <w:tcW w:type="dxa" w:w="936"/>
            <w:shd w:val="clear" w:color="auto" w:fill="E8ECF1"/>
          </w:tcPr>
          <w:p>
            <w:r/>
            <w:r>
              <w:rPr>
                <w:b/>
                <w:sz w:val="15"/>
              </w:rPr>
              <w:t>depth-1 additive, 250t</w:t>
            </w:r>
          </w:p>
        </w:tc>
        <w:tc>
          <w:tcPr>
            <w:tcW w:type="dxa" w:w="936"/>
            <w:shd w:val="clear" w:color="auto" w:fill="E8ECF1"/>
          </w:tcPr>
          <w:p>
            <w:r/>
            <w:r>
              <w:rPr>
                <w:b/>
                <w:sz w:val="15"/>
              </w:rPr>
              <w:t>#1: d2, 299t</w:t>
            </w:r>
          </w:p>
        </w:tc>
        <w:tc>
          <w:tcPr>
            <w:tcW w:type="dxa" w:w="936"/>
            <w:shd w:val="clear" w:color="auto" w:fill="E8ECF1"/>
          </w:tcPr>
          <w:p>
            <w:r/>
            <w:r>
              <w:rPr>
                <w:b/>
                <w:sz w:val="15"/>
              </w:rPr>
              <w:t>#2: d2, 317t</w:t>
            </w:r>
          </w:p>
        </w:tc>
        <w:tc>
          <w:tcPr>
            <w:tcW w:type="dxa" w:w="936"/>
            <w:shd w:val="clear" w:color="auto" w:fill="E8ECF1"/>
          </w:tcPr>
          <w:p>
            <w:r/>
            <w:r>
              <w:rPr>
                <w:b/>
                <w:sz w:val="15"/>
              </w:rPr>
              <w:t>#3: d2, 320t</w:t>
            </w:r>
          </w:p>
        </w:tc>
        <w:tc>
          <w:tcPr>
            <w:tcW w:type="dxa" w:w="936"/>
            <w:shd w:val="clear" w:color="auto" w:fill="E8ECF1"/>
          </w:tcPr>
          <w:p>
            <w:r/>
            <w:r>
              <w:rPr>
                <w:b/>
                <w:sz w:val="15"/>
              </w:rPr>
              <w:t>#4: d2, 356t</w:t>
            </w:r>
          </w:p>
        </w:tc>
        <w:tc>
          <w:tcPr>
            <w:tcW w:type="dxa" w:w="936"/>
            <w:shd w:val="clear" w:color="auto" w:fill="E8ECF1"/>
          </w:tcPr>
          <w:p>
            <w:r/>
            <w:r>
              <w:rPr>
                <w:b/>
                <w:sz w:val="15"/>
              </w:rPr>
              <w:t>#5: d2, 314t</w:t>
            </w:r>
          </w:p>
        </w:tc>
      </w:tr>
      <w:tr>
        <w:tc>
          <w:tcPr>
            <w:tcW w:type="dxa" w:w="1872"/>
          </w:tcPr>
          <w:p>
            <w:r/>
            <w:r>
              <w:rPr>
                <w:sz w:val="15"/>
              </w:rPr>
              <w:t>Baseline (race-aware)</w:t>
            </w:r>
          </w:p>
        </w:tc>
        <w:tc>
          <w:tcPr>
            <w:tcW w:type="dxa" w:w="1584"/>
          </w:tcPr>
          <w:p>
            <w:r/>
            <w:r>
              <w:rPr>
                <w:sz w:val="15"/>
              </w:rPr>
              <w:t>False-alarm gap</w:t>
            </w:r>
          </w:p>
        </w:tc>
        <w:tc>
          <w:tcPr>
            <w:tcW w:type="dxa" w:w="936"/>
          </w:tcPr>
          <w:p>
            <w:r/>
            <w:r>
              <w:rPr>
                <w:sz w:val="15"/>
              </w:rPr>
              <w:t>-3.9</w:t>
            </w:r>
          </w:p>
        </w:tc>
        <w:tc>
          <w:tcPr>
            <w:tcW w:type="dxa" w:w="936"/>
          </w:tcPr>
          <w:p>
            <w:r/>
            <w:r>
              <w:rPr>
                <w:sz w:val="15"/>
              </w:rPr>
              <w:t>+3.6</w:t>
            </w:r>
          </w:p>
        </w:tc>
        <w:tc>
          <w:tcPr>
            <w:tcW w:type="dxa" w:w="936"/>
          </w:tcPr>
          <w:p>
            <w:r/>
            <w:r>
              <w:rPr>
                <w:sz w:val="15"/>
              </w:rPr>
              <w:t>+4.3</w:t>
            </w:r>
          </w:p>
        </w:tc>
        <w:tc>
          <w:tcPr>
            <w:tcW w:type="dxa" w:w="936"/>
          </w:tcPr>
          <w:p>
            <w:r/>
            <w:r>
              <w:rPr>
                <w:sz w:val="15"/>
              </w:rPr>
              <w:t>+2.8</w:t>
            </w:r>
          </w:p>
        </w:tc>
        <w:tc>
          <w:tcPr>
            <w:tcW w:type="dxa" w:w="936"/>
          </w:tcPr>
          <w:p>
            <w:r/>
            <w:r>
              <w:rPr>
                <w:sz w:val="15"/>
              </w:rPr>
              <w:t>+3.9</w:t>
            </w:r>
          </w:p>
        </w:tc>
        <w:tc>
          <w:tcPr>
            <w:tcW w:type="dxa" w:w="936"/>
          </w:tcPr>
          <w:p>
            <w:r/>
            <w:r>
              <w:rPr>
                <w:sz w:val="15"/>
              </w:rPr>
              <w:t>+4.7</w:t>
            </w:r>
          </w:p>
        </w:tc>
      </w:tr>
      <w:tr>
        <w:tc>
          <w:tcPr>
            <w:tcW w:type="dxa" w:w="1872"/>
          </w:tcPr>
          <w:p>
            <w:r/>
            <w:r>
              <w:rPr>
                <w:sz w:val="15"/>
              </w:rPr>
              <w:t>Baseline (race-aware)</w:t>
            </w:r>
          </w:p>
        </w:tc>
        <w:tc>
          <w:tcPr>
            <w:tcW w:type="dxa" w:w="1584"/>
          </w:tcPr>
          <w:p>
            <w:r/>
            <w:r>
              <w:rPr>
                <w:sz w:val="15"/>
              </w:rPr>
              <w:t>Recall gap</w:t>
            </w:r>
          </w:p>
        </w:tc>
        <w:tc>
          <w:tcPr>
            <w:tcW w:type="dxa" w:w="936"/>
          </w:tcPr>
          <w:p>
            <w:r/>
            <w:r>
              <w:rPr>
                <w:sz w:val="15"/>
              </w:rPr>
              <w:t>-2.8</w:t>
            </w:r>
          </w:p>
        </w:tc>
        <w:tc>
          <w:tcPr>
            <w:tcW w:type="dxa" w:w="936"/>
          </w:tcPr>
          <w:p>
            <w:r/>
            <w:r>
              <w:rPr>
                <w:sz w:val="15"/>
              </w:rPr>
              <w:t>+4.2</w:t>
            </w:r>
          </w:p>
        </w:tc>
        <w:tc>
          <w:tcPr>
            <w:tcW w:type="dxa" w:w="936"/>
          </w:tcPr>
          <w:p>
            <w:r/>
            <w:r>
              <w:rPr>
                <w:sz w:val="15"/>
              </w:rPr>
              <w:t>+2.5</w:t>
            </w:r>
          </w:p>
        </w:tc>
        <w:tc>
          <w:tcPr>
            <w:tcW w:type="dxa" w:w="936"/>
          </w:tcPr>
          <w:p>
            <w:r/>
            <w:r>
              <w:rPr>
                <w:sz w:val="15"/>
              </w:rPr>
              <w:t>+1.6</w:t>
            </w:r>
          </w:p>
        </w:tc>
        <w:tc>
          <w:tcPr>
            <w:tcW w:type="dxa" w:w="936"/>
          </w:tcPr>
          <w:p>
            <w:r/>
            <w:r>
              <w:rPr>
                <w:sz w:val="15"/>
              </w:rPr>
              <w:t>+5.3</w:t>
            </w:r>
          </w:p>
        </w:tc>
        <w:tc>
          <w:tcPr>
            <w:tcW w:type="dxa" w:w="936"/>
          </w:tcPr>
          <w:p>
            <w:r/>
            <w:r>
              <w:rPr>
                <w:sz w:val="15"/>
              </w:rPr>
              <w:t>+2.0</w:t>
            </w:r>
          </w:p>
        </w:tc>
      </w:tr>
      <w:tr>
        <w:tc>
          <w:tcPr>
            <w:tcW w:type="dxa" w:w="1872"/>
          </w:tcPr>
          <w:p>
            <w:r/>
            <w:r>
              <w:rPr>
                <w:sz w:val="15"/>
              </w:rPr>
              <w:t>Race-blind</w:t>
            </w:r>
          </w:p>
        </w:tc>
        <w:tc>
          <w:tcPr>
            <w:tcW w:type="dxa" w:w="1584"/>
          </w:tcPr>
          <w:p>
            <w:r/>
            <w:r>
              <w:rPr>
                <w:sz w:val="15"/>
              </w:rPr>
              <w:t>False-alarm gap</w:t>
            </w:r>
          </w:p>
        </w:tc>
        <w:tc>
          <w:tcPr>
            <w:tcW w:type="dxa" w:w="936"/>
          </w:tcPr>
          <w:p>
            <w:r/>
            <w:r>
              <w:rPr>
                <w:sz w:val="15"/>
              </w:rPr>
              <w:t>-6.9</w:t>
            </w:r>
          </w:p>
        </w:tc>
        <w:tc>
          <w:tcPr>
            <w:tcW w:type="dxa" w:w="936"/>
          </w:tcPr>
          <w:p>
            <w:r/>
            <w:r>
              <w:rPr>
                <w:sz w:val="15"/>
              </w:rPr>
              <w:t>-6.9</w:t>
            </w:r>
          </w:p>
        </w:tc>
        <w:tc>
          <w:tcPr>
            <w:tcW w:type="dxa" w:w="936"/>
          </w:tcPr>
          <w:p>
            <w:r/>
            <w:r>
              <w:rPr>
                <w:sz w:val="15"/>
              </w:rPr>
              <w:t>-7.0</w:t>
            </w:r>
          </w:p>
        </w:tc>
        <w:tc>
          <w:tcPr>
            <w:tcW w:type="dxa" w:w="936"/>
          </w:tcPr>
          <w:p>
            <w:r/>
            <w:r>
              <w:rPr>
                <w:sz w:val="15"/>
              </w:rPr>
              <w:t>-6.6</w:t>
            </w:r>
          </w:p>
        </w:tc>
        <w:tc>
          <w:tcPr>
            <w:tcW w:type="dxa" w:w="936"/>
          </w:tcPr>
          <w:p>
            <w:r/>
            <w:r>
              <w:rPr>
                <w:sz w:val="15"/>
              </w:rPr>
              <w:t>-9.0</w:t>
            </w:r>
          </w:p>
        </w:tc>
        <w:tc>
          <w:tcPr>
            <w:tcW w:type="dxa" w:w="936"/>
          </w:tcPr>
          <w:p>
            <w:r/>
            <w:r>
              <w:rPr>
                <w:sz w:val="15"/>
              </w:rPr>
              <w:t>-7.5</w:t>
            </w:r>
          </w:p>
        </w:tc>
      </w:tr>
      <w:tr>
        <w:tc>
          <w:tcPr>
            <w:tcW w:type="dxa" w:w="1872"/>
          </w:tcPr>
          <w:p>
            <w:r/>
            <w:r>
              <w:rPr>
                <w:sz w:val="15"/>
              </w:rPr>
              <w:t>Race-blind</w:t>
            </w:r>
          </w:p>
        </w:tc>
        <w:tc>
          <w:tcPr>
            <w:tcW w:type="dxa" w:w="1584"/>
          </w:tcPr>
          <w:p>
            <w:r/>
            <w:r>
              <w:rPr>
                <w:sz w:val="15"/>
              </w:rPr>
              <w:t>Recall gap</w:t>
            </w:r>
          </w:p>
        </w:tc>
        <w:tc>
          <w:tcPr>
            <w:tcW w:type="dxa" w:w="936"/>
          </w:tcPr>
          <w:p>
            <w:r/>
            <w:r>
              <w:rPr>
                <w:sz w:val="15"/>
              </w:rPr>
              <w:t>-5.8</w:t>
            </w:r>
          </w:p>
        </w:tc>
        <w:tc>
          <w:tcPr>
            <w:tcW w:type="dxa" w:w="936"/>
          </w:tcPr>
          <w:p>
            <w:r/>
            <w:r>
              <w:rPr>
                <w:sz w:val="15"/>
              </w:rPr>
              <w:t>-6.1</w:t>
            </w:r>
          </w:p>
        </w:tc>
        <w:tc>
          <w:tcPr>
            <w:tcW w:type="dxa" w:w="936"/>
          </w:tcPr>
          <w:p>
            <w:r/>
            <w:r>
              <w:rPr>
                <w:sz w:val="15"/>
              </w:rPr>
              <w:t>-7.2</w:t>
            </w:r>
          </w:p>
        </w:tc>
        <w:tc>
          <w:tcPr>
            <w:tcW w:type="dxa" w:w="936"/>
          </w:tcPr>
          <w:p>
            <w:r/>
            <w:r>
              <w:rPr>
                <w:sz w:val="15"/>
              </w:rPr>
              <w:t>-7.0</w:t>
            </w:r>
          </w:p>
        </w:tc>
        <w:tc>
          <w:tcPr>
            <w:tcW w:type="dxa" w:w="936"/>
          </w:tcPr>
          <w:p>
            <w:r/>
            <w:r>
              <w:rPr>
                <w:sz w:val="15"/>
              </w:rPr>
              <w:t>-5.8</w:t>
            </w:r>
          </w:p>
        </w:tc>
        <w:tc>
          <w:tcPr>
            <w:tcW w:type="dxa" w:w="936"/>
          </w:tcPr>
          <w:p>
            <w:r/>
            <w:r>
              <w:rPr>
                <w:sz w:val="15"/>
              </w:rPr>
              <w:t>-8.1</w:t>
            </w:r>
          </w:p>
        </w:tc>
      </w:tr>
      <w:tr>
        <w:tc>
          <w:tcPr>
            <w:tcW w:type="dxa" w:w="1872"/>
          </w:tcPr>
          <w:p>
            <w:r/>
            <w:r>
              <w:rPr>
                <w:sz w:val="15"/>
              </w:rPr>
              <w:t>Group thresholds</w:t>
            </w:r>
          </w:p>
        </w:tc>
        <w:tc>
          <w:tcPr>
            <w:tcW w:type="dxa" w:w="1584"/>
          </w:tcPr>
          <w:p>
            <w:r/>
            <w:r>
              <w:rPr>
                <w:sz w:val="15"/>
              </w:rPr>
              <w:t>False-alarm gap</w:t>
            </w:r>
          </w:p>
        </w:tc>
        <w:tc>
          <w:tcPr>
            <w:tcW w:type="dxa" w:w="936"/>
          </w:tcPr>
          <w:p>
            <w:r/>
            <w:r>
              <w:rPr>
                <w:sz w:val="15"/>
              </w:rPr>
              <w:t>+0.4</w:t>
            </w:r>
          </w:p>
        </w:tc>
        <w:tc>
          <w:tcPr>
            <w:tcW w:type="dxa" w:w="936"/>
          </w:tcPr>
          <w:p>
            <w:r/>
            <w:r>
              <w:rPr>
                <w:sz w:val="15"/>
              </w:rPr>
              <w:t>-0.7</w:t>
            </w:r>
          </w:p>
        </w:tc>
        <w:tc>
          <w:tcPr>
            <w:tcW w:type="dxa" w:w="936"/>
          </w:tcPr>
          <w:p>
            <w:r/>
            <w:r>
              <w:rPr>
                <w:sz w:val="15"/>
              </w:rPr>
              <w:t>+0.1</w:t>
            </w:r>
          </w:p>
        </w:tc>
        <w:tc>
          <w:tcPr>
            <w:tcW w:type="dxa" w:w="936"/>
          </w:tcPr>
          <w:p>
            <w:r/>
            <w:r>
              <w:rPr>
                <w:sz w:val="15"/>
              </w:rPr>
              <w:t>-0.6</w:t>
            </w:r>
          </w:p>
        </w:tc>
        <w:tc>
          <w:tcPr>
            <w:tcW w:type="dxa" w:w="936"/>
          </w:tcPr>
          <w:p>
            <w:r/>
            <w:r>
              <w:rPr>
                <w:sz w:val="15"/>
              </w:rPr>
              <w:t>-3.0</w:t>
            </w:r>
          </w:p>
        </w:tc>
        <w:tc>
          <w:tcPr>
            <w:tcW w:type="dxa" w:w="936"/>
          </w:tcPr>
          <w:p>
            <w:r/>
            <w:r>
              <w:rPr>
                <w:sz w:val="15"/>
              </w:rPr>
              <w:t>-0.0</w:t>
            </w:r>
          </w:p>
        </w:tc>
      </w:tr>
      <w:tr>
        <w:tc>
          <w:tcPr>
            <w:tcW w:type="dxa" w:w="1872"/>
          </w:tcPr>
          <w:p>
            <w:r/>
            <w:r>
              <w:rPr>
                <w:sz w:val="15"/>
              </w:rPr>
              <w:t>Group thresholds</w:t>
            </w:r>
          </w:p>
        </w:tc>
        <w:tc>
          <w:tcPr>
            <w:tcW w:type="dxa" w:w="1584"/>
          </w:tcPr>
          <w:p>
            <w:r/>
            <w:r>
              <w:rPr>
                <w:sz w:val="15"/>
              </w:rPr>
              <w:t>Recall gap</w:t>
            </w:r>
          </w:p>
        </w:tc>
        <w:tc>
          <w:tcPr>
            <w:tcW w:type="dxa" w:w="936"/>
          </w:tcPr>
          <w:p>
            <w:r/>
            <w:r>
              <w:rPr>
                <w:sz w:val="15"/>
              </w:rPr>
              <w:t>-1.1</w:t>
            </w:r>
          </w:p>
        </w:tc>
        <w:tc>
          <w:tcPr>
            <w:tcW w:type="dxa" w:w="936"/>
          </w:tcPr>
          <w:p>
            <w:r/>
            <w:r>
              <w:rPr>
                <w:sz w:val="15"/>
              </w:rPr>
              <w:t>-0.6</w:t>
            </w:r>
          </w:p>
        </w:tc>
        <w:tc>
          <w:tcPr>
            <w:tcW w:type="dxa" w:w="936"/>
          </w:tcPr>
          <w:p>
            <w:r/>
            <w:r>
              <w:rPr>
                <w:sz w:val="15"/>
              </w:rPr>
              <w:t>-2.0</w:t>
            </w:r>
          </w:p>
        </w:tc>
        <w:tc>
          <w:tcPr>
            <w:tcW w:type="dxa" w:w="936"/>
          </w:tcPr>
          <w:p>
            <w:r/>
            <w:r>
              <w:rPr>
                <w:sz w:val="15"/>
              </w:rPr>
              <w:t>-1.4</w:t>
            </w:r>
          </w:p>
        </w:tc>
        <w:tc>
          <w:tcPr>
            <w:tcW w:type="dxa" w:w="936"/>
          </w:tcPr>
          <w:p>
            <w:r/>
            <w:r>
              <w:rPr>
                <w:sz w:val="15"/>
              </w:rPr>
              <w:t>-1.7</w:t>
            </w:r>
          </w:p>
        </w:tc>
        <w:tc>
          <w:tcPr>
            <w:tcW w:type="dxa" w:w="936"/>
          </w:tcPr>
          <w:p>
            <w:r/>
            <w:r>
              <w:rPr>
                <w:sz w:val="15"/>
              </w:rPr>
              <w:t>+0.0</w:t>
            </w:r>
          </w:p>
        </w:tc>
      </w:tr>
    </w:tbl>
    <w:p>
      <w:pPr>
        <w:spacing w:after="80"/>
      </w:pPr>
    </w:p>
    <w:p>
      <w:pPr>
        <w:spacing w:after="120" w:line="276" w:lineRule="auto"/>
        <w:jc w:val="both"/>
      </w:pPr>
      <w:r>
        <w:rPr>
          <w:b w:val="0"/>
          <w:i w:val="0"/>
        </w:rPr>
        <w:t>The cross-validated AUC of these configurations differs by only 1.2 points, yet the baseline recall gap ranges from -2.8 to +5.3 points: point estimates of group gaps are partly an accident of model selection and should not be quoted without that caveat (Table 4.11). Two conclusions are stable across all configurations: removing race lowers the recall gap (to between -8.1 and -5.8 points, always negative), and group thresholds hold the recall gap within 2.0 points of zero.</w:t>
      </w:r>
    </w:p>
    <w:p>
      <w:pPr>
        <w:pStyle w:val="Heading3"/>
      </w:pPr>
      <w:r>
        <w:t>4.8.5 Discrimination and calibration by race</w:t>
      </w:r>
    </w:p>
    <w:p>
      <w:pPr>
        <w:spacing w:after="120" w:line="276" w:lineRule="auto"/>
        <w:jc w:val="both"/>
      </w:pPr>
      <w:r>
        <w:rPr>
          <w:b w:val="0"/>
          <w:i w:val="0"/>
        </w:rPr>
        <w:t>Discrimination is similar but less certain for Black patients: AUC 0.76 (0.71-0.81) (White) against 0.72 (0.62-0.80) (Black) (Figure 4.19). Class weighting inflates raw scores, so they were recalibrated with one logistic (Platt) mapping fitted to all patients' out-of-fold scores. With that shared mapping the observed-to-expected death ratio is 0.99 for White and 1.13 for Black patients in the race-aware model, and 1.11 and 1.33 in the race-blind model: removing race increases the under-prediction of Black mortality from 13% to 33% (Figure 4.20). The within-group calibration slope is 1.44 for White and 1.02 for Black patients: the score separates risk less sharply in the smaller group.</w:t>
      </w:r>
    </w:p>
    <w:p>
      <w:pPr>
        <w:spacing w:after="160"/>
      </w:pPr>
      <w:r>
        <w:rPr>
          <w:b/>
          <w:sz w:val="21"/>
        </w:rPr>
        <w:t>Table 4.12: Calibration after one shared recalibration, by race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728"/>
            <w:shd w:val="clear" w:color="auto" w:fill="E8ECF1"/>
          </w:tcPr>
          <w:p>
            <w:r/>
            <w:r>
              <w:rPr>
                <w:b/>
                <w:sz w:val="18"/>
              </w:rPr>
              <w:t>Model</w:t>
            </w:r>
          </w:p>
        </w:tc>
        <w:tc>
          <w:tcPr>
            <w:tcW w:type="dxa" w:w="1152"/>
            <w:shd w:val="clear" w:color="auto" w:fill="E8ECF1"/>
          </w:tcPr>
          <w:p>
            <w:r/>
            <w:r>
              <w:rPr>
                <w:b/>
                <w:sz w:val="18"/>
              </w:rPr>
              <w:t>Group</w:t>
            </w:r>
          </w:p>
        </w:tc>
        <w:tc>
          <w:tcPr>
            <w:tcW w:type="dxa" w:w="1728"/>
            <w:shd w:val="clear" w:color="auto" w:fill="E8ECF1"/>
          </w:tcPr>
          <w:p>
            <w:r/>
            <w:r>
              <w:rPr>
                <w:b/>
                <w:sz w:val="18"/>
              </w:rPr>
              <w:t>Observed death rate</w:t>
            </w:r>
          </w:p>
        </w:tc>
        <w:tc>
          <w:tcPr>
            <w:tcW w:type="dxa" w:w="2016"/>
            <w:shd w:val="clear" w:color="auto" w:fill="E8ECF1"/>
          </w:tcPr>
          <w:p>
            <w:r/>
            <w:r>
              <w:rPr>
                <w:b/>
                <w:sz w:val="18"/>
              </w:rPr>
              <w:t>Mean recalibrated risk</w:t>
            </w:r>
          </w:p>
        </w:tc>
        <w:tc>
          <w:tcPr>
            <w:tcW w:type="dxa" w:w="1584"/>
            <w:shd w:val="clear" w:color="auto" w:fill="E8ECF1"/>
          </w:tcPr>
          <w:p>
            <w:r/>
            <w:r>
              <w:rPr>
                <w:b/>
                <w:sz w:val="18"/>
              </w:rPr>
              <w:t>Observed / expected</w:t>
            </w:r>
          </w:p>
        </w:tc>
        <w:tc>
          <w:tcPr>
            <w:tcW w:type="dxa" w:w="1440"/>
            <w:shd w:val="clear" w:color="auto" w:fill="E8ECF1"/>
          </w:tcPr>
          <w:p>
            <w:r/>
            <w:r>
              <w:rPr>
                <w:b/>
                <w:sz w:val="18"/>
              </w:rPr>
              <w:t>Within-group slope</w:t>
            </w:r>
          </w:p>
        </w:tc>
      </w:tr>
      <w:tr>
        <w:tc>
          <w:tcPr>
            <w:tcW w:type="dxa" w:w="1728"/>
          </w:tcPr>
          <w:p>
            <w:r/>
            <w:r>
              <w:rPr>
                <w:sz w:val="18"/>
              </w:rPr>
              <w:t>Race-aware</w:t>
            </w:r>
          </w:p>
        </w:tc>
        <w:tc>
          <w:tcPr>
            <w:tcW w:type="dxa" w:w="1152"/>
          </w:tcPr>
          <w:p>
            <w:r/>
            <w:r>
              <w:rPr>
                <w:sz w:val="18"/>
              </w:rPr>
              <w:t>White</w:t>
            </w:r>
          </w:p>
        </w:tc>
        <w:tc>
          <w:tcPr>
            <w:tcW w:type="dxa" w:w="1728"/>
          </w:tcPr>
          <w:p>
            <w:r/>
            <w:r>
              <w:rPr>
                <w:sz w:val="18"/>
              </w:rPr>
              <w:t>14.8%</w:t>
            </w:r>
          </w:p>
        </w:tc>
        <w:tc>
          <w:tcPr>
            <w:tcW w:type="dxa" w:w="2016"/>
          </w:tcPr>
          <w:p>
            <w:r/>
            <w:r>
              <w:rPr>
                <w:sz w:val="18"/>
              </w:rPr>
              <w:t>14.9%</w:t>
            </w:r>
          </w:p>
        </w:tc>
        <w:tc>
          <w:tcPr>
            <w:tcW w:type="dxa" w:w="1584"/>
          </w:tcPr>
          <w:p>
            <w:r/>
            <w:r>
              <w:rPr>
                <w:sz w:val="18"/>
              </w:rPr>
              <w:t>0.99</w:t>
            </w:r>
          </w:p>
        </w:tc>
        <w:tc>
          <w:tcPr>
            <w:tcW w:type="dxa" w:w="1440"/>
          </w:tcPr>
          <w:p>
            <w:r/>
            <w:r>
              <w:rPr>
                <w:sz w:val="18"/>
              </w:rPr>
              <w:t>1.44</w:t>
            </w:r>
          </w:p>
        </w:tc>
      </w:tr>
      <w:tr>
        <w:tc>
          <w:tcPr>
            <w:tcW w:type="dxa" w:w="1728"/>
          </w:tcPr>
          <w:p>
            <w:r/>
            <w:r>
              <w:rPr>
                <w:sz w:val="18"/>
              </w:rPr>
              <w:t>Race-aware</w:t>
            </w:r>
          </w:p>
        </w:tc>
        <w:tc>
          <w:tcPr>
            <w:tcW w:type="dxa" w:w="1152"/>
          </w:tcPr>
          <w:p>
            <w:r/>
            <w:r>
              <w:rPr>
                <w:sz w:val="18"/>
              </w:rPr>
              <w:t>Black</w:t>
            </w:r>
          </w:p>
        </w:tc>
        <w:tc>
          <w:tcPr>
            <w:tcW w:type="dxa" w:w="1728"/>
          </w:tcPr>
          <w:p>
            <w:r/>
            <w:r>
              <w:rPr>
                <w:sz w:val="18"/>
              </w:rPr>
              <w:t>16.5%</w:t>
            </w:r>
          </w:p>
        </w:tc>
        <w:tc>
          <w:tcPr>
            <w:tcW w:type="dxa" w:w="2016"/>
          </w:tcPr>
          <w:p>
            <w:r/>
            <w:r>
              <w:rPr>
                <w:sz w:val="18"/>
              </w:rPr>
              <w:t>14.6%</w:t>
            </w:r>
          </w:p>
        </w:tc>
        <w:tc>
          <w:tcPr>
            <w:tcW w:type="dxa" w:w="1584"/>
          </w:tcPr>
          <w:p>
            <w:r/>
            <w:r>
              <w:rPr>
                <w:sz w:val="18"/>
              </w:rPr>
              <w:t>1.13</w:t>
            </w:r>
          </w:p>
        </w:tc>
        <w:tc>
          <w:tcPr>
            <w:tcW w:type="dxa" w:w="1440"/>
          </w:tcPr>
          <w:p>
            <w:r/>
            <w:r>
              <w:rPr>
                <w:sz w:val="18"/>
              </w:rPr>
              <w:t>1.02</w:t>
            </w:r>
          </w:p>
        </w:tc>
      </w:tr>
      <w:tr>
        <w:tc>
          <w:tcPr>
            <w:tcW w:type="dxa" w:w="1728"/>
          </w:tcPr>
          <w:p>
            <w:r/>
            <w:r>
              <w:rPr>
                <w:sz w:val="18"/>
              </w:rPr>
              <w:t>Race-blind</w:t>
            </w:r>
          </w:p>
        </w:tc>
        <w:tc>
          <w:tcPr>
            <w:tcW w:type="dxa" w:w="1152"/>
          </w:tcPr>
          <w:p>
            <w:r/>
            <w:r>
              <w:rPr>
                <w:sz w:val="18"/>
              </w:rPr>
              <w:t>White</w:t>
            </w:r>
          </w:p>
        </w:tc>
        <w:tc>
          <w:tcPr>
            <w:tcW w:type="dxa" w:w="1728"/>
          </w:tcPr>
          <w:p>
            <w:r/>
            <w:r>
              <w:rPr>
                <w:sz w:val="18"/>
              </w:rPr>
              <w:t>14.8%</w:t>
            </w:r>
          </w:p>
        </w:tc>
        <w:tc>
          <w:tcPr>
            <w:tcW w:type="dxa" w:w="2016"/>
          </w:tcPr>
          <w:p>
            <w:r/>
            <w:r>
              <w:rPr>
                <w:sz w:val="18"/>
              </w:rPr>
              <w:t>13.3%</w:t>
            </w:r>
          </w:p>
        </w:tc>
        <w:tc>
          <w:tcPr>
            <w:tcW w:type="dxa" w:w="1584"/>
          </w:tcPr>
          <w:p>
            <w:r/>
            <w:r>
              <w:rPr>
                <w:sz w:val="18"/>
              </w:rPr>
              <w:t>1.11</w:t>
            </w:r>
          </w:p>
        </w:tc>
        <w:tc>
          <w:tcPr>
            <w:tcW w:type="dxa" w:w="1440"/>
          </w:tcPr>
          <w:p>
            <w:r/>
            <w:r>
              <w:rPr>
                <w:sz w:val="18"/>
              </w:rPr>
              <w:t>1.55</w:t>
            </w:r>
          </w:p>
        </w:tc>
      </w:tr>
      <w:tr>
        <w:tc>
          <w:tcPr>
            <w:tcW w:type="dxa" w:w="1728"/>
          </w:tcPr>
          <w:p>
            <w:r/>
            <w:r>
              <w:rPr>
                <w:sz w:val="18"/>
              </w:rPr>
              <w:t>Race-blind</w:t>
            </w:r>
          </w:p>
        </w:tc>
        <w:tc>
          <w:tcPr>
            <w:tcW w:type="dxa" w:w="1152"/>
          </w:tcPr>
          <w:p>
            <w:r/>
            <w:r>
              <w:rPr>
                <w:sz w:val="18"/>
              </w:rPr>
              <w:t>Black</w:t>
            </w:r>
          </w:p>
        </w:tc>
        <w:tc>
          <w:tcPr>
            <w:tcW w:type="dxa" w:w="1728"/>
          </w:tcPr>
          <w:p>
            <w:r/>
            <w:r>
              <w:rPr>
                <w:sz w:val="18"/>
              </w:rPr>
              <w:t>16.5%</w:t>
            </w:r>
          </w:p>
        </w:tc>
        <w:tc>
          <w:tcPr>
            <w:tcW w:type="dxa" w:w="2016"/>
          </w:tcPr>
          <w:p>
            <w:r/>
            <w:r>
              <w:rPr>
                <w:sz w:val="18"/>
              </w:rPr>
              <w:t>12.4%</w:t>
            </w:r>
          </w:p>
        </w:tc>
        <w:tc>
          <w:tcPr>
            <w:tcW w:type="dxa" w:w="1584"/>
          </w:tcPr>
          <w:p>
            <w:r/>
            <w:r>
              <w:rPr>
                <w:sz w:val="18"/>
              </w:rPr>
              <w:t>1.33</w:t>
            </w:r>
          </w:p>
        </w:tc>
        <w:tc>
          <w:tcPr>
            <w:tcW w:type="dxa" w:w="1440"/>
          </w:tcPr>
          <w:p>
            <w:r/>
            <w:r>
              <w:rPr>
                <w:sz w:val="18"/>
              </w:rPr>
              <w:t>0.93</w:t>
            </w:r>
          </w:p>
        </w:tc>
      </w:tr>
    </w:tbl>
    <w:p>
      <w:pPr>
        <w:spacing w:after="80"/>
      </w:pPr>
    </w:p>
    <w:p>
      <w:pPr>
        <w:jc w:val="center"/>
      </w:pPr>
      <w:r>
        <w:drawing>
          <wp:inline xmlns:a="http://schemas.openxmlformats.org/drawingml/2006/main" xmlns:pic="http://schemas.openxmlformats.org/drawingml/2006/picture">
            <wp:extent cx="3840480" cy="3671797"/>
            <wp:docPr id="21" name="Picture 21"/>
            <wp:cNvGraphicFramePr>
              <a:graphicFrameLocks noChangeAspect="1"/>
            </wp:cNvGraphicFramePr>
            <a:graphic>
              <a:graphicData uri="http://schemas.openxmlformats.org/drawingml/2006/picture">
                <pic:pic>
                  <pic:nvPicPr>
                    <pic:cNvPr id="0" name="04_roc_by_group.png"/>
                    <pic:cNvPicPr/>
                  </pic:nvPicPr>
                  <pic:blipFill>
                    <a:blip r:embed="rId30"/>
                    <a:stretch>
                      <a:fillRect/>
                    </a:stretch>
                  </pic:blipFill>
                  <pic:spPr>
                    <a:xfrm>
                      <a:off x="0" y="0"/>
                      <a:ext cx="3840480" cy="3671797"/>
                    </a:xfrm>
                    <a:prstGeom prst="rect"/>
                  </pic:spPr>
                </pic:pic>
              </a:graphicData>
            </a:graphic>
          </wp:inline>
        </w:drawing>
      </w:r>
    </w:p>
    <w:p>
      <w:pPr>
        <w:spacing w:after="160"/>
        <w:jc w:val="center"/>
      </w:pPr>
      <w:r>
        <w:rPr>
          <w:b/>
          <w:sz w:val="21"/>
        </w:rPr>
        <w:t>Figure 4.19: ROC curves by race (out-of-fold)</w:t>
      </w:r>
    </w:p>
    <w:p>
      <w:pPr>
        <w:jc w:val="center"/>
      </w:pPr>
      <w:r>
        <w:drawing>
          <wp:inline xmlns:a="http://schemas.openxmlformats.org/drawingml/2006/main" xmlns:pic="http://schemas.openxmlformats.org/drawingml/2006/picture">
            <wp:extent cx="3840480" cy="3486605"/>
            <wp:docPr id="22" name="Picture 22"/>
            <wp:cNvGraphicFramePr>
              <a:graphicFrameLocks noChangeAspect="1"/>
            </wp:cNvGraphicFramePr>
            <a:graphic>
              <a:graphicData uri="http://schemas.openxmlformats.org/drawingml/2006/picture">
                <pic:pic>
                  <pic:nvPicPr>
                    <pic:cNvPr id="0" name="10_calibration.png"/>
                    <pic:cNvPicPr/>
                  </pic:nvPicPr>
                  <pic:blipFill>
                    <a:blip r:embed="rId31"/>
                    <a:stretch>
                      <a:fillRect/>
                    </a:stretch>
                  </pic:blipFill>
                  <pic:spPr>
                    <a:xfrm>
                      <a:off x="0" y="0"/>
                      <a:ext cx="3840480" cy="3486605"/>
                    </a:xfrm>
                    <a:prstGeom prst="rect"/>
                  </pic:spPr>
                </pic:pic>
              </a:graphicData>
            </a:graphic>
          </wp:inline>
        </w:drawing>
      </w:r>
    </w:p>
    <w:p>
      <w:pPr>
        <w:spacing w:after="160"/>
        <w:jc w:val="center"/>
      </w:pPr>
      <w:r>
        <w:rPr>
          <w:b/>
          <w:sz w:val="21"/>
        </w:rPr>
        <w:t>Figure 4.20: Calibration by race after a shared Platt mapping</w:t>
      </w:r>
    </w:p>
    <w:p>
      <w:pPr>
        <w:pStyle w:val="Heading3"/>
      </w:pPr>
      <w:r>
        <w:t>4.8.6 Censoring, group definition and the hold-out set</w:t>
      </w:r>
    </w:p>
    <w:p>
      <w:pPr>
        <w:spacing w:after="120" w:line="276" w:lineRule="auto"/>
        <w:jc w:val="both"/>
      </w:pPr>
      <w:r>
        <w:rPr>
          <w:b w:val="0"/>
          <w:i w:val="0"/>
        </w:rPr>
        <w:t>Restricting evaluation to patients who died or were followed at least 24, 36 or 60 months (n = 580, 464, 329) moves the baseline false-alarm gap from +0.046 to +0.078 and +0.169 (CIs -0.06 to +0.16, -0.05 to +0.22, -0.02 to +0.32; Figure 4.21); none excludes zero, but the drift towards more false alarms for Black patients with longer follow-up is worth monitoring. Using genetic ancestry instead of race, recall is 87% for African ancestry (n = 125, 24 deaths) against 78% for European ancestry, in line with the race-based result.</w:t>
      </w:r>
    </w:p>
    <w:p>
      <w:pPr>
        <w:jc w:val="center"/>
      </w:pPr>
      <w:r>
        <w:drawing>
          <wp:inline xmlns:a="http://schemas.openxmlformats.org/drawingml/2006/main" xmlns:pic="http://schemas.openxmlformats.org/drawingml/2006/picture">
            <wp:extent cx="5486400" cy="2123152"/>
            <wp:docPr id="23" name="Picture 23"/>
            <wp:cNvGraphicFramePr>
              <a:graphicFrameLocks noChangeAspect="1"/>
            </wp:cNvGraphicFramePr>
            <a:graphic>
              <a:graphicData uri="http://schemas.openxmlformats.org/drawingml/2006/picture">
                <pic:pic>
                  <pic:nvPicPr>
                    <pic:cNvPr id="0" name="11_sensitivity_settled.png"/>
                    <pic:cNvPicPr/>
                  </pic:nvPicPr>
                  <pic:blipFill>
                    <a:blip r:embed="rId32"/>
                    <a:stretch>
                      <a:fillRect/>
                    </a:stretch>
                  </pic:blipFill>
                  <pic:spPr>
                    <a:xfrm>
                      <a:off x="0" y="0"/>
                      <a:ext cx="5486400" cy="2123152"/>
                    </a:xfrm>
                    <a:prstGeom prst="rect"/>
                  </pic:spPr>
                </pic:pic>
              </a:graphicData>
            </a:graphic>
          </wp:inline>
        </w:drawing>
      </w:r>
    </w:p>
    <w:p>
      <w:pPr>
        <w:spacing w:after="160"/>
        <w:jc w:val="center"/>
      </w:pPr>
      <w:r>
        <w:rPr>
          <w:b/>
          <w:sz w:val="21"/>
        </w:rPr>
        <w:t>Figure 4.21: Gaps when evaluation is restricted to patients with settled outcomes</w:t>
      </w:r>
    </w:p>
    <w:p>
      <w:pPr>
        <w:spacing w:after="160"/>
      </w:pPr>
      <w:r>
        <w:rPr>
          <w:b/>
          <w:sz w:val="21"/>
        </w:rPr>
        <w:t>Table 4.13: Hold-out results by race (single split; very wide intervals)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304"/>
            <w:shd w:val="clear" w:color="auto" w:fill="E8ECF1"/>
          </w:tcPr>
          <w:p>
            <w:r/>
            <w:r>
              <w:rPr>
                <w:b/>
                <w:sz w:val="17"/>
              </w:rPr>
              <w:t>Strategy</w:t>
            </w:r>
          </w:p>
        </w:tc>
        <w:tc>
          <w:tcPr>
            <w:tcW w:type="dxa" w:w="1152"/>
            <w:shd w:val="clear" w:color="auto" w:fill="E8ECF1"/>
          </w:tcPr>
          <w:p>
            <w:r/>
            <w:r>
              <w:rPr>
                <w:b/>
                <w:sz w:val="17"/>
              </w:rPr>
              <w:t>Group</w:t>
            </w:r>
          </w:p>
        </w:tc>
        <w:tc>
          <w:tcPr>
            <w:tcW w:type="dxa" w:w="720"/>
            <w:shd w:val="clear" w:color="auto" w:fill="E8ECF1"/>
          </w:tcPr>
          <w:p>
            <w:r/>
            <w:r>
              <w:rPr>
                <w:b/>
                <w:sz w:val="17"/>
              </w:rPr>
              <w:t>n</w:t>
            </w:r>
          </w:p>
        </w:tc>
        <w:tc>
          <w:tcPr>
            <w:tcW w:type="dxa" w:w="864"/>
            <w:shd w:val="clear" w:color="auto" w:fill="E8ECF1"/>
          </w:tcPr>
          <w:p>
            <w:r/>
            <w:r>
              <w:rPr>
                <w:b/>
                <w:sz w:val="17"/>
              </w:rPr>
              <w:t>Deaths</w:t>
            </w:r>
          </w:p>
        </w:tc>
        <w:tc>
          <w:tcPr>
            <w:tcW w:type="dxa" w:w="2160"/>
            <w:shd w:val="clear" w:color="auto" w:fill="E8ECF1"/>
          </w:tcPr>
          <w:p>
            <w:r/>
            <w:r>
              <w:rPr>
                <w:b/>
                <w:sz w:val="17"/>
              </w:rPr>
              <w:t>Recall (Wilson CI)</w:t>
            </w:r>
          </w:p>
        </w:tc>
        <w:tc>
          <w:tcPr>
            <w:tcW w:type="dxa" w:w="1440"/>
            <w:shd w:val="clear" w:color="auto" w:fill="E8ECF1"/>
          </w:tcPr>
          <w:p>
            <w:r/>
            <w:r>
              <w:rPr>
                <w:b/>
                <w:sz w:val="17"/>
              </w:rPr>
              <w:t>False-alarm rate</w:t>
            </w:r>
          </w:p>
        </w:tc>
        <w:tc>
          <w:tcPr>
            <w:tcW w:type="dxa" w:w="864"/>
            <w:shd w:val="clear" w:color="auto" w:fill="E8ECF1"/>
          </w:tcPr>
          <w:p>
            <w:r/>
            <w:r>
              <w:rPr>
                <w:b/>
                <w:sz w:val="17"/>
              </w:rPr>
              <w:t>AUC</w:t>
            </w:r>
          </w:p>
        </w:tc>
      </w:tr>
      <w:tr>
        <w:tc>
          <w:tcPr>
            <w:tcW w:type="dxa" w:w="2304"/>
          </w:tcPr>
          <w:p>
            <w:r/>
            <w:r>
              <w:rPr>
                <w:sz w:val="17"/>
              </w:rPr>
              <w:t>Baseline (race-aware)</w:t>
            </w:r>
          </w:p>
        </w:tc>
        <w:tc>
          <w:tcPr>
            <w:tcW w:type="dxa" w:w="1152"/>
          </w:tcPr>
          <w:p>
            <w:r/>
            <w:r>
              <w:rPr>
                <w:sz w:val="17"/>
              </w:rPr>
              <w:t>White</w:t>
            </w:r>
          </w:p>
        </w:tc>
        <w:tc>
          <w:tcPr>
            <w:tcW w:type="dxa" w:w="720"/>
          </w:tcPr>
          <w:p>
            <w:r/>
            <w:r>
              <w:rPr>
                <w:sz w:val="17"/>
              </w:rPr>
              <w:t>150</w:t>
            </w:r>
          </w:p>
        </w:tc>
        <w:tc>
          <w:tcPr>
            <w:tcW w:type="dxa" w:w="864"/>
          </w:tcPr>
          <w:p>
            <w:r/>
            <w:r>
              <w:rPr>
                <w:sz w:val="17"/>
              </w:rPr>
              <w:t>22</w:t>
            </w:r>
          </w:p>
        </w:tc>
        <w:tc>
          <w:tcPr>
            <w:tcW w:type="dxa" w:w="2160"/>
          </w:tcPr>
          <w:p>
            <w:r/>
            <w:r>
              <w:rPr>
                <w:sz w:val="17"/>
              </w:rPr>
              <w:t>68% (47%-84%)</w:t>
            </w:r>
          </w:p>
        </w:tc>
        <w:tc>
          <w:tcPr>
            <w:tcW w:type="dxa" w:w="1440"/>
          </w:tcPr>
          <w:p>
            <w:r/>
            <w:r>
              <w:rPr>
                <w:sz w:val="17"/>
              </w:rPr>
              <w:t>39%</w:t>
            </w:r>
          </w:p>
        </w:tc>
        <w:tc>
          <w:tcPr>
            <w:tcW w:type="dxa" w:w="864"/>
          </w:tcPr>
          <w:p>
            <w:r/>
            <w:r>
              <w:rPr>
                <w:sz w:val="17"/>
              </w:rPr>
              <w:t>0.74</w:t>
            </w:r>
          </w:p>
        </w:tc>
      </w:tr>
      <w:tr>
        <w:tc>
          <w:tcPr>
            <w:tcW w:type="dxa" w:w="2304"/>
          </w:tcPr>
          <w:p>
            <w:r/>
            <w:r>
              <w:rPr>
                <w:sz w:val="17"/>
              </w:rPr>
              <w:t>Baseline (race-aware)</w:t>
            </w:r>
          </w:p>
        </w:tc>
        <w:tc>
          <w:tcPr>
            <w:tcW w:type="dxa" w:w="1152"/>
          </w:tcPr>
          <w:p>
            <w:r/>
            <w:r>
              <w:rPr>
                <w:sz w:val="17"/>
              </w:rPr>
              <w:t>Black</w:t>
            </w:r>
          </w:p>
        </w:tc>
        <w:tc>
          <w:tcPr>
            <w:tcW w:type="dxa" w:w="720"/>
          </w:tcPr>
          <w:p>
            <w:r/>
            <w:r>
              <w:rPr>
                <w:sz w:val="17"/>
              </w:rPr>
              <w:t>37</w:t>
            </w:r>
          </w:p>
        </w:tc>
        <w:tc>
          <w:tcPr>
            <w:tcW w:type="dxa" w:w="864"/>
          </w:tcPr>
          <w:p>
            <w:r/>
            <w:r>
              <w:rPr>
                <w:sz w:val="17"/>
              </w:rPr>
              <w:t>6</w:t>
            </w:r>
          </w:p>
        </w:tc>
        <w:tc>
          <w:tcPr>
            <w:tcW w:type="dxa" w:w="2160"/>
          </w:tcPr>
          <w:p>
            <w:r/>
            <w:r>
              <w:rPr>
                <w:sz w:val="17"/>
              </w:rPr>
              <w:t>83% (44%-97%)</w:t>
            </w:r>
          </w:p>
        </w:tc>
        <w:tc>
          <w:tcPr>
            <w:tcW w:type="dxa" w:w="1440"/>
          </w:tcPr>
          <w:p>
            <w:r/>
            <w:r>
              <w:rPr>
                <w:sz w:val="17"/>
              </w:rPr>
              <w:t>52%</w:t>
            </w:r>
          </w:p>
        </w:tc>
        <w:tc>
          <w:tcPr>
            <w:tcW w:type="dxa" w:w="864"/>
          </w:tcPr>
          <w:p>
            <w:r/>
            <w:r>
              <w:rPr>
                <w:sz w:val="17"/>
              </w:rPr>
              <w:t>0.82</w:t>
            </w:r>
          </w:p>
        </w:tc>
      </w:tr>
      <w:tr>
        <w:tc>
          <w:tcPr>
            <w:tcW w:type="dxa" w:w="2304"/>
          </w:tcPr>
          <w:p>
            <w:r/>
            <w:r>
              <w:rPr>
                <w:sz w:val="17"/>
              </w:rPr>
              <w:t>Race-blind</w:t>
            </w:r>
          </w:p>
        </w:tc>
        <w:tc>
          <w:tcPr>
            <w:tcW w:type="dxa" w:w="1152"/>
          </w:tcPr>
          <w:p>
            <w:r/>
            <w:r>
              <w:rPr>
                <w:sz w:val="17"/>
              </w:rPr>
              <w:t>White</w:t>
            </w:r>
          </w:p>
        </w:tc>
        <w:tc>
          <w:tcPr>
            <w:tcW w:type="dxa" w:w="720"/>
          </w:tcPr>
          <w:p>
            <w:r/>
            <w:r>
              <w:rPr>
                <w:sz w:val="17"/>
              </w:rPr>
              <w:t>150</w:t>
            </w:r>
          </w:p>
        </w:tc>
        <w:tc>
          <w:tcPr>
            <w:tcW w:type="dxa" w:w="864"/>
          </w:tcPr>
          <w:p>
            <w:r/>
            <w:r>
              <w:rPr>
                <w:sz w:val="17"/>
              </w:rPr>
              <w:t>22</w:t>
            </w:r>
          </w:p>
        </w:tc>
        <w:tc>
          <w:tcPr>
            <w:tcW w:type="dxa" w:w="2160"/>
          </w:tcPr>
          <w:p>
            <w:r/>
            <w:r>
              <w:rPr>
                <w:sz w:val="17"/>
              </w:rPr>
              <w:t>68% (47%-84%)</w:t>
            </w:r>
          </w:p>
        </w:tc>
        <w:tc>
          <w:tcPr>
            <w:tcW w:type="dxa" w:w="1440"/>
          </w:tcPr>
          <w:p>
            <w:r/>
            <w:r>
              <w:rPr>
                <w:sz w:val="17"/>
              </w:rPr>
              <w:t>45%</w:t>
            </w:r>
          </w:p>
        </w:tc>
        <w:tc>
          <w:tcPr>
            <w:tcW w:type="dxa" w:w="864"/>
          </w:tcPr>
          <w:p>
            <w:r/>
            <w:r>
              <w:rPr>
                <w:sz w:val="17"/>
              </w:rPr>
              <w:t>0.75</w:t>
            </w:r>
          </w:p>
        </w:tc>
      </w:tr>
      <w:tr>
        <w:tc>
          <w:tcPr>
            <w:tcW w:type="dxa" w:w="2304"/>
          </w:tcPr>
          <w:p>
            <w:r/>
            <w:r>
              <w:rPr>
                <w:sz w:val="17"/>
              </w:rPr>
              <w:t>Race-blind</w:t>
            </w:r>
          </w:p>
        </w:tc>
        <w:tc>
          <w:tcPr>
            <w:tcW w:type="dxa" w:w="1152"/>
          </w:tcPr>
          <w:p>
            <w:r/>
            <w:r>
              <w:rPr>
                <w:sz w:val="17"/>
              </w:rPr>
              <w:t>Black</w:t>
            </w:r>
          </w:p>
        </w:tc>
        <w:tc>
          <w:tcPr>
            <w:tcW w:type="dxa" w:w="720"/>
          </w:tcPr>
          <w:p>
            <w:r/>
            <w:r>
              <w:rPr>
                <w:sz w:val="17"/>
              </w:rPr>
              <w:t>37</w:t>
            </w:r>
          </w:p>
        </w:tc>
        <w:tc>
          <w:tcPr>
            <w:tcW w:type="dxa" w:w="864"/>
          </w:tcPr>
          <w:p>
            <w:r/>
            <w:r>
              <w:rPr>
                <w:sz w:val="17"/>
              </w:rPr>
              <w:t>6</w:t>
            </w:r>
          </w:p>
        </w:tc>
        <w:tc>
          <w:tcPr>
            <w:tcW w:type="dxa" w:w="2160"/>
          </w:tcPr>
          <w:p>
            <w:r/>
            <w:r>
              <w:rPr>
                <w:sz w:val="17"/>
              </w:rPr>
              <w:t>83% (44%-97%)</w:t>
            </w:r>
          </w:p>
        </w:tc>
        <w:tc>
          <w:tcPr>
            <w:tcW w:type="dxa" w:w="1440"/>
          </w:tcPr>
          <w:p>
            <w:r/>
            <w:r>
              <w:rPr>
                <w:sz w:val="17"/>
              </w:rPr>
              <w:t>35%</w:t>
            </w:r>
          </w:p>
        </w:tc>
        <w:tc>
          <w:tcPr>
            <w:tcW w:type="dxa" w:w="864"/>
          </w:tcPr>
          <w:p>
            <w:r/>
            <w:r>
              <w:rPr>
                <w:sz w:val="17"/>
              </w:rPr>
              <w:t>0.82</w:t>
            </w:r>
          </w:p>
        </w:tc>
      </w:tr>
      <w:tr>
        <w:tc>
          <w:tcPr>
            <w:tcW w:type="dxa" w:w="2304"/>
          </w:tcPr>
          <w:p>
            <w:r/>
            <w:r>
              <w:rPr>
                <w:sz w:val="17"/>
              </w:rPr>
              <w:t>Group thresholds</w:t>
            </w:r>
          </w:p>
        </w:tc>
        <w:tc>
          <w:tcPr>
            <w:tcW w:type="dxa" w:w="1152"/>
          </w:tcPr>
          <w:p>
            <w:r/>
            <w:r>
              <w:rPr>
                <w:sz w:val="17"/>
              </w:rPr>
              <w:t>White</w:t>
            </w:r>
          </w:p>
        </w:tc>
        <w:tc>
          <w:tcPr>
            <w:tcW w:type="dxa" w:w="720"/>
          </w:tcPr>
          <w:p>
            <w:r/>
            <w:r>
              <w:rPr>
                <w:sz w:val="17"/>
              </w:rPr>
              <w:t>150</w:t>
            </w:r>
          </w:p>
        </w:tc>
        <w:tc>
          <w:tcPr>
            <w:tcW w:type="dxa" w:w="864"/>
          </w:tcPr>
          <w:p>
            <w:r/>
            <w:r>
              <w:rPr>
                <w:sz w:val="17"/>
              </w:rPr>
              <w:t>22</w:t>
            </w:r>
          </w:p>
        </w:tc>
        <w:tc>
          <w:tcPr>
            <w:tcW w:type="dxa" w:w="2160"/>
          </w:tcPr>
          <w:p>
            <w:r/>
            <w:r>
              <w:rPr>
                <w:sz w:val="17"/>
              </w:rPr>
              <w:t>68% (47%-84%)</w:t>
            </w:r>
          </w:p>
        </w:tc>
        <w:tc>
          <w:tcPr>
            <w:tcW w:type="dxa" w:w="1440"/>
          </w:tcPr>
          <w:p>
            <w:r/>
            <w:r>
              <w:rPr>
                <w:sz w:val="17"/>
              </w:rPr>
              <w:t>45%</w:t>
            </w:r>
          </w:p>
        </w:tc>
        <w:tc>
          <w:tcPr>
            <w:tcW w:type="dxa" w:w="864"/>
          </w:tcPr>
          <w:p>
            <w:r/>
            <w:r>
              <w:rPr>
                <w:sz w:val="17"/>
              </w:rPr>
              <w:t>0.75</w:t>
            </w:r>
          </w:p>
        </w:tc>
      </w:tr>
      <w:tr>
        <w:tc>
          <w:tcPr>
            <w:tcW w:type="dxa" w:w="2304"/>
          </w:tcPr>
          <w:p>
            <w:r/>
            <w:r>
              <w:rPr>
                <w:sz w:val="17"/>
              </w:rPr>
              <w:t>Group thresholds</w:t>
            </w:r>
          </w:p>
        </w:tc>
        <w:tc>
          <w:tcPr>
            <w:tcW w:type="dxa" w:w="1152"/>
          </w:tcPr>
          <w:p>
            <w:r/>
            <w:r>
              <w:rPr>
                <w:sz w:val="17"/>
              </w:rPr>
              <w:t>Black</w:t>
            </w:r>
          </w:p>
        </w:tc>
        <w:tc>
          <w:tcPr>
            <w:tcW w:type="dxa" w:w="720"/>
          </w:tcPr>
          <w:p>
            <w:r/>
            <w:r>
              <w:rPr>
                <w:sz w:val="17"/>
              </w:rPr>
              <w:t>37</w:t>
            </w:r>
          </w:p>
        </w:tc>
        <w:tc>
          <w:tcPr>
            <w:tcW w:type="dxa" w:w="864"/>
          </w:tcPr>
          <w:p>
            <w:r/>
            <w:r>
              <w:rPr>
                <w:sz w:val="17"/>
              </w:rPr>
              <w:t>6</w:t>
            </w:r>
          </w:p>
        </w:tc>
        <w:tc>
          <w:tcPr>
            <w:tcW w:type="dxa" w:w="2160"/>
          </w:tcPr>
          <w:p>
            <w:r/>
            <w:r>
              <w:rPr>
                <w:sz w:val="17"/>
              </w:rPr>
              <w:t>100% (61%-100%)</w:t>
            </w:r>
          </w:p>
        </w:tc>
        <w:tc>
          <w:tcPr>
            <w:tcW w:type="dxa" w:w="1440"/>
          </w:tcPr>
          <w:p>
            <w:r/>
            <w:r>
              <w:rPr>
                <w:sz w:val="17"/>
              </w:rPr>
              <w:t>52%</w:t>
            </w:r>
          </w:p>
        </w:tc>
        <w:tc>
          <w:tcPr>
            <w:tcW w:type="dxa" w:w="864"/>
          </w:tcPr>
          <w:p>
            <w:r/>
            <w:r>
              <w:rPr>
                <w:sz w:val="17"/>
              </w:rPr>
              <w:t>0.82</w:t>
            </w:r>
          </w:p>
        </w:tc>
      </w:tr>
    </w:tbl>
    <w:p>
      <w:pPr>
        <w:spacing w:after="80"/>
      </w:pPr>
    </w:p>
    <w:p>
      <w:pPr>
        <w:spacing w:after="120" w:line="276" w:lineRule="auto"/>
        <w:jc w:val="both"/>
      </w:pPr>
      <w:r>
        <w:rPr>
          <w:b w:val="0"/>
          <w:i w:val="0"/>
        </w:rPr>
        <w:t>The hold-out set contains only 6 Black deaths. Its group-level recall (83% for Black patients) is an anecdote and supports no fairness statement; this is why the audit rests on repeated cross-validation (Figure 4.22).</w:t>
      </w:r>
    </w:p>
    <w:p>
      <w:pPr>
        <w:jc w:val="center"/>
      </w:pPr>
      <w:r>
        <w:drawing>
          <wp:inline xmlns:a="http://schemas.openxmlformats.org/drawingml/2006/main" xmlns:pic="http://schemas.openxmlformats.org/drawingml/2006/picture">
            <wp:extent cx="4572000" cy="2304789"/>
            <wp:docPr id="24" name="Picture 24"/>
            <wp:cNvGraphicFramePr>
              <a:graphicFrameLocks noChangeAspect="1"/>
            </wp:cNvGraphicFramePr>
            <a:graphic>
              <a:graphicData uri="http://schemas.openxmlformats.org/drawingml/2006/picture">
                <pic:pic>
                  <pic:nvPicPr>
                    <pic:cNvPr id="0" name="09_holdout_recall.png"/>
                    <pic:cNvPicPr/>
                  </pic:nvPicPr>
                  <pic:blipFill>
                    <a:blip r:embed="rId33"/>
                    <a:stretch>
                      <a:fillRect/>
                    </a:stretch>
                  </pic:blipFill>
                  <pic:spPr>
                    <a:xfrm>
                      <a:off x="0" y="0"/>
                      <a:ext cx="4572000" cy="2304789"/>
                    </a:xfrm>
                    <a:prstGeom prst="rect"/>
                  </pic:spPr>
                </pic:pic>
              </a:graphicData>
            </a:graphic>
          </wp:inline>
        </w:drawing>
      </w:r>
    </w:p>
    <w:p>
      <w:pPr>
        <w:spacing w:after="160"/>
        <w:jc w:val="center"/>
      </w:pPr>
      <w:r>
        <w:rPr>
          <w:b/>
          <w:sz w:val="21"/>
        </w:rPr>
        <w:t>Figure 4.22: Hold-out recall by race and strategy</w:t>
      </w:r>
    </w:p>
    <w:p>
      <w:pPr>
        <w:pStyle w:val="Heading3"/>
      </w:pPr>
      <w:r>
        <w:t>4.8.7 Why the groups are scored differently, and why deaths are missed</w:t>
      </w:r>
    </w:p>
    <w:p>
      <w:pPr>
        <w:spacing w:after="120" w:line="276" w:lineRule="auto"/>
        <w:jc w:val="both"/>
      </w:pPr>
      <w:r>
        <w:rPr>
          <w:b w:val="0"/>
          <w:i w:val="0"/>
        </w:rPr>
        <w:t>The mean model score differs by only -0.005 log-odds between Black and White patients, but only because opposing terms cancel (Figure 4.24): the Black indicator adds +0.092, while the metastasis category contributes -0.089 and radiation -0.028, in the opposite direction. The last two come from documentation: Black patients are more often recorded as MX (62 (34%) against 98 (13%)), a code with a low death rate (9%) that pulls their scores down. Missed deaths (Figure 4.25) are younger and node-negative patients in both groups, so the mechanism of a miss is shared. Feature importance is nearly the same in both groups (Figure 4.23), and the importance ranking among Black patients is stable only at the top (Figure 4.26).</w:t>
      </w:r>
    </w:p>
    <w:p>
      <w:pPr>
        <w:jc w:val="center"/>
      </w:pPr>
      <w:r>
        <w:drawing>
          <wp:inline xmlns:a="http://schemas.openxmlformats.org/drawingml/2006/main" xmlns:pic="http://schemas.openxmlformats.org/drawingml/2006/picture">
            <wp:extent cx="4846320" cy="2592144"/>
            <wp:docPr id="25" name="Picture 25"/>
            <wp:cNvGraphicFramePr>
              <a:graphicFrameLocks noChangeAspect="1"/>
            </wp:cNvGraphicFramePr>
            <a:graphic>
              <a:graphicData uri="http://schemas.openxmlformats.org/drawingml/2006/picture">
                <pic:pic>
                  <pic:nvPicPr>
                    <pic:cNvPr id="0" name="13_importance_by_race.png"/>
                    <pic:cNvPicPr/>
                  </pic:nvPicPr>
                  <pic:blipFill>
                    <a:blip r:embed="rId34"/>
                    <a:stretch>
                      <a:fillRect/>
                    </a:stretch>
                  </pic:blipFill>
                  <pic:spPr>
                    <a:xfrm>
                      <a:off x="0" y="0"/>
                      <a:ext cx="4846320" cy="2592144"/>
                    </a:xfrm>
                    <a:prstGeom prst="rect"/>
                  </pic:spPr>
                </pic:pic>
              </a:graphicData>
            </a:graphic>
          </wp:inline>
        </w:drawing>
      </w:r>
    </w:p>
    <w:p>
      <w:pPr>
        <w:spacing w:after="160"/>
        <w:jc w:val="center"/>
      </w:pPr>
      <w:r>
        <w:rPr>
          <w:b/>
          <w:sz w:val="21"/>
        </w:rPr>
        <w:t>Figure 4.23: Mean absolute SHAP value by race</w:t>
      </w:r>
    </w:p>
    <w:p>
      <w:pPr>
        <w:jc w:val="center"/>
      </w:pPr>
      <w:r>
        <w:drawing>
          <wp:inline xmlns:a="http://schemas.openxmlformats.org/drawingml/2006/main" xmlns:pic="http://schemas.openxmlformats.org/drawingml/2006/picture">
            <wp:extent cx="4754880" cy="2347742"/>
            <wp:docPr id="26" name="Picture 26"/>
            <wp:cNvGraphicFramePr>
              <a:graphicFrameLocks noChangeAspect="1"/>
            </wp:cNvGraphicFramePr>
            <a:graphic>
              <a:graphicData uri="http://schemas.openxmlformats.org/drawingml/2006/picture">
                <pic:pic>
                  <pic:nvPicPr>
                    <pic:cNvPr id="0" name="16_risk_gap_decomposition.png"/>
                    <pic:cNvPicPr/>
                  </pic:nvPicPr>
                  <pic:blipFill>
                    <a:blip r:embed="rId35"/>
                    <a:stretch>
                      <a:fillRect/>
                    </a:stretch>
                  </pic:blipFill>
                  <pic:spPr>
                    <a:xfrm>
                      <a:off x="0" y="0"/>
                      <a:ext cx="4754880" cy="2347742"/>
                    </a:xfrm>
                    <a:prstGeom prst="rect"/>
                  </pic:spPr>
                </pic:pic>
              </a:graphicData>
            </a:graphic>
          </wp:inline>
        </w:drawing>
      </w:r>
    </w:p>
    <w:p>
      <w:pPr>
        <w:spacing w:after="160"/>
        <w:jc w:val="center"/>
      </w:pPr>
      <w:r>
        <w:rPr>
          <w:b/>
          <w:sz w:val="21"/>
        </w:rPr>
        <w:t>Figure 4.24: Contributions to the Black-minus-White gap in mean model score</w:t>
      </w:r>
    </w:p>
    <w:p>
      <w:pPr>
        <w:jc w:val="center"/>
      </w:pPr>
      <w:r>
        <w:drawing>
          <wp:inline xmlns:a="http://schemas.openxmlformats.org/drawingml/2006/main" xmlns:pic="http://schemas.openxmlformats.org/drawingml/2006/picture">
            <wp:extent cx="5577840" cy="2280196"/>
            <wp:docPr id="27" name="Picture 27"/>
            <wp:cNvGraphicFramePr>
              <a:graphicFrameLocks noChangeAspect="1"/>
            </wp:cNvGraphicFramePr>
            <a:graphic>
              <a:graphicData uri="http://schemas.openxmlformats.org/drawingml/2006/picture">
                <pic:pic>
                  <pic:nvPicPr>
                    <pic:cNvPr id="0" name="17_missed_deaths_profile.png"/>
                    <pic:cNvPicPr/>
                  </pic:nvPicPr>
                  <pic:blipFill>
                    <a:blip r:embed="rId36"/>
                    <a:stretch>
                      <a:fillRect/>
                    </a:stretch>
                  </pic:blipFill>
                  <pic:spPr>
                    <a:xfrm>
                      <a:off x="0" y="0"/>
                      <a:ext cx="5577840" cy="2280196"/>
                    </a:xfrm>
                    <a:prstGeom prst="rect"/>
                  </pic:spPr>
                </pic:pic>
              </a:graphicData>
            </a:graphic>
          </wp:inline>
        </w:drawing>
      </w:r>
    </w:p>
    <w:p>
      <w:pPr>
        <w:spacing w:after="160"/>
        <w:jc w:val="center"/>
      </w:pPr>
      <w:r>
        <w:rPr>
          <w:b/>
          <w:sz w:val="21"/>
        </w:rPr>
        <w:t>Figure 4.25: Mean SHAP of caught and missed deaths by race</w:t>
      </w:r>
    </w:p>
    <w:p>
      <w:pPr>
        <w:jc w:val="center"/>
      </w:pPr>
      <w:r>
        <w:drawing>
          <wp:inline xmlns:a="http://schemas.openxmlformats.org/drawingml/2006/main" xmlns:pic="http://schemas.openxmlformats.org/drawingml/2006/picture">
            <wp:extent cx="4754880" cy="2446097"/>
            <wp:docPr id="28" name="Picture 28"/>
            <wp:cNvGraphicFramePr>
              <a:graphicFrameLocks noChangeAspect="1"/>
            </wp:cNvGraphicFramePr>
            <a:graphic>
              <a:graphicData uri="http://schemas.openxmlformats.org/drawingml/2006/picture">
                <pic:pic>
                  <pic:nvPicPr>
                    <pic:cNvPr id="0" name="18_shap_stability_black.png"/>
                    <pic:cNvPicPr/>
                  </pic:nvPicPr>
                  <pic:blipFill>
                    <a:blip r:embed="rId37"/>
                    <a:stretch>
                      <a:fillRect/>
                    </a:stretch>
                  </pic:blipFill>
                  <pic:spPr>
                    <a:xfrm>
                      <a:off x="0" y="0"/>
                      <a:ext cx="4754880" cy="2446097"/>
                    </a:xfrm>
                    <a:prstGeom prst="rect"/>
                  </pic:spPr>
                </pic:pic>
              </a:graphicData>
            </a:graphic>
          </wp:inline>
        </w:drawing>
      </w:r>
    </w:p>
    <w:p>
      <w:pPr>
        <w:spacing w:after="160"/>
        <w:jc w:val="center"/>
      </w:pPr>
      <w:r>
        <w:rPr>
          <w:b/>
          <w:sz w:val="21"/>
        </w:rPr>
        <w:t>Figure 4.26: Bootstrap stability of the importance rank among Black patients</w:t>
      </w:r>
    </w:p>
    <w:p>
      <w:pPr>
        <w:spacing w:after="120" w:line="276" w:lineRule="auto"/>
        <w:jc w:val="both"/>
      </w:pPr>
      <w:r>
        <w:rPr>
          <w:b w:val="0"/>
          <w:i w:val="0"/>
        </w:rPr>
        <w:t>Mitigation changes explanations moderately: the rank correlation of global importance between the race-aware model and the race-blind and reweighed models is 0.95 and 0.98 (Figure 4.27).</w:t>
      </w:r>
    </w:p>
    <w:p>
      <w:pPr>
        <w:jc w:val="center"/>
      </w:pPr>
      <w:r>
        <w:drawing>
          <wp:inline xmlns:a="http://schemas.openxmlformats.org/drawingml/2006/main" xmlns:pic="http://schemas.openxmlformats.org/drawingml/2006/picture">
            <wp:extent cx="4754880" cy="2498848"/>
            <wp:docPr id="29" name="Picture 29"/>
            <wp:cNvGraphicFramePr>
              <a:graphicFrameLocks noChangeAspect="1"/>
            </wp:cNvGraphicFramePr>
            <a:graphic>
              <a:graphicData uri="http://schemas.openxmlformats.org/drawingml/2006/picture">
                <pic:pic>
                  <pic:nvPicPr>
                    <pic:cNvPr id="0" name="19_explanations_under_mitigation.png"/>
                    <pic:cNvPicPr/>
                  </pic:nvPicPr>
                  <pic:blipFill>
                    <a:blip r:embed="rId38"/>
                    <a:stretch>
                      <a:fillRect/>
                    </a:stretch>
                  </pic:blipFill>
                  <pic:spPr>
                    <a:xfrm>
                      <a:off x="0" y="0"/>
                      <a:ext cx="4754880" cy="2498848"/>
                    </a:xfrm>
                    <a:prstGeom prst="rect"/>
                  </pic:spPr>
                </pic:pic>
              </a:graphicData>
            </a:graphic>
          </wp:inline>
        </w:drawing>
      </w:r>
    </w:p>
    <w:p>
      <w:pPr>
        <w:spacing w:after="160"/>
        <w:jc w:val="center"/>
      </w:pPr>
      <w:r>
        <w:rPr>
          <w:b/>
          <w:sz w:val="21"/>
        </w:rPr>
        <w:t>Figure 4.27: Feature importance of the race-aware, race-blind and reweighed models</w:t>
      </w:r>
    </w:p>
    <w:p>
      <w:pPr>
        <w:pStyle w:val="Heading2"/>
      </w:pPr>
      <w:r>
        <w:t>4.9 The audit-hardened specification</w:t>
      </w:r>
    </w:p>
    <w:p>
      <w:pPr>
        <w:spacing w:after="160"/>
      </w:pPr>
      <w:r>
        <w:rPr>
          <w:b/>
          <w:sz w:val="21"/>
        </w:rPr>
        <w:t>Table 4.14: As-specified versus audit-hardened specification (5 x 5 CV; fairness on White and Black patients)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shd w:val="clear" w:color="auto" w:fill="E8ECF1"/>
          </w:tcPr>
          <w:p>
            <w:r/>
            <w:r>
              <w:rPr>
                <w:b/>
                <w:sz w:val="15"/>
              </w:rPr>
              <w:t>Specification</w:t>
            </w:r>
          </w:p>
        </w:tc>
        <w:tc>
          <w:tcPr>
            <w:tcW w:type="dxa" w:w="720"/>
            <w:shd w:val="clear" w:color="auto" w:fill="E8ECF1"/>
          </w:tcPr>
          <w:p>
            <w:r/>
            <w:r>
              <w:rPr>
                <w:b/>
                <w:sz w:val="15"/>
              </w:rPr>
              <w:t>AUC-ROC</w:t>
            </w:r>
          </w:p>
        </w:tc>
        <w:tc>
          <w:tcPr>
            <w:tcW w:type="dxa" w:w="720"/>
            <w:shd w:val="clear" w:color="auto" w:fill="E8ECF1"/>
          </w:tcPr>
          <w:p>
            <w:r/>
            <w:r>
              <w:rPr>
                <w:b/>
                <w:sz w:val="15"/>
              </w:rPr>
              <w:t>PR-AUC</w:t>
            </w:r>
          </w:p>
        </w:tc>
        <w:tc>
          <w:tcPr>
            <w:tcW w:type="dxa" w:w="720"/>
            <w:shd w:val="clear" w:color="auto" w:fill="E8ECF1"/>
          </w:tcPr>
          <w:p>
            <w:r/>
            <w:r>
              <w:rPr>
                <w:b/>
                <w:sz w:val="15"/>
              </w:rPr>
              <w:t>Recall</w:t>
            </w:r>
          </w:p>
        </w:tc>
        <w:tc>
          <w:tcPr>
            <w:tcW w:type="dxa" w:w="864"/>
            <w:shd w:val="clear" w:color="auto" w:fill="E8ECF1"/>
          </w:tcPr>
          <w:p>
            <w:r/>
            <w:r>
              <w:rPr>
                <w:b/>
                <w:sz w:val="15"/>
              </w:rPr>
              <w:t>Precision</w:t>
            </w:r>
          </w:p>
        </w:tc>
        <w:tc>
          <w:tcPr>
            <w:tcW w:type="dxa" w:w="720"/>
            <w:shd w:val="clear" w:color="auto" w:fill="E8ECF1"/>
          </w:tcPr>
          <w:p>
            <w:r/>
            <w:r>
              <w:rPr>
                <w:b/>
                <w:sz w:val="15"/>
              </w:rPr>
              <w:t>Flagged</w:t>
            </w:r>
          </w:p>
        </w:tc>
        <w:tc>
          <w:tcPr>
            <w:tcW w:type="dxa" w:w="1584"/>
            <w:shd w:val="clear" w:color="auto" w:fill="E8ECF1"/>
          </w:tcPr>
          <w:p>
            <w:r/>
            <w:r>
              <w:rPr>
                <w:b/>
                <w:sz w:val="15"/>
              </w:rPr>
              <w:t>Recall gap</w:t>
            </w:r>
          </w:p>
        </w:tc>
        <w:tc>
          <w:tcPr>
            <w:tcW w:type="dxa" w:w="1584"/>
            <w:shd w:val="clear" w:color="auto" w:fill="E8ECF1"/>
          </w:tcPr>
          <w:p>
            <w:r/>
            <w:r>
              <w:rPr>
                <w:b/>
                <w:sz w:val="15"/>
              </w:rPr>
              <w:t>False-alarm gap</w:t>
            </w:r>
          </w:p>
        </w:tc>
        <w:tc>
          <w:tcPr>
            <w:tcW w:type="dxa" w:w="1296"/>
            <w:shd w:val="clear" w:color="auto" w:fill="E8ECF1"/>
          </w:tcPr>
          <w:p>
            <w:r/>
            <w:r>
              <w:rPr>
                <w:b/>
                <w:sz w:val="15"/>
              </w:rPr>
              <w:t>Top SHAP feature</w:t>
            </w:r>
          </w:p>
        </w:tc>
      </w:tr>
      <w:tr>
        <w:tc>
          <w:tcPr>
            <w:tcW w:type="dxa" w:w="1584"/>
          </w:tcPr>
          <w:p>
            <w:r/>
            <w:r>
              <w:rPr>
                <w:sz w:val="15"/>
              </w:rPr>
              <w:t>As specified (Table 3.2)</w:t>
            </w:r>
          </w:p>
        </w:tc>
        <w:tc>
          <w:tcPr>
            <w:tcW w:type="dxa" w:w="720"/>
          </w:tcPr>
          <w:p>
            <w:r/>
            <w:r>
              <w:rPr>
                <w:sz w:val="15"/>
              </w:rPr>
              <w:t>0.747</w:t>
            </w:r>
          </w:p>
        </w:tc>
        <w:tc>
          <w:tcPr>
            <w:tcW w:type="dxa" w:w="720"/>
          </w:tcPr>
          <w:p>
            <w:r/>
            <w:r>
              <w:rPr>
                <w:sz w:val="15"/>
              </w:rPr>
              <w:t>0.457</w:t>
            </w:r>
          </w:p>
        </w:tc>
        <w:tc>
          <w:tcPr>
            <w:tcW w:type="dxa" w:w="720"/>
          </w:tcPr>
          <w:p>
            <w:r/>
            <w:r>
              <w:rPr>
                <w:sz w:val="15"/>
              </w:rPr>
              <w:t>79.2%</w:t>
            </w:r>
          </w:p>
        </w:tc>
        <w:tc>
          <w:tcPr>
            <w:tcW w:type="dxa" w:w="864"/>
          </w:tcPr>
          <w:p>
            <w:r/>
            <w:r>
              <w:rPr>
                <w:sz w:val="15"/>
              </w:rPr>
              <w:t>20.2%</w:t>
            </w:r>
          </w:p>
        </w:tc>
        <w:tc>
          <w:tcPr>
            <w:tcW w:type="dxa" w:w="720"/>
          </w:tcPr>
          <w:p>
            <w:r/>
            <w:r>
              <w:rPr>
                <w:sz w:val="15"/>
              </w:rPr>
              <w:t>55%</w:t>
            </w:r>
          </w:p>
        </w:tc>
        <w:tc>
          <w:tcPr>
            <w:tcW w:type="dxa" w:w="1584"/>
          </w:tcPr>
          <w:p>
            <w:r/>
            <w:r>
              <w:rPr>
                <w:sz w:val="15"/>
              </w:rPr>
              <w:t>+7.2 pp (95% CI -4.2 to +17.0)</w:t>
            </w:r>
          </w:p>
        </w:tc>
        <w:tc>
          <w:tcPr>
            <w:tcW w:type="dxa" w:w="1584"/>
          </w:tcPr>
          <w:p>
            <w:r/>
            <w:r>
              <w:rPr>
                <w:sz w:val="15"/>
              </w:rPr>
              <w:t>+1.4 pp (95% CI -6.6 to +8.9)</w:t>
            </w:r>
          </w:p>
        </w:tc>
        <w:tc>
          <w:tcPr>
            <w:tcW w:type="dxa" w:w="1296"/>
          </w:tcPr>
          <w:p>
            <w:r/>
            <w:r>
              <w:rPr>
                <w:sz w:val="15"/>
              </w:rPr>
              <w:t>Radiation therapy</w:t>
            </w:r>
          </w:p>
        </w:tc>
      </w:tr>
      <w:tr>
        <w:tc>
          <w:tcPr>
            <w:tcW w:type="dxa" w:w="1584"/>
          </w:tcPr>
          <w:p>
            <w:r/>
            <w:r>
              <w:rPr>
                <w:sz w:val="15"/>
              </w:rPr>
              <w:t>Audit-hardened</w:t>
            </w:r>
          </w:p>
        </w:tc>
        <w:tc>
          <w:tcPr>
            <w:tcW w:type="dxa" w:w="720"/>
          </w:tcPr>
          <w:p>
            <w:r/>
            <w:r>
              <w:rPr>
                <w:sz w:val="15"/>
              </w:rPr>
              <w:t>0.662</w:t>
            </w:r>
          </w:p>
        </w:tc>
        <w:tc>
          <w:tcPr>
            <w:tcW w:type="dxa" w:w="720"/>
          </w:tcPr>
          <w:p>
            <w:r/>
            <w:r>
              <w:rPr>
                <w:sz w:val="15"/>
              </w:rPr>
              <w:t>0.307</w:t>
            </w:r>
          </w:p>
        </w:tc>
        <w:tc>
          <w:tcPr>
            <w:tcW w:type="dxa" w:w="720"/>
          </w:tcPr>
          <w:p>
            <w:r/>
            <w:r>
              <w:rPr>
                <w:sz w:val="15"/>
              </w:rPr>
              <w:t>81.2%</w:t>
            </w:r>
          </w:p>
        </w:tc>
        <w:tc>
          <w:tcPr>
            <w:tcW w:type="dxa" w:w="864"/>
          </w:tcPr>
          <w:p>
            <w:r/>
            <w:r>
              <w:rPr>
                <w:sz w:val="15"/>
              </w:rPr>
              <w:t>17.5%</w:t>
            </w:r>
          </w:p>
        </w:tc>
        <w:tc>
          <w:tcPr>
            <w:tcW w:type="dxa" w:w="720"/>
          </w:tcPr>
          <w:p>
            <w:r/>
            <w:r>
              <w:rPr>
                <w:sz w:val="15"/>
              </w:rPr>
              <w:t>64%</w:t>
            </w:r>
          </w:p>
        </w:tc>
        <w:tc>
          <w:tcPr>
            <w:tcW w:type="dxa" w:w="1584"/>
          </w:tcPr>
          <w:p>
            <w:r/>
            <w:r>
              <w:rPr>
                <w:sz w:val="15"/>
              </w:rPr>
              <w:t>+2.0 pp (95% CI -10.3 to +14.4)</w:t>
            </w:r>
          </w:p>
        </w:tc>
        <w:tc>
          <w:tcPr>
            <w:tcW w:type="dxa" w:w="1584"/>
          </w:tcPr>
          <w:p>
            <w:r/>
            <w:r>
              <w:rPr>
                <w:sz w:val="15"/>
              </w:rPr>
              <w:t>+5.0 pp (95% CI -1.5 to +11.4)</w:t>
            </w:r>
          </w:p>
        </w:tc>
        <w:tc>
          <w:tcPr>
            <w:tcW w:type="dxa" w:w="1296"/>
          </w:tcPr>
          <w:p>
            <w:r/>
            <w:r>
              <w:rPr>
                <w:sz w:val="15"/>
              </w:rPr>
              <w:t>Age at diagnosis</w:t>
            </w:r>
          </w:p>
        </w:tc>
      </w:tr>
    </w:tbl>
    <w:p>
      <w:pPr>
        <w:spacing w:after="80"/>
      </w:pPr>
    </w:p>
    <w:p>
      <w:pPr>
        <w:spacing w:after="120" w:line="276" w:lineRule="auto"/>
        <w:jc w:val="both"/>
      </w:pPr>
      <w:r>
        <w:rPr>
          <w:b w:val="0"/>
          <w:i w:val="0"/>
        </w:rPr>
        <w:t>Without the documentation artefacts the model is a clinically cleaner but weaker one: cross-validated AUC-ROC falls from 0.747 to 0.662 and PR-AUC from 0.457 to 0.307 (no-skill 0.139); at the same 80 % recall target it must flag 64% of patients with a precision of 18%, at or above the floor of 0.17. On the hold-out set its AUC-ROC is 0.72 (0.62-0.81) and recall 0.90 (0.78-1.00). Its leading SHAP feature is Age at diagnosis, a clinical factor; the top five are Age at diagnosis, Nodal status (N, NX=N0), Race: Asian, PAM50: Luminal A, Distant metastasis (M, MX=M0). Its explanations are less stable than those of the as-specified model (rank correlation across fold models 0.79 against 0.90). Its fairness picture: recall gap +2.0 points (95% CI -10.3 to +14.4); false-alarm gap +5.0 points (95% CI -1.5 to +11.4). Within the hardened specification the equalised-odds differences by strategy are: baseline (race-aware) 5.0%; race-blind 2.7%; reweighing 2.7%; group thresholds 5.7%; reweighing + group thresholds 4.1%.</w:t>
      </w:r>
    </w:p>
    <w:p>
      <w:pPr>
        <w:jc w:val="center"/>
      </w:pPr>
      <w:r>
        <w:drawing>
          <wp:inline xmlns:a="http://schemas.openxmlformats.org/drawingml/2006/main" xmlns:pic="http://schemas.openxmlformats.org/drawingml/2006/picture">
            <wp:extent cx="5486400" cy="2440663"/>
            <wp:docPr id="30" name="Picture 30"/>
            <wp:cNvGraphicFramePr>
              <a:graphicFrameLocks noChangeAspect="1"/>
            </wp:cNvGraphicFramePr>
            <a:graphic>
              <a:graphicData uri="http://schemas.openxmlformats.org/drawingml/2006/picture">
                <pic:pic>
                  <pic:nvPicPr>
                    <pic:cNvPr id="0" name="05_rates_by_race.png"/>
                    <pic:cNvPicPr/>
                  </pic:nvPicPr>
                  <pic:blipFill>
                    <a:blip r:embed="rId39"/>
                    <a:stretch>
                      <a:fillRect/>
                    </a:stretch>
                  </pic:blipFill>
                  <pic:spPr>
                    <a:xfrm>
                      <a:off x="0" y="0"/>
                      <a:ext cx="5486400" cy="2440663"/>
                    </a:xfrm>
                    <a:prstGeom prst="rect"/>
                  </pic:spPr>
                </pic:pic>
              </a:graphicData>
            </a:graphic>
          </wp:inline>
        </w:drawing>
      </w:r>
    </w:p>
    <w:p>
      <w:pPr>
        <w:spacing w:after="160"/>
        <w:jc w:val="center"/>
      </w:pPr>
      <w:r>
        <w:rPr>
          <w:b/>
          <w:sz w:val="21"/>
        </w:rPr>
        <w:t>Figure 4.28: Hardened specification: recall and false-alarm rate by race</w:t>
      </w:r>
    </w:p>
    <w:p>
      <w:pPr>
        <w:jc w:val="center"/>
      </w:pPr>
      <w:r>
        <w:drawing>
          <wp:inline xmlns:a="http://schemas.openxmlformats.org/drawingml/2006/main" xmlns:pic="http://schemas.openxmlformats.org/drawingml/2006/picture">
            <wp:extent cx="4754880" cy="2327250"/>
            <wp:docPr id="31" name="Picture 31"/>
            <wp:cNvGraphicFramePr>
              <a:graphicFrameLocks noChangeAspect="1"/>
            </wp:cNvGraphicFramePr>
            <a:graphic>
              <a:graphicData uri="http://schemas.openxmlformats.org/drawingml/2006/picture">
                <pic:pic>
                  <pic:nvPicPr>
                    <pic:cNvPr id="0" name="12_shap_beeswarm.png"/>
                    <pic:cNvPicPr/>
                  </pic:nvPicPr>
                  <pic:blipFill>
                    <a:blip r:embed="rId40"/>
                    <a:stretch>
                      <a:fillRect/>
                    </a:stretch>
                  </pic:blipFill>
                  <pic:spPr>
                    <a:xfrm>
                      <a:off x="0" y="0"/>
                      <a:ext cx="4754880" cy="2327250"/>
                    </a:xfrm>
                    <a:prstGeom prst="rect"/>
                  </pic:spPr>
                </pic:pic>
              </a:graphicData>
            </a:graphic>
          </wp:inline>
        </w:drawing>
      </w:r>
    </w:p>
    <w:p>
      <w:pPr>
        <w:spacing w:after="160"/>
        <w:jc w:val="center"/>
      </w:pPr>
      <w:r>
        <w:rPr>
          <w:b/>
          <w:sz w:val="21"/>
        </w:rPr>
        <w:t>Figure 4.29: Hardened specification: SHAP summary</w:t>
      </w:r>
    </w:p>
    <w:p>
      <w:pPr>
        <w:pStyle w:val="Heading2"/>
      </w:pPr>
      <w:r>
        <w:t>4.10 Dashboard, user-study kit and conceptual framework (Objectives 4 and 5)</w:t>
      </w:r>
    </w:p>
    <w:p>
      <w:pPr>
        <w:spacing w:after="120" w:line="276" w:lineRule="auto"/>
        <w:jc w:val="both"/>
      </w:pPr>
      <w:r>
        <w:rPr>
          <w:b w:val="0"/>
          <w:i w:val="0"/>
        </w:rPr>
        <w:t>The Streamlit dashboard (app.py) lets a reviewer switch between the two specifications; enter a patient (including "not recorded" for radiation, race or N / M and watch the as-specified score move); choose any of the five strategies; read the score, the threshold that applies and the SHAP waterfall; inspect hold-out metrics with confidence intervals, confusion matrices, baselines and the threshold rules; explore recall and false-alarm rates by race under a global or group-specific threshold; examine explanation quality and the race check; and read the data audit. Objective 4 is delivered as an instrument: 12 case cards in two conditions, a counterbalanced design for 24 participant slots, a questionnaire, a response template and an analysis script (Wilcoxon signed-rank with Holm correction, rank-biserial effect sizes), self-tested on synthetic data. No physician data were collected, so no claim about trust or understanding is made. Objective 5 is the framework of Section 3.2.9.</w:t>
      </w:r>
    </w:p>
    <w:p>
      <w:pPr>
        <w:pStyle w:val="Heading2"/>
      </w:pPr>
      <w:r>
        <w:t>4.11 Discussion</w:t>
      </w:r>
    </w:p>
    <w:p>
      <w:pPr>
        <w:spacing w:after="120" w:line="276" w:lineRule="auto"/>
        <w:jc w:val="both"/>
      </w:pPr>
      <w:r>
        <w:rPr>
          <w:b w:val="0"/>
          <w:i w:val="0"/>
        </w:rPr>
        <w:t>Three findings stand out. First, the predictor list of the revised proposal performs better than it should. Its AUC-ROC of 0.75 is roughly 8 points above a clinically cleaner specification, and the leading SHAP feature is radiation therapy, whose blanks track death. The explanation is faithful and stable, and it tells the reader something uncomfortable: what the model has learned is partly how the registry was filled in. Second, predictive performance is respectable for clinical covariates alone, comparable across XGBoost, logistic regression and a random forest, and the recall-first requirement has a visible price: to catch four in five deaths the model flags about half of all patients, and only about one in five of them dies. Third, the fairness evidence is inconclusive rather than reassuring. No gap is statistically distinguishable from zero, but the recall-gap interval is about ±11 points wide. Mitigation is not free: removing race or reweighing lowers Black recall in exchange for fewer false alarms, while group thresholds keep both gaps near zero without a demonstrable advantage over the baseline. Documentation differences between groups (more MX codes among Black patients, race not recorded) are themselves a source of group-specific scoring.</w:t>
      </w:r>
    </w:p>
    <w:p>
      <w:pPr>
        <w:spacing w:after="120" w:line="276" w:lineRule="auto"/>
        <w:jc w:val="both"/>
      </w:pPr>
      <w:r>
        <w:rPr>
          <w:b w:val="0"/>
          <w:i w:val="0"/>
        </w:rPr>
        <w:t>These results echo Obermeyer et al. (2019) and Rajkomar et al. (2018): disparities in medical algorithms usually enter through the data and the label, and the first remedy is to audit with the right metric and the right uncertainty. For the thesis, the pragmatic position is to report the as-specified model as the approved design, to show the audit-hardened one beside it, and to recommend that the proposal's Table 3.2 be amended before any further use.</w:t>
      </w:r>
    </w:p>
    <w:p>
      <w:r>
        <w:br w:type="page"/>
      </w:r>
    </w:p>
    <w:p>
      <w:pPr>
        <w:pStyle w:val="Heading1"/>
      </w:pPr>
      <w:r>
        <w:t>5.0 Conclusions</w:t>
      </w:r>
    </w:p>
    <w:p>
      <w:pPr>
        <w:pStyle w:val="Heading2"/>
      </w:pPr>
      <w:r>
        <w:t>5.1 Summary of the study</w:t>
      </w:r>
    </w:p>
    <w:p>
      <w:pPr>
        <w:spacing w:after="120" w:line="276" w:lineRule="auto"/>
        <w:jc w:val="both"/>
      </w:pPr>
      <w:r>
        <w:rPr>
          <w:b w:val="0"/>
          <w:i w:val="0"/>
        </w:rPr>
        <w:t>This study built an XGBoost classifier that predicts death during follow-up among 1,084 TCGA-BRCA patients from baseline clinicopathological data, with a recall-first threshold, explained it with SHAP, audited its inputs, and tested whether it treats Black and White patients equally. The model reaches a cross-validated AUC-ROC of 0.75 and catches 79% of deaths while flagging 55% of patients. Part of that performance is documentation: a hardened specification has an AUC-ROC of 0.66. SHAP explanations are faithful and stable but, for the as-specified model, led by a treatment-documentation field. The fairness audit finds no statistically detectable gap and no mitigation that is demonstrably better than the baseline.</w:t>
      </w:r>
    </w:p>
    <w:p>
      <w:pPr>
        <w:pStyle w:val="Heading2"/>
      </w:pPr>
      <w:r>
        <w:t>5.2 Conclusions per objective</w:t>
      </w:r>
    </w:p>
    <w:p>
      <w:pPr>
        <w:pStyle w:val="ListBullet"/>
        <w:spacing w:after="40"/>
      </w:pPr>
      <w:r>
        <w:rPr>
          <w:b/>
        </w:rPr>
        <w:t xml:space="preserve">Objective 1 (develop and optimise the classifier). </w:t>
      </w:r>
      <w:r>
        <w:t>A depth-2, 299-tree XGBoost with class weighting, monotone staging constraints and a threshold that catches 80 % of deaths was tuned by repeated cross-validation; the training, cross-validated and hold-out AUCs show no material overfitting.</w:t>
      </w:r>
    </w:p>
    <w:p>
      <w:pPr>
        <w:pStyle w:val="ListBullet"/>
        <w:spacing w:after="40"/>
      </w:pPr>
      <w:r>
        <w:rPr>
          <w:b/>
        </w:rPr>
        <w:t xml:space="preserve">Objective 2 (evaluate and benchmark). </w:t>
      </w:r>
      <w:r>
        <w:t>Hold-out recall 0.70 (0.53-0.85), AUC-ROC 0.77 (0.66-0.86), PR-AUC 0.47 (0.30-0.66) (no-skill 0.14), accuracy 0.64 against 0.86 for always predicting living. Logistic regression and a random forest perform alike; stage alone does not.</w:t>
      </w:r>
    </w:p>
    <w:p>
      <w:pPr>
        <w:pStyle w:val="ListBullet"/>
        <w:spacing w:after="40"/>
      </w:pPr>
      <w:r>
        <w:rPr>
          <w:b/>
        </w:rPr>
        <w:t xml:space="preserve">Objective 3 (SHAP). </w:t>
      </w:r>
      <w:r>
        <w:t>Explanations are faithful (exact), stable (rank correlation above 0.75) and agree with XGBoost's own importances; three of the top five features are established prognostic factors, and staging effects have the expected direction. The model leans on radiation-therapy documentation and on whether race was recorded.</w:t>
      </w:r>
    </w:p>
    <w:p>
      <w:pPr>
        <w:pStyle w:val="ListBullet"/>
        <w:spacing w:after="40"/>
      </w:pPr>
      <w:r>
        <w:rPr>
          <w:b/>
        </w:rPr>
        <w:t xml:space="preserve">Objective 4 (clinician trust). </w:t>
      </w:r>
      <w:r>
        <w:t>The study instrument and analysis are ready and tested on synthetic data; no clinician has responded, so no conclusion is drawn.</w:t>
      </w:r>
    </w:p>
    <w:p>
      <w:pPr>
        <w:pStyle w:val="ListBullet"/>
        <w:spacing w:after="40"/>
      </w:pPr>
      <w:r>
        <w:rPr>
          <w:b/>
        </w:rPr>
        <w:t xml:space="preserve">Objective 5 (framework). </w:t>
      </w:r>
      <w:r>
        <w:t>A pipeline framework places SHAP at two points, as a pre-deployment trust check and as a bedside explanation, with a governance gate for inputs and group-wise monitoring after deployment.</w:t>
      </w:r>
    </w:p>
    <w:p>
      <w:pPr>
        <w:pStyle w:val="ListBullet"/>
        <w:spacing w:after="40"/>
      </w:pPr>
      <w:r>
        <w:rPr>
          <w:b/>
        </w:rPr>
        <w:t xml:space="preserve">Extension (fairness). </w:t>
      </w:r>
      <w:r>
        <w:t>Recall gap +7.2 percentage points (95% CI -4.2 to +17.0); false-alarm gap +1.4 percentage points (95% CI -6.6 to +8.9). Race-blind and reweighed models lower Black recall, group thresholds keep gaps near zero without demonstrable benefit, and calibration is looser for Black patients.</w:t>
      </w:r>
    </w:p>
    <w:p>
      <w:pPr>
        <w:pStyle w:val="Heading2"/>
      </w:pPr>
      <w:r>
        <w:t>5.3 Contributions to knowledge</w:t>
      </w:r>
    </w:p>
    <w:p>
      <w:pPr>
        <w:pStyle w:val="ListBullet"/>
        <w:spacing w:after="40"/>
      </w:pPr>
      <w:r>
        <w:t>A worked, auditable example of recall-first prognostic modelling in oncology that reports the price of recall (precision, share flagged) and not only accuracy.</w:t>
      </w:r>
    </w:p>
    <w:p>
      <w:pPr>
        <w:pStyle w:val="ListBullet"/>
        <w:spacing w:after="40"/>
      </w:pPr>
      <w:r>
        <w:t>A leakage ladder and artefact ablation that quantify how much of a model's performance comes from documentation rather than biology, in a widely used TCGA table.</w:t>
      </w:r>
    </w:p>
    <w:p>
      <w:pPr>
        <w:pStyle w:val="ListBullet"/>
        <w:spacing w:after="40"/>
      </w:pPr>
      <w:r>
        <w:t>An explanation-quality protocol (fidelity, deletion, stability, clinical alignment, race attribution) that goes beyond showing SHAP plots.</w:t>
      </w:r>
    </w:p>
    <w:p>
      <w:pPr>
        <w:pStyle w:val="ListBullet"/>
        <w:spacing w:after="40"/>
      </w:pPr>
      <w:r>
        <w:t>A fairness protocol for very small subgroups: repeated cross-validation, in-fold thresholds, paired bootstrap comparison of mitigation strategies, settled-outcome and ancestry sensitivity analyses.</w:t>
      </w:r>
    </w:p>
    <w:p>
      <w:pPr>
        <w:pStyle w:val="ListBullet"/>
        <w:spacing w:after="40"/>
      </w:pPr>
      <w:r>
        <w:t>An open-source dashboard, model card, data audit and physician user-study kit tied to the thesis numbers.</w:t>
      </w:r>
    </w:p>
    <w:p>
      <w:pPr>
        <w:pStyle w:val="Heading2"/>
      </w:pPr>
      <w:r>
        <w:t>5.4 Limitations</w:t>
      </w:r>
    </w:p>
    <w:p>
      <w:pPr>
        <w:pStyle w:val="ListBullet"/>
        <w:spacing w:after="40"/>
      </w:pPr>
      <w:r>
        <w:t>Small group: 30 Black deaths; 6 in the hold-out set. Absence of a detectable gap is not evidence of fairness.</w:t>
      </w:r>
    </w:p>
    <w:p>
      <w:pPr>
        <w:pStyle w:val="ListBullet"/>
        <w:spacing w:after="40"/>
      </w:pPr>
      <w:r>
        <w:t>Censoring: a binary label ignores follow-up length; overall survival includes non-cancer deaths; treatment data other than radiation and neoadjuvant therapy are absent.</w:t>
      </w:r>
    </w:p>
    <w:p>
      <w:pPr>
        <w:pStyle w:val="ListBullet"/>
        <w:spacing w:after="40"/>
      </w:pPr>
      <w:r>
        <w:t>Documentation artefacts: the as-specified model exploits blank fields; the hardened model avoids them at a cost in AUC.</w:t>
      </w:r>
    </w:p>
    <w:p>
      <w:pPr>
        <w:pStyle w:val="ListBullet"/>
        <w:spacing w:after="40"/>
      </w:pPr>
      <w:r>
        <w:t>Single, predominantly European-ancestry cohort; no external validation. Race is a social variable and ancestry analysis is also small.</w:t>
      </w:r>
    </w:p>
    <w:p>
      <w:pPr>
        <w:pStyle w:val="ListBullet"/>
        <w:spacing w:after="40"/>
      </w:pPr>
      <w:r>
        <w:t>Mitigation scope: pre- and post-processing only; group thresholds need race at prediction time.</w:t>
      </w:r>
    </w:p>
    <w:p>
      <w:pPr>
        <w:pStyle w:val="ListBullet"/>
        <w:spacing w:after="40"/>
      </w:pPr>
      <w:r>
        <w:t>Objective 4 is not yet executed.</w:t>
      </w:r>
    </w:p>
    <w:p>
      <w:pPr>
        <w:pStyle w:val="Heading2"/>
      </w:pPr>
      <w:r>
        <w:t>5.5 Recommendations and future work</w:t>
      </w:r>
    </w:p>
    <w:p>
      <w:pPr>
        <w:pStyle w:val="ListBullet"/>
        <w:spacing w:after="40"/>
      </w:pPr>
      <w:r>
        <w:t>Amend Table 3.2 of the proposal before further use: drop radiation therapy (or replace it by a reliable treatment field), set NX and MX to their AJCC defaults, and handle unrecorded race explicitly; keep the as-specified model only as the documented primary analysis.</w:t>
      </w:r>
    </w:p>
    <w:p>
      <w:pPr>
        <w:pStyle w:val="ListBullet"/>
        <w:spacing w:after="40"/>
      </w:pPr>
      <w:r>
        <w:t>Define "acceptable precision" numerically in the thesis (here 1.25 times prevalence) and report precision and the share flagged next to recall.</w:t>
      </w:r>
    </w:p>
    <w:p>
      <w:pPr>
        <w:pStyle w:val="ListBullet"/>
        <w:spacing w:after="40"/>
      </w:pPr>
      <w:r>
        <w:t>Collect or federate more data for under-represented groups, with external validation; this is the only remedy for the central uncertainty.</w:t>
      </w:r>
    </w:p>
    <w:p>
      <w:pPr>
        <w:pStyle w:val="ListBullet"/>
        <w:spacing w:after="40"/>
      </w:pPr>
      <w:r>
        <w:t>Model time to event with censoring-aware methods (XGBoost Cox / AFT objectives) and add treatment and receptor variables.</w:t>
      </w:r>
    </w:p>
    <w:p>
      <w:pPr>
        <w:pStyle w:val="ListBullet"/>
        <w:spacing w:after="40"/>
      </w:pPr>
      <w:r>
        <w:t>Monitor group-wise recall and false-alarm rates with confidence intervals at every model update; avoid group-specific thresholds until each group has several hundred events.</w:t>
      </w:r>
    </w:p>
    <w:p>
      <w:pPr>
        <w:pStyle w:val="ListBullet"/>
        <w:spacing w:after="40"/>
      </w:pPr>
      <w:r>
        <w:t>Run the clinician study with the kit in the userstudy folder after ethical approval; pre-register trust and understandability as primary outcomes.</w:t>
      </w:r>
    </w:p>
    <w:p>
      <w:r>
        <w:br w:type="page"/>
      </w:r>
    </w:p>
    <w:p>
      <w:pPr>
        <w:pStyle w:val="Heading1"/>
      </w:pPr>
      <w:r>
        <w:t>References cited in Chapters 3, 4 and 5</w:t>
      </w:r>
    </w:p>
    <w:p>
      <w:pPr>
        <w:spacing w:after="120" w:line="276" w:lineRule="auto"/>
        <w:ind w:left="576" w:hanging="576"/>
        <w:jc w:val="both"/>
      </w:pPr>
      <w:r>
        <w:rPr>
          <w:b w:val="0"/>
          <w:i w:val="0"/>
        </w:rPr>
        <w:t>Akiba, T., Sano, S., Yanase, T., Ohta, T. and Koyama, M. (2019). Optuna: a next-generation hyperparameter optimization framework. Proceedings of the 25th ACM SIGKDD Conference, 2623-2631.</w:t>
      </w:r>
    </w:p>
    <w:p>
      <w:pPr>
        <w:spacing w:after="120" w:line="276" w:lineRule="auto"/>
        <w:ind w:left="576" w:hanging="576"/>
        <w:jc w:val="both"/>
      </w:pPr>
      <w:r>
        <w:rPr>
          <w:b w:val="0"/>
          <w:i w:val="0"/>
        </w:rPr>
        <w:t>Carrot-Zhang, J. et al. (2020). Comprehensive analysis of genetic ancestry and its molecular correlates in cancer. Cancer Cell, 37(5), 639-654.</w:t>
      </w:r>
    </w:p>
    <w:p>
      <w:pPr>
        <w:spacing w:after="120" w:line="276" w:lineRule="auto"/>
        <w:ind w:left="576" w:hanging="576"/>
        <w:jc w:val="both"/>
      </w:pPr>
      <w:r>
        <w:rPr>
          <w:b w:val="0"/>
          <w:i w:val="0"/>
        </w:rPr>
        <w:t>Cerami, E. et al. (2012). The cBio Cancer Genomics Portal: an open platform for exploring multidimensional cancer genomics data. Cancer Discovery, 2(5), 401-404.</w:t>
      </w:r>
    </w:p>
    <w:p>
      <w:pPr>
        <w:spacing w:after="120" w:line="276" w:lineRule="auto"/>
        <w:ind w:left="576" w:hanging="576"/>
        <w:jc w:val="both"/>
      </w:pPr>
      <w:r>
        <w:rPr>
          <w:b w:val="0"/>
          <w:i w:val="0"/>
        </w:rPr>
        <w:t>Chen, T. and Guestrin, C. (2016). XGBoost: a scalable tree boosting system. Proceedings of the 22nd ACM SIGKDD Conference, 785-794.</w:t>
      </w:r>
    </w:p>
    <w:p>
      <w:pPr>
        <w:spacing w:after="120" w:line="276" w:lineRule="auto"/>
        <w:ind w:left="576" w:hanging="576"/>
        <w:jc w:val="both"/>
      </w:pPr>
      <w:r>
        <w:rPr>
          <w:b w:val="0"/>
          <w:i w:val="0"/>
        </w:rPr>
        <w:t>DeSantis, C. E. et al. (2019). Breast cancer statistics, 2019. CA: A Cancer Journal for Clinicians, 69(6), 438-451.</w:t>
      </w:r>
    </w:p>
    <w:p>
      <w:pPr>
        <w:spacing w:after="120" w:line="276" w:lineRule="auto"/>
        <w:ind w:left="576" w:hanging="576"/>
        <w:jc w:val="both"/>
      </w:pPr>
      <w:r>
        <w:rPr>
          <w:b w:val="0"/>
          <w:i w:val="0"/>
        </w:rPr>
        <w:t>Efron, B. and Tibshirani, R. J. (1993). An Introduction to the Bootstrap. Chapman and Hall.</w:t>
      </w:r>
    </w:p>
    <w:p>
      <w:pPr>
        <w:spacing w:after="120" w:line="276" w:lineRule="auto"/>
        <w:ind w:left="576" w:hanging="576"/>
        <w:jc w:val="both"/>
      </w:pPr>
      <w:r>
        <w:rPr>
          <w:b w:val="0"/>
          <w:i w:val="0"/>
        </w:rPr>
        <w:t>Hardt, M., Price, E. and Srebro, N. (2016). Equality of opportunity in supervised learning. Advances in Neural Information Processing Systems 29.</w:t>
      </w:r>
    </w:p>
    <w:p>
      <w:pPr>
        <w:spacing w:after="120" w:line="276" w:lineRule="auto"/>
        <w:ind w:left="576" w:hanging="576"/>
        <w:jc w:val="both"/>
      </w:pPr>
      <w:r>
        <w:rPr>
          <w:b w:val="0"/>
          <w:i w:val="0"/>
        </w:rPr>
        <w:t>Hoffman, R. R., Mueller, S. T., Klein, G. and Litman, J. (2018). Metrics for explainable AI: challenges and prospects. arXiv:1812.04608.</w:t>
      </w:r>
    </w:p>
    <w:p>
      <w:pPr>
        <w:spacing w:after="120" w:line="276" w:lineRule="auto"/>
        <w:ind w:left="576" w:hanging="576"/>
        <w:jc w:val="both"/>
      </w:pPr>
      <w:r>
        <w:rPr>
          <w:b w:val="0"/>
          <w:i w:val="0"/>
        </w:rPr>
        <w:t>Kamiran, F. and Calders, T. (2012). Data preprocessing techniques for classification without discrimination. Knowledge and Information Systems, 33(1), 1-33.</w:t>
      </w:r>
    </w:p>
    <w:p>
      <w:pPr>
        <w:spacing w:after="120" w:line="276" w:lineRule="auto"/>
        <w:ind w:left="576" w:hanging="576"/>
        <w:jc w:val="both"/>
      </w:pPr>
      <w:r>
        <w:rPr>
          <w:b w:val="0"/>
          <w:i w:val="0"/>
        </w:rPr>
        <w:t>Kaufman, S., Rosset, S. and Perlich, C. (2011). Leakage in data mining: formulation, detection, and avoidance. Proceedings of the 17th ACM SIGKDD Conference, 556-563.</w:t>
      </w:r>
    </w:p>
    <w:p>
      <w:pPr>
        <w:spacing w:after="120" w:line="276" w:lineRule="auto"/>
        <w:ind w:left="576" w:hanging="576"/>
        <w:jc w:val="both"/>
      </w:pPr>
      <w:r>
        <w:rPr>
          <w:b w:val="0"/>
          <w:i w:val="0"/>
        </w:rPr>
        <w:t>Liu, J. et al. (2018). An integrated TCGA pan-cancer clinical data resource to drive high-quality survival outcome analytics. Cell, 173(2), 400-416.</w:t>
      </w:r>
    </w:p>
    <w:p>
      <w:pPr>
        <w:spacing w:after="120" w:line="276" w:lineRule="auto"/>
        <w:ind w:left="576" w:hanging="576"/>
        <w:jc w:val="both"/>
      </w:pPr>
      <w:r>
        <w:rPr>
          <w:b w:val="0"/>
          <w:i w:val="0"/>
        </w:rPr>
        <w:t>Lundberg, S. M. and Lee, S.-I. (2017). A unified approach to interpreting model predictions. Advances in Neural Information Processing Systems 30, 4765-4774.</w:t>
      </w:r>
    </w:p>
    <w:p>
      <w:pPr>
        <w:spacing w:after="120" w:line="276" w:lineRule="auto"/>
        <w:ind w:left="576" w:hanging="576"/>
        <w:jc w:val="both"/>
      </w:pPr>
      <w:r>
        <w:rPr>
          <w:b w:val="0"/>
          <w:i w:val="0"/>
        </w:rPr>
        <w:t>Lundberg, S. M. et al. (2020). From local explanations to global understanding with explainable AI for trees. Nature Machine Intelligence, 2(1), 56-67.</w:t>
      </w:r>
    </w:p>
    <w:p>
      <w:pPr>
        <w:spacing w:after="120" w:line="276" w:lineRule="auto"/>
        <w:ind w:left="576" w:hanging="576"/>
        <w:jc w:val="both"/>
      </w:pPr>
      <w:r>
        <w:rPr>
          <w:b w:val="0"/>
          <w:i w:val="0"/>
        </w:rPr>
        <w:t>Obermeyer, Z., Powers, B., Vogeli, C. and Mullainathan, S. (2019). Dissecting racial bias in an algorithm used to manage the health of populations. Science, 366(6464), 447-453.</w:t>
      </w:r>
    </w:p>
    <w:p>
      <w:pPr>
        <w:spacing w:after="120" w:line="276" w:lineRule="auto"/>
        <w:ind w:left="576" w:hanging="576"/>
        <w:jc w:val="both"/>
      </w:pPr>
      <w:r>
        <w:rPr>
          <w:b w:val="0"/>
          <w:i w:val="0"/>
        </w:rPr>
        <w:t>Parker, J. S. et al. (2009). Supervised risk predictor of breast cancer based on intrinsic subtypes. Journal of Clinical Oncology, 27(8), 1160-1167.</w:t>
      </w:r>
    </w:p>
    <w:p>
      <w:pPr>
        <w:spacing w:after="120" w:line="276" w:lineRule="auto"/>
        <w:ind w:left="576" w:hanging="576"/>
        <w:jc w:val="both"/>
      </w:pPr>
      <w:r>
        <w:rPr>
          <w:b w:val="0"/>
          <w:i w:val="0"/>
        </w:rPr>
        <w:t>Rajkomar, A., Hardt, M., Howell, M. D., Corrado, G. and Chin, M. H. (2018). Ensuring fairness in machine learning to advance health equity. Annals of Internal Medicine, 169(12), 866-872.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