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Northwind SQL Practice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Window Functions, CTEs &amp; Real Findings</w:t>
      </w:r>
    </w:p>
    <w:p>
      <w:pPr>
        <w:spacing w:after="150"/>
      </w:pPr>
      <w:r>
        <w:t xml:space="preserve">A targeted SQL practice project built on the classic Northwind database, focused on strengthening window functions, multi-step CTE logic, self-joins, and conditional aggregation — areas flagged as growth points after a run of earlier SQL portfolio projects (Netflix, Zomato, Amazon, Bank Customer Churn, NYC Taxi, Olist, Coffee Sales, Spotify+YouTube).</w:t>
      </w:r>
    </w:p>
    <w:p>
      <w:pPr>
        <w:spacing w:after="150"/>
      </w:pPr>
      <w:r>
        <w:t xml:space="preserve">This isn't just a task list — every query was run against the live database, and the findings below are pulled directly from the actual output.</w:t>
      </w:r>
    </w:p>
    <w:p>
      <w:pPr>
        <w:pStyle w:val="Heading1"/>
        <w:spacing w:after="150" w:before="300"/>
      </w:pPr>
      <w:r>
        <w:t xml:space="preserve">About the Dataset</w:t>
      </w:r>
    </w:p>
    <w:p>
      <w:pPr>
        <w:spacing w:after="150"/>
      </w:pPr>
      <w:r>
        <w:t xml:space="preserve">Northwind is a small, well-known e-commerce dataset used widely for teaching SQL. Core tables used in this project: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customers — </w:t>
      </w:r>
      <w:r>
        <w:t xml:space="preserve">client companies placing orders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orders — </w:t>
      </w:r>
      <w:r>
        <w:t xml:space="preserve">one row per order, linked to a customer and an employee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order_details — </w:t>
      </w:r>
      <w:r>
        <w:t xml:space="preserve">line items per order (one order can have many products)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products — </w:t>
      </w:r>
      <w:r>
        <w:t xml:space="preserve">product catalog, linked to a category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categories — </w:t>
      </w:r>
      <w:r>
        <w:t xml:space="preserve">product category names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employees — </w:t>
      </w:r>
      <w:r>
        <w:t xml:space="preserve">staff who handled orders</w:t>
      </w:r>
    </w:p>
    <w:p>
      <w:pPr>
        <w:spacing w:after="150"/>
      </w:pPr>
      <w:r>
        <w:t xml:space="preserve">Join path: customers → orders → order_details → products → categories, with employees joining directly to orders. An ERD is included alongside this document for reference.</w:t>
      </w:r>
    </w:p>
    <w:p>
      <w:pPr>
        <w:pStyle w:val="Heading1"/>
        <w:spacing w:after="150" w:before="300"/>
      </w:pPr>
      <w:r>
        <w:t xml:space="preserve">Skills Practiced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Window functions: </w:t>
      </w:r>
      <w:r>
        <w:t xml:space="preserve">RANK, DENSE_RANK, LAG, LEAD, running totals via SUM() OVER(), rolling averages with explicit frame clauses (ROWS BETWEEN 2 PRECEDING AND CURRENT ROW), FIRST_VALUE/LAST_VALUE (including the default-frame gotcha with LAST_VALUE), and NTILE for quartile bucketing.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CTEs: </w:t>
      </w:r>
      <w:r>
        <w:t xml:space="preserve">staged aggregate-then-window logic, multi-CTE chains for "true across every row in a group" checks (via MIN() on a binary flag), rank-then-filter patterns for top-N-per-group queries.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Joins: </w:t>
      </w:r>
      <w:r>
        <w:t xml:space="preserve">self-contained join chains across up to 5 tables, LEFT JOIN + IS NULL for anti-join ("never ordered") logic.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Conditional aggregation: </w:t>
      </w:r>
      <w:r>
        <w:t xml:space="preserve">CASE WHEN inside COUNT/AVG/SUM, careful denominator selection for percentage calculations.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Safe division: </w:t>
      </w:r>
      <w:r>
        <w:t xml:space="preserve">NULLIF to guard against divide-by-zero.</w:t>
      </w:r>
    </w:p>
    <w:p>
      <w:pPr>
        <w:pStyle w:val="Heading1"/>
        <w:spacing w:after="150" w:before="300"/>
      </w:pPr>
      <w:r>
        <w:t xml:space="preserve">Key Findings</w:t>
      </w:r>
    </w:p>
    <w:p>
      <w:pPr>
        <w:spacing w:after="150"/>
      </w:pPr>
      <w:r>
        <w:t xml:space="preserve">Across all customers, orders in this dataset total $1,265,793.04 in revenue.</w:t>
      </w:r>
    </w:p>
    <w:p>
      <w:pPr>
        <w:pStyle w:val="Heading2"/>
        <w:spacing w:after="100" w:before="240"/>
      </w:pPr>
      <w:r>
        <w:t xml:space="preserve">Revenue is concentrated in two categories (Task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00"/>
      </w:tblGrid>
      <w:tr>
        <w:trPr>
          <w:tblHeader/>
        </w:trPr>
        <w:tc>
          <w:tcPr>
            <w:tcW w:type="dxa" w:w="4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</w:tr>
      <w:tr>
        <w:tc>
          <w:tcPr>
            <w:tcW w:type="dxa" w:w="4000"/>
          </w:tcPr>
          <w:p>
            <w:r>
              <w:t xml:space="preserve">Beverages</w:t>
            </w:r>
          </w:p>
        </w:tc>
        <w:tc>
          <w:tcPr>
            <w:tcW w:type="dxa" w:w="3000"/>
          </w:tcPr>
          <w:p>
            <w:r>
              <w:t xml:space="preserve">$267,868.18</w:t>
            </w:r>
          </w:p>
        </w:tc>
        <w:tc>
          <w:tcPr>
            <w:tcW w:type="dxa" w:w="2000"/>
          </w:tcPr>
          <w:p>
            <w:r>
              <w:t xml:space="preserve">21.2%</w:t>
            </w:r>
          </w:p>
        </w:tc>
      </w:tr>
      <w:tr>
        <w:tc>
          <w:tcPr>
            <w:tcW w:type="dxa" w:w="4000"/>
          </w:tcPr>
          <w:p>
            <w:r>
              <w:t xml:space="preserve">Dairy Products</w:t>
            </w:r>
          </w:p>
        </w:tc>
        <w:tc>
          <w:tcPr>
            <w:tcW w:type="dxa" w:w="3000"/>
          </w:tcPr>
          <w:p>
            <w:r>
              <w:t xml:space="preserve">$234,507.28</w:t>
            </w:r>
          </w:p>
        </w:tc>
        <w:tc>
          <w:tcPr>
            <w:tcW w:type="dxa" w:w="2000"/>
          </w:tcPr>
          <w:p>
            <w:r>
              <w:t xml:space="preserve">18.5%</w:t>
            </w:r>
          </w:p>
        </w:tc>
      </w:tr>
      <w:tr>
        <w:tc>
          <w:tcPr>
            <w:tcW w:type="dxa" w:w="4000"/>
          </w:tcPr>
          <w:p>
            <w:r>
              <w:t xml:space="preserve">Confections</w:t>
            </w:r>
          </w:p>
        </w:tc>
        <w:tc>
          <w:tcPr>
            <w:tcW w:type="dxa" w:w="3000"/>
          </w:tcPr>
          <w:p>
            <w:r>
              <w:t xml:space="preserve">$167,357.23</w:t>
            </w:r>
          </w:p>
        </w:tc>
        <w:tc>
          <w:tcPr>
            <w:tcW w:type="dxa" w:w="2000"/>
          </w:tcPr>
          <w:p>
            <w:r>
              <w:t xml:space="preserve">13.2%</w:t>
            </w:r>
          </w:p>
        </w:tc>
      </w:tr>
      <w:tr>
        <w:tc>
          <w:tcPr>
            <w:tcW w:type="dxa" w:w="4000"/>
          </w:tcPr>
          <w:p>
            <w:r>
              <w:t xml:space="preserve">Meat/Poultry</w:t>
            </w:r>
          </w:p>
        </w:tc>
        <w:tc>
          <w:tcPr>
            <w:tcW w:type="dxa" w:w="3000"/>
          </w:tcPr>
          <w:p>
            <w:r>
              <w:t xml:space="preserve">$163,022.36</w:t>
            </w:r>
          </w:p>
        </w:tc>
        <w:tc>
          <w:tcPr>
            <w:tcW w:type="dxa" w:w="2000"/>
          </w:tcPr>
          <w:p>
            <w:r>
              <w:t xml:space="preserve">12.9%</w:t>
            </w:r>
          </w:p>
        </w:tc>
      </w:tr>
      <w:tr>
        <w:tc>
          <w:tcPr>
            <w:tcW w:type="dxa" w:w="4000"/>
          </w:tcPr>
          <w:p>
            <w:r>
              <w:t xml:space="preserve">Seafood</w:t>
            </w:r>
          </w:p>
        </w:tc>
        <w:tc>
          <w:tcPr>
            <w:tcW w:type="dxa" w:w="3000"/>
          </w:tcPr>
          <w:p>
            <w:r>
              <w:t xml:space="preserve">$131,261.74</w:t>
            </w:r>
          </w:p>
        </w:tc>
        <w:tc>
          <w:tcPr>
            <w:tcW w:type="dxa" w:w="2000"/>
          </w:tcPr>
          <w:p>
            <w:r>
              <w:t xml:space="preserve">10.4%</w:t>
            </w:r>
          </w:p>
        </w:tc>
      </w:tr>
      <w:tr>
        <w:tc>
          <w:tcPr>
            <w:tcW w:type="dxa" w:w="4000"/>
          </w:tcPr>
          <w:p>
            <w:r>
              <w:t xml:space="preserve">Condiments</w:t>
            </w:r>
          </w:p>
        </w:tc>
        <w:tc>
          <w:tcPr>
            <w:tcW w:type="dxa" w:w="3000"/>
          </w:tcPr>
          <w:p>
            <w:r>
              <w:t xml:space="preserve">$106,047.08</w:t>
            </w:r>
          </w:p>
        </w:tc>
        <w:tc>
          <w:tcPr>
            <w:tcW w:type="dxa" w:w="2000"/>
          </w:tcPr>
          <w:p>
            <w:r>
              <w:t xml:space="preserve">8.4%</w:t>
            </w:r>
          </w:p>
        </w:tc>
      </w:tr>
      <w:tr>
        <w:tc>
          <w:tcPr>
            <w:tcW w:type="dxa" w:w="4000"/>
          </w:tcPr>
          <w:p>
            <w:r>
              <w:t xml:space="preserve">Produce</w:t>
            </w:r>
          </w:p>
        </w:tc>
        <w:tc>
          <w:tcPr>
            <w:tcW w:type="dxa" w:w="3000"/>
          </w:tcPr>
          <w:p>
            <w:r>
              <w:t xml:space="preserve">$99,984.58</w:t>
            </w:r>
          </w:p>
        </w:tc>
        <w:tc>
          <w:tcPr>
            <w:tcW w:type="dxa" w:w="2000"/>
          </w:tcPr>
          <w:p>
            <w:r>
              <w:t xml:space="preserve">7.9%</w:t>
            </w:r>
          </w:p>
        </w:tc>
      </w:tr>
      <w:tr>
        <w:tc>
          <w:tcPr>
            <w:tcW w:type="dxa" w:w="4000"/>
          </w:tcPr>
          <w:p>
            <w:r>
              <w:t xml:space="preserve">Grains/Cereals</w:t>
            </w:r>
          </w:p>
        </w:tc>
        <w:tc>
          <w:tcPr>
            <w:tcW w:type="dxa" w:w="3000"/>
          </w:tcPr>
          <w:p>
            <w:r>
              <w:t xml:space="preserve">$95,744.59</w:t>
            </w:r>
          </w:p>
        </w:tc>
        <w:tc>
          <w:tcPr>
            <w:tcW w:type="dxa" w:w="2000"/>
          </w:tcPr>
          <w:p>
            <w:r>
              <w:t xml:space="preserve">7.6%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Beverages and Dairy Products alone account for nearly 40% of all revenue, despite being 2 of 8 categories.</w:t>
      </w:r>
    </w:p>
    <w:p>
      <w:pPr>
        <w:pStyle w:val="Heading2"/>
        <w:spacing w:after="100" w:before="240"/>
      </w:pPr>
      <w:r>
        <w:t xml:space="preserve">Discounting is fairly consistent across categories (Task 3)</w:t>
      </w:r>
    </w:p>
    <w:p>
      <w:pPr>
        <w:spacing w:after="150"/>
      </w:pPr>
      <w:r>
        <w:t xml:space="preserve">Average discount (among discounted line items only) ranges narrowly from 13% (Condiments) to 16% (Beverages) — no category stands out as being discounted dramatically more or less than the others, suggesting discounting isn't being used as a category-specific lever.</w:t>
      </w:r>
    </w:p>
    <w:p>
      <w:pPr>
        <w:pStyle w:val="Heading2"/>
        <w:spacing w:after="100" w:before="240"/>
      </w:pPr>
      <w:r>
        <w:t xml:space="preserve">Revenue is heavily concentrated among a small group of customers (Task 4)</w:t>
      </w:r>
    </w:p>
    <w:p>
      <w:pPr>
        <w:spacing w:after="150"/>
      </w:pPr>
      <w:r>
        <w:t xml:space="preserve">Of 89 customers, the top 3 alone generated over $319,000 — roughly a quarter of all revenue: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Rank</w:t>
            </w:r>
          </w:p>
        </w:tc>
        <w:tc>
          <w:tcPr>
            <w:tcW w:type="dxa" w:w="4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tcW w:type="dxa" w:w="38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Total Revenue</w:t>
            </w:r>
          </w:p>
        </w:tc>
      </w:tr>
      <w:tr>
        <w:tc>
          <w:tcPr>
            <w:tcW w:type="dxa" w:w="1200"/>
          </w:tcPr>
          <w:p>
            <w:r>
              <w:t xml:space="preserve">1</w:t>
            </w:r>
          </w:p>
        </w:tc>
        <w:tc>
          <w:tcPr>
            <w:tcW w:type="dxa" w:w="4000"/>
          </w:tcPr>
          <w:p>
            <w:r>
              <w:t xml:space="preserve">Horst Kloss</w:t>
            </w:r>
          </w:p>
        </w:tc>
        <w:tc>
          <w:tcPr>
            <w:tcW w:type="dxa" w:w="3800"/>
          </w:tcPr>
          <w:p>
            <w:r>
              <w:t xml:space="preserve">$110,277.31</w:t>
            </w:r>
          </w:p>
        </w:tc>
      </w:tr>
      <w:tr>
        <w:tc>
          <w:tcPr>
            <w:tcW w:type="dxa" w:w="1200"/>
          </w:tcPr>
          <w:p>
            <w:r>
              <w:t xml:space="preserve">2</w:t>
            </w:r>
          </w:p>
        </w:tc>
        <w:tc>
          <w:tcPr>
            <w:tcW w:type="dxa" w:w="4000"/>
          </w:tcPr>
          <w:p>
            <w:r>
              <w:t xml:space="preserve">Roland Mendel</w:t>
            </w:r>
          </w:p>
        </w:tc>
        <w:tc>
          <w:tcPr>
            <w:tcW w:type="dxa" w:w="3800"/>
          </w:tcPr>
          <w:p>
            <w:r>
              <w:t xml:space="preserve">$104,874.98</w:t>
            </w:r>
          </w:p>
        </w:tc>
      </w:tr>
      <w:tr>
        <w:tc>
          <w:tcPr>
            <w:tcW w:type="dxa" w:w="1200"/>
          </w:tcPr>
          <w:p>
            <w:r>
              <w:t xml:space="preserve">3</w:t>
            </w:r>
          </w:p>
        </w:tc>
        <w:tc>
          <w:tcPr>
            <w:tcW w:type="dxa" w:w="4000"/>
          </w:tcPr>
          <w:p>
            <w:r>
              <w:t xml:space="preserve">Jose Pavarotti</w:t>
            </w:r>
          </w:p>
        </w:tc>
        <w:tc>
          <w:tcPr>
            <w:tcW w:type="dxa" w:w="3800"/>
          </w:tcPr>
          <w:p>
            <w:r>
              <w:t xml:space="preserve">$104,361.95</w:t>
            </w:r>
          </w:p>
        </w:tc>
      </w:tr>
      <w:tr>
        <w:tc>
          <w:tcPr>
            <w:tcW w:type="dxa" w:w="1200"/>
          </w:tcPr>
          <w:p>
            <w:r>
              <w:t xml:space="preserve">4</w:t>
            </w:r>
          </w:p>
        </w:tc>
        <w:tc>
          <w:tcPr>
            <w:tcW w:type="dxa" w:w="4000"/>
          </w:tcPr>
          <w:p>
            <w:r>
              <w:t xml:space="preserve">Paula Wilson</w:t>
            </w:r>
          </w:p>
        </w:tc>
        <w:tc>
          <w:tcPr>
            <w:tcW w:type="dxa" w:w="3800"/>
          </w:tcPr>
          <w:p>
            <w:r>
              <w:t xml:space="preserve">$51,097.80</w:t>
            </w:r>
          </w:p>
        </w:tc>
      </w:tr>
      <w:tr>
        <w:tc>
          <w:tcPr>
            <w:tcW w:type="dxa" w:w="1200"/>
          </w:tcPr>
          <w:p>
            <w:r>
              <w:t xml:space="preserve">5</w:t>
            </w:r>
          </w:p>
        </w:tc>
        <w:tc>
          <w:tcPr>
            <w:tcW w:type="dxa" w:w="4000"/>
          </w:tcPr>
          <w:p>
            <w:r>
              <w:t xml:space="preserve">Patricia McKenna</w:t>
            </w:r>
          </w:p>
        </w:tc>
        <w:tc>
          <w:tcPr>
            <w:tcW w:type="dxa" w:w="3800"/>
          </w:tcPr>
          <w:p>
            <w:r>
              <w:t xml:space="preserve">$49,979.91</w:t>
            </w:r>
          </w:p>
        </w:tc>
      </w:tr>
    </w:tbl>
    <w:p>
      <w:pPr>
        <w:spacing w:after="150"/>
      </w:pPr>
    </w:p>
    <w:p>
      <w:pPr>
        <w:spacing w:after="150"/>
      </w:pPr>
      <w:r>
        <w:t xml:space="preserve">There's a steep cliff after the top 3 — #4 (Paula Wilson) generated less than half of what #3 did. At the bottom end, Francisco Chang placed a single order worth just $100.80 — the definition of a one-time, low-value customer (worth cross-referencing against Task 21's "one-time customer" list).</w:t>
      </w:r>
    </w:p>
    <w:p>
      <w:pPr>
        <w:pStyle w:val="Heading2"/>
        <w:spacing w:after="100" w:before="240"/>
      </w:pPr>
      <w:r>
        <w:t xml:space="preserve">One product dominates its entire category (Task 5)</w:t>
      </w:r>
    </w:p>
    <w:p>
      <w:pPr>
        <w:spacing w:after="150"/>
      </w:pPr>
      <w:r>
        <w:t xml:space="preserve">Most categories have a fairly gradual drop-off from their #1 to #2 product — except Beverages, where Côte de Blaye ($141,396.74) outsold the #2 beverage (Ipoh Coffee, $23,526.70) by six times. That single product accounts for over half of all Beverage revenue on its own.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rPr>
          <w:tblHeader/>
        </w:trP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Top Product</w:t>
            </w:r>
          </w:p>
        </w:tc>
        <w:tc>
          <w:tcPr>
            <w:tcW w:type="dxa" w:w="2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</w:tr>
      <w:tr>
        <w:tc>
          <w:tcPr>
            <w:tcW w:type="dxa" w:w="3000"/>
          </w:tcPr>
          <w:p>
            <w:r>
              <w:t xml:space="preserve">Beverages</w:t>
            </w:r>
          </w:p>
        </w:tc>
        <w:tc>
          <w:tcPr>
            <w:tcW w:type="dxa" w:w="4000"/>
          </w:tcPr>
          <w:p>
            <w:r>
              <w:t xml:space="preserve">Côte de Blaye</w:t>
            </w:r>
          </w:p>
        </w:tc>
        <w:tc>
          <w:tcPr>
            <w:tcW w:type="dxa" w:w="2000"/>
          </w:tcPr>
          <w:p>
            <w:r>
              <w:t xml:space="preserve">$141,396.74</w:t>
            </w:r>
          </w:p>
        </w:tc>
      </w:tr>
      <w:tr>
        <w:tc>
          <w:tcPr>
            <w:tcW w:type="dxa" w:w="3000"/>
          </w:tcPr>
          <w:p>
            <w:r>
              <w:t xml:space="preserve">Dairy Products</w:t>
            </w:r>
          </w:p>
        </w:tc>
        <w:tc>
          <w:tcPr>
            <w:tcW w:type="dxa" w:w="4000"/>
          </w:tcPr>
          <w:p>
            <w:r>
              <w:t xml:space="preserve">Raclette Courdavault</w:t>
            </w:r>
          </w:p>
        </w:tc>
        <w:tc>
          <w:tcPr>
            <w:tcW w:type="dxa" w:w="2000"/>
          </w:tcPr>
          <w:p>
            <w:r>
              <w:t xml:space="preserve">$71,155.70</w:t>
            </w:r>
          </w:p>
        </w:tc>
      </w:tr>
      <w:tr>
        <w:tc>
          <w:tcPr>
            <w:tcW w:type="dxa" w:w="3000"/>
          </w:tcPr>
          <w:p>
            <w:r>
              <w:t xml:space="preserve">Meat/Poultry</w:t>
            </w:r>
          </w:p>
        </w:tc>
        <w:tc>
          <w:tcPr>
            <w:tcW w:type="dxa" w:w="4000"/>
          </w:tcPr>
          <w:p>
            <w:r>
              <w:t xml:space="preserve">Thüringer Rostbratwurst</w:t>
            </w:r>
          </w:p>
        </w:tc>
        <w:tc>
          <w:tcPr>
            <w:tcW w:type="dxa" w:w="2000"/>
          </w:tcPr>
          <w:p>
            <w:r>
              <w:t xml:space="preserve">$80,368.67</w:t>
            </w:r>
          </w:p>
        </w:tc>
      </w:tr>
      <w:tr>
        <w:tc>
          <w:tcPr>
            <w:tcW w:type="dxa" w:w="3000"/>
          </w:tcPr>
          <w:p>
            <w:r>
              <w:t xml:space="preserve">Confections</w:t>
            </w:r>
          </w:p>
        </w:tc>
        <w:tc>
          <w:tcPr>
            <w:tcW w:type="dxa" w:w="4000"/>
          </w:tcPr>
          <w:p>
            <w:r>
              <w:t xml:space="preserve">Tarte au sucre</w:t>
            </w:r>
          </w:p>
        </w:tc>
        <w:tc>
          <w:tcPr>
            <w:tcW w:type="dxa" w:w="2000"/>
          </w:tcPr>
          <w:p>
            <w:r>
              <w:t xml:space="preserve">$47,234.97</w:t>
            </w:r>
          </w:p>
        </w:tc>
      </w:tr>
      <w:tr>
        <w:tc>
          <w:tcPr>
            <w:tcW w:type="dxa" w:w="3000"/>
          </w:tcPr>
          <w:p>
            <w:r>
              <w:t xml:space="preserve">Grains/Cereals</w:t>
            </w:r>
          </w:p>
        </w:tc>
        <w:tc>
          <w:tcPr>
            <w:tcW w:type="dxa" w:w="4000"/>
          </w:tcPr>
          <w:p>
            <w:r>
              <w:t xml:space="preserve">Gnocchi di nonna Alice</w:t>
            </w:r>
          </w:p>
        </w:tc>
        <w:tc>
          <w:tcPr>
            <w:tcW w:type="dxa" w:w="2000"/>
          </w:tcPr>
          <w:p>
            <w:r>
              <w:t xml:space="preserve">$42,593.06</w:t>
            </w:r>
          </w:p>
        </w:tc>
      </w:tr>
      <w:tr>
        <w:tc>
          <w:tcPr>
            <w:tcW w:type="dxa" w:w="3000"/>
          </w:tcPr>
          <w:p>
            <w:r>
              <w:t xml:space="preserve">Produce</w:t>
            </w:r>
          </w:p>
        </w:tc>
        <w:tc>
          <w:tcPr>
            <w:tcW w:type="dxa" w:w="4000"/>
          </w:tcPr>
          <w:p>
            <w:r>
              <w:t xml:space="preserve">Manjimup Dried Apples</w:t>
            </w:r>
          </w:p>
        </w:tc>
        <w:tc>
          <w:tcPr>
            <w:tcW w:type="dxa" w:w="2000"/>
          </w:tcPr>
          <w:p>
            <w:r>
              <w:t xml:space="preserve">$41,819.65</w:t>
            </w:r>
          </w:p>
        </w:tc>
      </w:tr>
      <w:tr>
        <w:tc>
          <w:tcPr>
            <w:tcW w:type="dxa" w:w="3000"/>
          </w:tcPr>
          <w:p>
            <w:r>
              <w:t xml:space="preserve">Seafood</w:t>
            </w:r>
          </w:p>
        </w:tc>
        <w:tc>
          <w:tcPr>
            <w:tcW w:type="dxa" w:w="4000"/>
          </w:tcPr>
          <w:p>
            <w:r>
              <w:t xml:space="preserve">Carnarvon Tigers</w:t>
            </w:r>
          </w:p>
        </w:tc>
        <w:tc>
          <w:tcPr>
            <w:tcW w:type="dxa" w:w="2000"/>
          </w:tcPr>
          <w:p>
            <w:r>
              <w:t xml:space="preserve">$29,171.87</w:t>
            </w:r>
          </w:p>
        </w:tc>
      </w:tr>
      <w:tr>
        <w:tc>
          <w:tcPr>
            <w:tcW w:type="dxa" w:w="3000"/>
          </w:tcPr>
          <w:p>
            <w:r>
              <w:t xml:space="preserve">Condiments</w:t>
            </w:r>
          </w:p>
        </w:tc>
        <w:tc>
          <w:tcPr>
            <w:tcW w:type="dxa" w:w="4000"/>
          </w:tcPr>
          <w:p>
            <w:r>
              <w:t xml:space="preserve">Vegie-spread</w:t>
            </w:r>
          </w:p>
        </w:tc>
        <w:tc>
          <w:tcPr>
            <w:tcW w:type="dxa" w:w="2000"/>
          </w:tcPr>
          <w:p>
            <w:r>
              <w:t xml:space="preserve">$16,701.10</w:t>
            </w:r>
          </w:p>
        </w:tc>
      </w:tr>
    </w:tbl>
    <w:p>
      <w:pPr>
        <w:spacing w:after="150"/>
      </w:pPr>
    </w:p>
    <w:p>
      <w:pPr>
        <w:pStyle w:val="Heading2"/>
        <w:spacing w:after="100" w:before="240"/>
      </w:pPr>
      <w:r>
        <w:t xml:space="preserve">Order handling is unevenly distributed among staff (Task 6)</w:t>
      </w:r>
    </w:p>
    <w:p>
      <w:pPr>
        <w:spacing w:after="150"/>
      </w:pPr>
      <w:r>
        <w:t xml:space="preserve">Margaret Peacock handled 156 orders — nearly 4x as many as the lowest performer (Steven Buchanan, 42). The top 3 employees (Margaret Peacock, Janet Leverling, Nancy Davolio) together handled more orders than the bottom 6 combined.</w:t>
      </w:r>
    </w:p>
    <w:p>
      <w:pPr>
        <w:pStyle w:val="Heading2"/>
        <w:spacing w:after="100" w:before="240"/>
      </w:pPr>
      <w:r>
        <w:t xml:space="preserve">Germany and the USA are the strongest markets (Task 7)</w:t>
      </w:r>
    </w:p>
    <w:p>
      <w:pPr>
        <w:spacing w:after="150"/>
      </w:pPr>
      <w:r>
        <w:t xml:space="preserve">Looking at each country's top customer: Horst Kloss (Germany, $110,277.31) and Jose Pavarotti (USA, $104,361.95) are the two highest-value individual customers company-wide. Germany also has the deepest customer base overall (11 customers), followed by the USA and France (10 each).</w:t>
      </w:r>
    </w:p>
    <w:p>
      <w:pPr>
        <w:pStyle w:val="Heading2"/>
        <w:spacing w:after="100" w:before="240"/>
      </w:pPr>
      <w:r>
        <w:t xml:space="preserve">Order cadence varies wildly by customer (Task 8)</w:t>
      </w:r>
    </w:p>
    <w:p>
      <w:pPr>
        <w:spacing w:after="150"/>
      </w:pPr>
      <w:r>
        <w:t xml:space="preserve">Gaps between a customer's consecutive orders range from same-day repeat orders (e.g., Elizabeth Lincoln placed two orders both dated 1997-01-10 — a 0-day gap) to over a year of inactivity (Alejandra Camino went 532 days between a September 1996 order and her next in March 1998). Most customers fall somewhere in between, typically reordering every 20-60 days — but the long tail of dormant-then-reactivated customers is worth flagging for a churn/win-back analysis in a future project.</w:t>
      </w:r>
    </w:p>
    <w:p>
      <w:pPr>
        <w:pStyle w:val="Heading2"/>
        <w:spacing w:after="100" w:before="240"/>
      </w:pPr>
      <w:r>
        <w:t xml:space="preserve">Order volume grew steadily, then dropped off at the data's edge (Task 9)</w:t>
      </w:r>
    </w:p>
    <w:p>
      <w:pPr>
        <w:spacing w:after="150"/>
      </w:pPr>
      <w:r>
        <w:t xml:space="preserve">Monthly order counts show a clear growth trend — from 22 orders in July 1996 to a peak of 74 orders in April 1998. May 1998 shows only 14 orders, which is almost certainly a partial month (the dataset cuts off early in May) rather than a genuine business decline — worth noting so this final data point isn't misread as a downturn.</w:t>
      </w:r>
    </w:p>
    <w:p>
      <w:pPr>
        <w:pStyle w:val="Heading2"/>
        <w:spacing w:after="100" w:before="240"/>
      </w:pPr>
      <w:r>
        <w:t xml:space="preserve">Revenue growth mirrors order growth, with heavy month-to-month swings (Task 10)</w:t>
      </w:r>
    </w:p>
    <w:p>
      <w:pPr>
        <w:spacing w:after="150"/>
      </w:pPr>
      <w:r>
        <w:t xml:space="preserve">Company-wide revenue climbed from $27,861.90 (July 1996) to $123,798.68 (April 1998) — roughly a 4.4x increase over 22 months. Along the way, % changes swing dramatically (e.g., -37% in Feb 1997, +64% in Dec 1997), reflecting Northwind's relatively low order volume per month — a handful of large orders can swing the whole month's total significantly. The -85% drop in May 1998 is the same partial-month artifact flagged in Task 9, not a real collapse.</w:t>
      </w:r>
    </w:p>
    <w:p>
      <w:pPr>
        <w:pStyle w:val="Heading2"/>
        <w:spacing w:after="100" w:before="240"/>
      </w:pPr>
      <w:r>
        <w:t xml:space="preserve">Individual order values are highly volatile — few customers trend consistently upward (Task 11)</w:t>
      </w:r>
    </w:p>
    <w:p>
      <w:pPr>
        <w:spacing w:after="150"/>
      </w:pPr>
      <w:r>
        <w:t xml:space="preserve">Flagging each order as "Increased" or "Decreased" relative to a customer's previous order shows no clear monotonic pattern for almost anyone — most customers bounce between increases and decreases order to order, sometimes by huge swings (e.g., Roland Mendel's order value swung from $1,792.00 to $8,623.45 — a nearly 5x jump — then back down to $550.59 the very next order). This strongly suggests that Task 20 (customers with strictly increasing monthly spend) will return a very short list, if any — worth confirming once that query is run, since it reframes what "growth" looks like at the individual level versus the smooth company-wide trend in Task 10.</w:t>
      </w:r>
    </w:p>
    <w:p>
      <w:pPr>
        <w:pStyle w:val="Heading1"/>
        <w:spacing w:after="150" w:before="300"/>
      </w:pPr>
      <w:r>
        <w:t xml:space="preserve">Task List (30 Tasks)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 customers by total revenue overall (RANK vs DENSE_RANK)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 revenue per product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Average discount given per product category (among discounted line items)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 customers by total revenue overall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 products by total revenue within each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 employees by number of orders handled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Within each country, rank customers by total revenue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Days between each customer's consecutive orders (LAG)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Month-over-month change in total order count, company-wide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Month-over-month % change in total revenue, company-wide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Flag whether each order increased or decreased vs the customer's previous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Running total of revenue per customer over time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Running total of company-wide revenue by month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Rolling 3-order average order value per customer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Running count of orders per customer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customer's first and most recent order date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customer's single highest-value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Customers bucketed into quartiles by lifetime spend (NTILE)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Products bucketed into quartiles by revenue, per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Customers whose spend increased every consecutive month they ordered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One-time customers (exactly one order ever)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Products that have never been ordered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 3 products by revenue within each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% of order line items with a discount, per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Average order value: discounted vs non-discounted orders, per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Late shipment rate (%) per employee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Total revenue and unique customers served, per employee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Best-selling product (by quantity) per shipping country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Customers who have ordered from every product category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Revenue per unit of stock remaining, per product</w:t>
      </w:r>
    </w:p>
    <w:p>
      <w:pPr>
        <w:pStyle w:val="Heading1"/>
        <w:spacing w:after="150" w:before="300"/>
      </w:pPr>
      <w:r>
        <w:t xml:space="preserve">Key SQL Learnings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Aggregate before you window. </w:t>
      </w:r>
      <w:r>
        <w:t xml:space="preserve">Postgres won't let a window function wrap an aggregate directly (e.g. LAG(SUM(...))) in the same pass — the aggregate has to be staged in a CTE first, then the window function applied on top of the aggregated rows.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LAST_VALUE needs an explicit frame. </w:t>
      </w:r>
      <w:r>
        <w:t xml:space="preserve">With only ORDER BY and no frame clause, the default frame (RANGE BETWEEN UNBOUNDED PRECEDING AND CURRENT ROW) silently makes LAST_VALUE return the current row's value instead of the partition's true last value. Fix: ROWS BETWEEN UNBOUNDED PRECEDING AND UNBOUNDED FOLLOWING.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Window functions can't be filtered directly in WHERE. </w:t>
      </w:r>
      <w:r>
        <w:t xml:space="preserve">Any "top N per group" or "rank = 1" task needs the rank computed in one CTE and filtered in an outer query.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MIN()/MAX() on a binary flag </w:t>
      </w:r>
      <w:r>
        <w:t xml:space="preserve">is a clean way to check "always true" or "ever true" across a group — e.g. MIN(is_increase) = 1 confirms a condition held for every row in a group, not just some.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Line items vs. distinct orders/entities </w:t>
      </w:r>
      <w:r>
        <w:t xml:space="preserve">is a recurring denominator trap. Joining in a one-to-many table (like order_details) without DISTINCT where needed silently inflates counts.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Discount fields store a fraction taken off, not a fraction paid — </w:t>
      </w:r>
      <w:r>
        <w:t xml:space="preserve">the correct revenue formula is unit_price * quantity * (1 - discount), not a subtraction.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NULLIF(column, 0) </w:t>
      </w:r>
      <w:r>
        <w:t xml:space="preserve">guards divisions from a divide-by-zero error by swapping the offending zero for NULL, letting the row resolve to NULL instead of crashing the query.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Company-wide aggregates can hide individual-level volatility. </w:t>
      </w:r>
      <w:r>
        <w:t xml:space="preserve">Task 10's smooth upward revenue trend and Task 11's noisy, non-monotonic individual order patterns describe the exact same underlying data — a reminder that aggregate trends don't necessarily reflect what's happening at the entity level.</w:t>
      </w:r>
    </w:p>
    <w:p>
      <w:pPr>
        <w:pStyle w:val="Heading1"/>
        <w:spacing w:after="150" w:before="300"/>
      </w:pPr>
      <w:r>
        <w:t xml:space="preserve">Tools</w:t>
      </w:r>
    </w:p>
    <w:p>
      <w:pPr>
        <w:spacing w:after="150"/>
      </w:pPr>
      <w:r>
        <w:t xml:space="preserve">PostgreSQL via pgAdmin.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2026-09-10T19:05:23.615Z</dcterms:created>
  <dcterms:modified xsi:type="dcterms:W3CDTF">2026-09-10T19:05:23.625Z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