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4</w:t>
      </w:r>
    </w:p>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Referring to the text, we were able to identify the types of revenue models that firms in the film industry utilize, the benefits and consequences that come with innovation, and the relatively new form of backing a project found in crowdfunding. We found these four aspects of business to be relevant in the film industry because they not only make the difference of getting the competitive advantage above other filmmakers, but most importantly if that firm can even enter the market in the first place.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