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SUPPLIER PRE-QUALIFICATION QUESTIONNAIRE</w:t>
      </w:r>
    </w:p>
    <w:p>
      <w:r>
        <w:t>RFQ/PKG/2026/07  |  Corrugated shipper cartons  |  Response due 20 Aug 2026</w:t>
      </w:r>
    </w:p>
    <w:p/>
    <w:p>
      <w:r>
        <w:t>Supplier: NOVA CORRUGATORS PVT LTD        Completed by: R. Bhatt, Works Manager        Date: 19 Aug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Supplier 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Do you hold a current ISO 9001 quality management certification?</w:t>
            </w:r>
          </w:p>
        </w:tc>
        <w:tc>
          <w:tcPr>
            <w:tcW w:type="dxa" w:w="2160"/>
          </w:tcPr>
          <w:p>
            <w:r>
              <w:t>Yes - we hold a valid ISO 9001:2015 certificate, current and in force for the full contract period. Copy attached.</w:t>
            </w:r>
          </w:p>
        </w:tc>
        <w:tc>
          <w:tcPr>
            <w:tcW w:type="dxa" w:w="2160"/>
          </w:tcPr>
          <w:p>
            <w:r>
              <w:t>Certificate attached (Annexure A)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State the post-consumer recycled content of the board you will supply (%).</w:t>
            </w:r>
          </w:p>
        </w:tc>
        <w:tc>
          <w:tcPr>
            <w:tcW w:type="dxa" w:w="2160"/>
          </w:tcPr>
          <w:p>
            <w:r>
              <w:t>32% post-consumer recycled content across all grades offered.</w:t>
            </w:r>
          </w:p>
        </w:tc>
        <w:tc>
          <w:tcPr>
            <w:tcW w:type="dxa" w:w="2160"/>
          </w:tcPr>
          <w:p>
            <w:r>
              <w:t>Materials declaration attached (Annexure B)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Confirm monthly production capacity in tonnes.</w:t>
            </w:r>
          </w:p>
        </w:tc>
        <w:tc>
          <w:tcPr>
            <w:tcW w:type="dxa" w:w="2160"/>
          </w:tcPr>
          <w:p>
            <w:r>
              <w:t>1,450 MT per month across two units. Adequate headroom for the indicated volumes.</w:t>
            </w:r>
          </w:p>
        </w:tc>
        <w:tc>
          <w:tcPr>
            <w:tcW w:type="dxa" w:w="2160"/>
          </w:tcPr>
          <w:p>
            <w:r>
              <w:t>No attachment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Do you have a documented incoming raw material inspection procedure?</w:t>
            </w:r>
          </w:p>
        </w:tc>
        <w:tc>
          <w:tcPr>
            <w:tcW w:type="dxa" w:w="2160"/>
          </w:tcPr>
          <w:p>
            <w:r>
              <w:t>Yes. GSM, bursting strength and moisture checked on every kraft lot as per QAP-04.</w:t>
            </w:r>
          </w:p>
        </w:tc>
        <w:tc>
          <w:tcPr>
            <w:tcW w:type="dxa" w:w="2160"/>
          </w:tcPr>
          <w:p>
            <w:r>
              <w:t>Available on request</w:t>
            </w:r>
          </w:p>
        </w:tc>
      </w:tr>
      <w:tr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Have you had any customer quality rejections above 2% in the last 12 months?</w:t>
            </w:r>
          </w:p>
        </w:tc>
        <w:tc>
          <w:tcPr>
            <w:tcW w:type="dxa" w:w="2160"/>
          </w:tcPr>
          <w:p>
            <w:r>
              <w:t>No. Our rejection rate has remained below 0.8% throughout FY 2025-26.</w:t>
            </w:r>
          </w:p>
        </w:tc>
        <w:tc>
          <w:tcPr>
            <w:tcW w:type="dxa" w:w="2160"/>
          </w:tcPr>
          <w:p>
            <w:r>
              <w:t>No attachment</w:t>
            </w:r>
          </w:p>
        </w:tc>
      </w:tr>
      <w:tr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Confirm compliance with buyer's supplier code of conduct.</w:t>
            </w:r>
          </w:p>
        </w:tc>
        <w:tc>
          <w:tcPr>
            <w:tcW w:type="dxa" w:w="2160"/>
          </w:tcPr>
          <w:p>
            <w:r>
              <w:t>Confirmed and accepted without exception.</w:t>
            </w:r>
          </w:p>
        </w:tc>
        <w:tc>
          <w:tcPr>
            <w:tcW w:type="dxa" w:w="2160"/>
          </w:tcPr>
          <w:p>
            <w:r>
              <w:t>Signed copy attached</w:t>
            </w:r>
          </w:p>
        </w:tc>
      </w:tr>
    </w:tbl>
    <w:p/>
    <w:p>
      <w:r>
        <w:rPr>
          <w:i/>
        </w:rPr>
        <w:t>We confirm the above information is true and correct to the best of our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