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38"/>
          <w:szCs w:val="38"/>
        </w:rPr>
        <w:t xml:space="preserve">Evidence-First Sourcing: RFQ Evaluation Without the Spreadsheet</w:t>
      </w:r>
    </w:p>
    <w:p>
      <w:pPr>
        <w:spacing w:after="60" w:before="0"/>
      </w:pPr>
      <w:r>
        <w:rPr>
          <w:color w:val="6B7280"/>
          <w:sz w:val="20"/>
          <w:szCs w:val="20"/>
        </w:rPr>
        <w:t xml:space="preserve">Aerchain product assignment — “Kill the Quote Spreadsheet” · Ajay Venkatesh · September 2026</w:t>
      </w:r>
    </w:p>
    <w:p>
      <w:pPr>
        <w:pBdr>
          <w:bottom w:val="single" w:color="3730A3" w:sz="6"/>
        </w:pBdr>
        <w:spacing w:after="200"/>
      </w:pPr>
    </w:p>
    <w:p>
      <w:pPr>
        <w:spacing w:after="200" w:before="0"/>
      </w:pPr>
      <w:r>
        <w:rPr>
          <w:color w:val="6B7280"/>
          <w:sz w:val="19"/>
          <w:szCs w:val="19"/>
        </w:rPr>
        <w:t xml:space="preserve">Links —  Live build: https://evidence-first-sourcing.onrender.com   ·   Repository: https://github.com/Ajay-1996/evidence-first-sourcing   ·   Video: ______________________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1. Objective Statement</w:t>
      </w:r>
    </w:p>
    <w:p>
      <w:pPr>
        <w:spacing w:after="110" w:before="0"/>
      </w:pPr>
      <w:r>
        <w:rPr>
          <w:color w:val="1F2937"/>
          <w:sz w:val="21"/>
          <w:szCs w:val="21"/>
        </w:rPr>
        <w:t xml:space="preserve">Establish a single, evidence-linked source of truth for supplier quotations — regardless of the format suppliers respond in — so that a category buyer can move from five messy replies to a defensible, auditable award decision in minutes instead of days, while being interrupted only for materially important uncertainty.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2. Background and Context</w:t>
      </w:r>
    </w:p>
    <w:p>
      <w:pPr>
        <w:spacing w:after="110" w:before="0"/>
      </w:pPr>
      <w:r>
        <w:rPr>
          <w:color w:val="1F2937"/>
          <w:sz w:val="21"/>
          <w:szCs w:val="21"/>
        </w:rPr>
        <w:t xml:space="preserve">A category buyer floats an RFQ for 30 corrugated-box SKUs to five suppliers. Responses arrive as: a clean Excel in the supplier's own format, a Word letter with commercials in prose, a PDF whose discount and freight terms hide in footnotes, a photographed rate card shot at an angle, and a two-line email that contradicts its own attachment. Today the buyer re-types everything into a master spreadsheet — losing days — and loses another day every time leadership asks one constrained question.</w:t>
      </w:r>
    </w:p>
    <w:p>
      <w:pPr>
        <w:spacing w:after="110" w:before="0"/>
      </w:pPr>
      <w:r>
        <w:rPr>
          <w:color w:val="1F2937"/>
          <w:sz w:val="21"/>
          <w:szCs w:val="21"/>
        </w:rPr>
        <w:t xml:space="preserve">The build decouples buyer decision-making from supplier format compliance: suppliers keep replying by email in whatever files they already use, and the system does the adapting. Per the assignment's one rule, the AI loops are real — extraction, normalization planning, and analysis are live model runs, never scripted.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3. Preliminary Research</w:t>
      </w:r>
    </w:p>
    <w:p>
      <w:pPr>
        <w:pStyle w:val="Heading2"/>
        <w:spacing w:after="80" w:before="170"/>
      </w:pPr>
      <w:r>
        <w:rPr>
          <w:b/>
          <w:bCs/>
          <w:color w:val="1F2937"/>
          <w:sz w:val="22"/>
          <w:szCs w:val="22"/>
        </w:rPr>
        <w:t xml:space="preserve">3.1 Practitioner signal</w:t>
      </w:r>
    </w:p>
    <w:p>
      <w:pPr>
        <w:spacing w:after="110" w:before="0"/>
      </w:pPr>
      <w:r>
        <w:rPr>
          <w:color w:val="1F2937"/>
          <w:sz w:val="21"/>
          <w:szCs w:val="21"/>
        </w:rPr>
        <w:t xml:space="preserve">Threads across procurement practitioner communities repeat three pains, independent of industry: suppliers rarely comply with bid templates; analysts lose days re-keying quotes into master spreadsheets; and buyers distrust AI-computed totals they cannot trace. These are adoption and trust problems, not parsing problems.</w:t>
      </w:r>
    </w:p>
    <w:p>
      <w:pPr>
        <w:pStyle w:val="Heading2"/>
        <w:spacing w:after="80" w:before="170"/>
      </w:pPr>
      <w:r>
        <w:rPr>
          <w:b/>
          <w:bCs/>
          <w:color w:val="1F2937"/>
          <w:sz w:val="22"/>
          <w:szCs w:val="22"/>
        </w:rPr>
        <w:t xml:space="preserve">3.2 Competitor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Player class</w:t>
            </w:r>
          </w:p>
        </w:tc>
        <w:tc>
          <w:tcPr>
            <w:tcW w:type="dxa" w:w="312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Approach</w:t>
            </w:r>
          </w:p>
        </w:tc>
        <w:tc>
          <w:tcPr>
            <w:tcW w:type="dxa" w:w="312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Gap this build targets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Template/portal-first S2P suites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 clean bid data by forcing structured supplier behaviour (portals, mandatory templates)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Suppliers do not comply; every event pays an adoption tax before evaluation starts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Tail-spend automation (e.g. Fairmarkit)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Automates sourcing events; notably avoids scoring on behalf of human evaluators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Validates the human-gate stance — but does not absorb messy, off-template artifacts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Document-AI / parsing tools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 extraction accuracy on documents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Parsing is not decision-safety: no lineage, no materiality ranking, no governed buyer decisions</w:t>
            </w:r>
          </w:p>
        </w:tc>
      </w:tr>
    </w:tbl>
    <w:p>
      <w:pPr>
        <w:spacing w:after="40" w:before="0"/>
      </w:pPr>
      <w:r>
        <w:rPr>
          <w:color w:val="1F2937"/>
          <w:sz w:val="21"/>
          <w:szCs w:val="21"/>
        </w:rPr>
        <w:t xml:space="preserve"/>
      </w:r>
    </w:p>
    <w:p>
      <w:pPr>
        <w:pStyle w:val="Heading2"/>
        <w:spacing w:after="80" w:before="170"/>
      </w:pPr>
      <w:r>
        <w:rPr>
          <w:b/>
          <w:bCs/>
          <w:color w:val="1F2937"/>
          <w:sz w:val="22"/>
          <w:szCs w:val="22"/>
        </w:rPr>
        <w:t xml:space="preserve">3.3 Research conclusion → design thesis</w:t>
      </w:r>
    </w:p>
    <w:p>
      <w:pPr>
        <w:spacing w:after="110" w:before="0"/>
      </w:pPr>
      <w:r>
        <w:rPr>
          <w:i/>
          <w:iCs/>
          <w:color w:val="1F2937"/>
          <w:sz w:val="21"/>
          <w:szCs w:val="21"/>
        </w:rPr>
        <w:t xml:space="preserve">Accept off-template supplier evidence, construct a canonical bid model, preserve lineage, conflicts and transformations, and ask humans only about materially important uncertainty.</w:t>
      </w:r>
    </w:p>
    <w:p>
      <w:pPr>
        <w:spacing w:after="110" w:before="0"/>
      </w:pPr>
      <w:r>
        <w:rPr>
          <w:color w:val="1F2937"/>
          <w:sz w:val="21"/>
          <w:szCs w:val="21"/>
        </w:rPr>
        <w:t xml:space="preserve">That thesis fixed the build order before any model was selected: canonical schema and provenance first, agent behaviour in editable markdown second, model choice last — validated per task (vision fidelity for evidence, JSON discipline for resolution) rather than assumed.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4. Business Goals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Reduce evaluation turnaround from days of re-typing to minutes per supplier response, with zero manual data entry.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Interrupt the buyer only for material uncertainty — issues are ranked by computed annual ₹ impact, and everything else is handled automatically with a visible audit trail.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Consolidate every supplier-facing doubt into a single clarification round per cycle (one reviewed email out, one reply-set in, one recomputation).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Make every number defensible: as-quoted value → source excerpt → transformation chain → canonical value, on every cell.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Zero supplier adoption cost: no portal, no template, no login — the supplier's inbox is the entire supplier experience.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5. User Goals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F2937"/>
          <w:sz w:val="21"/>
          <w:szCs w:val="21"/>
        </w:rPr>
        <w:t xml:space="preserve">Buyer (operations): </w:t>
      </w:r>
      <w:r>
        <w:rPr>
          <w:color w:val="1F2937"/>
          <w:sz w:val="21"/>
          <w:szCs w:val="21"/>
        </w:rPr>
        <w:t xml:space="preserve">process any reply format on arrival, see the doubts ranked by money at stake, resolve them in one round, and award from a comparison where nothing is silently guessed.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F2937"/>
          <w:sz w:val="21"/>
          <w:szCs w:val="21"/>
        </w:rPr>
        <w:t xml:space="preserve">Product / senior leadership: </w:t>
      </w:r>
      <w:r>
        <w:rPr>
          <w:color w:val="1F2937"/>
          <w:sz w:val="21"/>
          <w:szCs w:val="21"/>
        </w:rPr>
        <w:t xml:space="preserve">open the Analysis workspace and see the decision tier at a glance — the recommended split, the cheaper alternative and exactly what blocks it, and the price of the quality gate — with a basis paragraph an auditor can sign off 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F2937"/>
          <w:sz w:val="21"/>
          <w:szCs w:val="21"/>
        </w:rPr>
        <w:t xml:space="preserve">Engineering: </w:t>
      </w:r>
      <w:r>
        <w:rPr>
          <w:color w:val="1F2937"/>
          <w:sz w:val="21"/>
          <w:szCs w:val="21"/>
        </w:rPr>
        <w:t xml:space="preserve">deploy and evolve agent behaviour independently of the application: prompts live in editable markdown, models route per-agent in one YAML, and the whole layer swaps between a local Claude runtime and a hosted open-weights runtime with one environment variable.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6. Non-Goals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No supplier-facing portal or app — deliberately, as the core product thesis.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No autonomous outbound communication: the system detects, consolidates and drafts; the buyer approves and sends every word.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No auto-award: the award stage is soft-locked behind open decisions, and proceeding requires a recorded waiver.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No ERP/PO integration, reverse auctions, contract management, or production email transport (stubbed per the brief).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No modification of the deterministic calculation layer by any model — models classify and explain; code computes.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7. Personas and User Stories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As a category buyer, I want each supplier reply read on arrival with every doubt gated rather than guessed, so that the comparison I award from contains no invented numbers.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As a category buyer, I want all open questions for a supplier bundled into one drafted email that I review and send, so suppliers get one message instead of ten and I get answers in one pass.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As a senior executive, I want the recommendation, the blocked alternative, and the cost of our quality gate on one screen, so I can approve without reading cell-level detail.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As a supplier contact, I want to reply to an RFQ from my inbox in my usual file formats and receive at most one consolidated clarification, so quoting stays effortless.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As an engineer, I want extraction fidelity verified by an automated golden suite against known artifacts, so a model or prompt change is caught before it reaches a buyer.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8. Current State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Element</w:t>
            </w:r>
          </w:p>
        </w:tc>
        <w:tc>
          <w:tcPr>
            <w:tcW w:type="dxa" w:w="686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Process fragmentation</w:t>
            </w:r>
          </w:p>
        </w:tc>
        <w:tc>
          <w:tcPr>
            <w:tcW w:type="dxa" w:w="686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Each response format is manually re-keyed into a master spreadsheet; questionnaire answers and attachments are checked by eye, disconnected from the numbers.</w:t>
            </w:r>
          </w:p>
        </w:tc>
      </w:tr>
      <w:tr>
        <w:tc>
          <w:tcPr>
            <w:tcW w:type="dxa" w:w="250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Problem statement</w:t>
            </w:r>
          </w:p>
        </w:tc>
        <w:tc>
          <w:tcPr>
            <w:tcW w:type="dxa" w:w="686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Unit ambiguity (per-piece vs per-100 vs per-case vs ₹/kg), currency mixing, ex-works vs delivered basis, conditional discounts, internal contradictions, illegible cells, and unquoted lines — all invisible once flattened into one sheet.</w:t>
            </w:r>
          </w:p>
        </w:tc>
      </w:tr>
      <w:tr>
        <w:tc>
          <w:tcPr>
            <w:tcW w:type="dxa" w:w="250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Key failure examples</w:t>
            </w:r>
          </w:p>
        </w:tc>
        <w:tc>
          <w:tcPr>
            <w:tcW w:type="dxa" w:w="686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case-pack rate with an unstated pack size can misprice 18 of 30 lines; an expired ISO certificate clears a gate if only the questionnaire is read; an email's freight claim contradicts its own attachment and one side gets silently chosen.</w:t>
            </w:r>
          </w:p>
        </w:tc>
      </w:tr>
      <w:tr>
        <w:tc>
          <w:tcPr>
            <w:tcW w:type="dxa" w:w="250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Business impact</w:t>
            </w:r>
          </w:p>
        </w:tc>
        <w:tc>
          <w:tcPr>
            <w:tcW w:type="dxa" w:w="686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Three-plus days lost to re-typing per event; one additional day per leadership scenario question; award decisions on crores of spend resting on un-audited transformations.</w:t>
            </w:r>
          </w:p>
        </w:tc>
      </w:tr>
    </w:tbl>
    <w:p>
      <w:pPr>
        <w:spacing w:after="40" w:before="0"/>
      </w:pPr>
      <w:r>
        <w:rPr>
          <w:color w:val="1F2937"/>
          <w:sz w:val="21"/>
          <w:szCs w:val="21"/>
        </w:rPr>
        <w:t xml:space="preserve"/>
      </w:r>
    </w:p>
    <w:p>
      <w:pPr>
        <w:pStyle w:val="Heading2"/>
        <w:spacing w:after="80" w:before="170"/>
      </w:pPr>
      <w:r>
        <w:rPr>
          <w:b/>
          <w:bCs/>
          <w:color w:val="1F2937"/>
          <w:sz w:val="22"/>
          <w:szCs w:val="22"/>
        </w:rPr>
        <w:t xml:space="preserve">8.1 Current state of the live event (measured)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Cell state (150 vendor-line cells)</w:t>
            </w:r>
          </w:p>
        </w:tc>
        <w:tc>
          <w:tcPr>
            <w:tcW w:type="dxa" w:w="312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Count</w:t>
            </w:r>
          </w:p>
        </w:tc>
        <w:tc>
          <w:tcPr>
            <w:tcW w:type="dxa" w:w="312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Confirmed — read directly or verified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65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43.3%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Assumed — converted with a stated, flagged assumption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34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22.7%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Gated (“in doubt”) — held out pending one buyer decision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18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12.0%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Honest gaps — unquoted, never treated as ₹0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2.0%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Awaiting live processing (GlobalPack demo moment)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30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20.0%</w:t>
            </w:r>
          </w:p>
        </w:tc>
      </w:tr>
    </w:tbl>
    <w:p>
      <w:pPr>
        <w:spacing w:after="110" w:before="0"/>
      </w:pPr>
      <w:r>
        <w:rPr>
          <w:i/>
          <w:iCs/>
          <w:color w:val="1F2937"/>
          <w:sz w:val="21"/>
          <w:szCs w:val="21"/>
        </w:rPr>
        <w:t xml:space="preserve">Observation: every non-confirmed cell carries its reason and its evidence; the 18 gated cells collapse into a single buyer decision (one smudged case-pack factor). Extraction fidelity is verified by a 40-assertion golden suite — currently 40/40.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9. Proposed Solution: the Evidence-First Agent Layer</w:t>
      </w:r>
    </w:p>
    <w:p>
      <w:pPr>
        <w:pStyle w:val="Heading2"/>
        <w:spacing w:after="80" w:before="170"/>
      </w:pPr>
      <w:r>
        <w:rPr>
          <w:b/>
          <w:bCs/>
          <w:color w:val="1F2937"/>
          <w:sz w:val="22"/>
          <w:szCs w:val="22"/>
        </w:rPr>
        <w:t xml:space="preserve">9.1 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Phase</w:t>
            </w:r>
          </w:p>
        </w:tc>
        <w:tc>
          <w:tcPr>
            <w:tcW w:type="dxa" w:w="686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Phase 1 — Delivered (this prototype)</w:t>
            </w:r>
          </w:p>
        </w:tc>
        <w:tc>
          <w:tcPr>
            <w:tcW w:type="dxa" w:w="686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Three-agent pipeline (evidence → resolution → analyst) with deterministic execution of every conversion; canonical bid model with per-cell provenance chains; materiality-ranked exceptions; single-round clarifications with batch reply capture; standing rules promoted from repeated decisions; supplier-wise audit timeline; executive decision tier; soft-locked award with waivers; golden test suite; dual runtime (local Claude subscription / hosted open-weights) and a public deployment.</w:t>
            </w:r>
          </w:p>
        </w:tc>
      </w:tr>
      <w:tr>
        <w:tc>
          <w:tcPr>
            <w:tcW w:type="dxa" w:w="250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Phase 2 — Production roadmap</w:t>
            </w:r>
          </w:p>
        </w:tc>
        <w:tc>
          <w:tcPr>
            <w:tcW w:type="dxa" w:w="686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Parallel per-supplier fan-out (whole inbox in ~2–3 min); prior-year baseline ingestion so savings claims are evidence-backed rather than refused; per-tenant event state; mandatory-line flags on the RFx; configurable auto-send rules for low-risk clarifications; richer spec completeness in the canonical ask (the GSM-deviation lesson from adversarial testing).</w:t>
            </w:r>
          </w:p>
        </w:tc>
      </w:tr>
    </w:tbl>
    <w:p>
      <w:pPr>
        <w:spacing w:after="40" w:before="0"/>
      </w:pPr>
      <w:r>
        <w:rPr>
          <w:color w:val="1F2937"/>
          <w:sz w:val="21"/>
          <w:szCs w:val="21"/>
        </w:rPr>
        <w:t xml:space="preserve"/>
      </w:r>
    </w:p>
    <w:p>
      <w:pPr>
        <w:pStyle w:val="Heading2"/>
        <w:spacing w:after="80" w:before="170"/>
      </w:pPr>
      <w:r>
        <w:rPr>
          <w:b/>
          <w:bCs/>
          <w:color w:val="1F2937"/>
          <w:sz w:val="22"/>
          <w:szCs w:val="22"/>
        </w:rPr>
        <w:t xml:space="preserve">9.2 Why gate instead of guess? (measured evidence)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Reader</w:t>
            </w:r>
          </w:p>
        </w:tc>
        <w:tc>
          <w:tcPr>
            <w:tcW w:type="dxa" w:w="234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PKG-003 rate (truth: Rs 610)</w:t>
            </w:r>
          </w:p>
        </w:tc>
        <w:tc>
          <w:tcPr>
            <w:tcW w:type="dxa" w:w="234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Behaviour</w:t>
            </w:r>
          </w:p>
        </w:tc>
        <w:tc>
          <w:tcPr>
            <w:tcW w:type="dxa" w:w="234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Business result if trusted</w:t>
            </w:r>
          </w:p>
        </w:tc>
      </w:tr>
      <w:tr>
        <w:tc>
          <w:tcPr>
            <w:tcW w:type="dxa" w:w="234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Claude (local runtime)</w:t>
            </w:r>
          </w:p>
        </w:tc>
        <w:tc>
          <w:tcPr>
            <w:tcW w:type="dxa" w:w="234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Rs 610 ✓</w:t>
            </w:r>
          </w:p>
        </w:tc>
        <w:tc>
          <w:tcPr>
            <w:tcW w:type="dxa" w:w="234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Read correctly; smudged cells returned null</w:t>
            </w:r>
          </w:p>
        </w:tc>
        <w:tc>
          <w:tcPr>
            <w:tcW w:type="dxa" w:w="234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Correct basis for award</w:t>
            </w:r>
          </w:p>
        </w:tc>
      </w:tr>
      <w:tr>
        <w:tc>
          <w:tcPr>
            <w:tcW w:type="dxa" w:w="234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gemma4:31b (free vision)</w:t>
            </w:r>
          </w:p>
        </w:tc>
        <w:tc>
          <w:tcPr>
            <w:tcW w:type="dxa" w:w="234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Rs 865 ✗ (adjacent row's price)</w:t>
            </w:r>
          </w:p>
        </w:tc>
        <w:tc>
          <w:tcPr>
            <w:tcW w:type="dxa" w:w="234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Confident row misalignment</w:t>
            </w:r>
          </w:p>
        </w:tc>
        <w:tc>
          <w:tcPr>
            <w:tcW w:type="dxa" w:w="234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Wrong price enters a ₹-crore comparison</w:t>
            </w:r>
          </w:p>
        </w:tc>
      </w:tr>
      <w:tr>
        <w:tc>
          <w:tcPr>
            <w:tcW w:type="dxa" w:w="234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This system's policy</w:t>
            </w:r>
          </w:p>
        </w:tc>
        <w:tc>
          <w:tcPr>
            <w:tcW w:type="dxa" w:w="234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Uncertain values are gated, never guessed; hosted vision disabled by default</w:t>
            </w:r>
          </w:p>
        </w:tc>
        <w:tc>
          <w:tcPr>
            <w:tcW w:type="dxa" w:w="234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 invented number can reach an award</w:t>
            </w:r>
          </w:p>
        </w:tc>
      </w:tr>
    </w:tbl>
    <w:p>
      <w:pPr>
        <w:spacing w:after="40" w:before="0"/>
      </w:pPr>
      <w:r>
        <w:rPr>
          <w:color w:val="1F2937"/>
          <w:sz w:val="21"/>
          <w:szCs w:val="21"/>
        </w:rPr>
        <w:t xml:space="preserve">The same policy governs everything: a range quote gates, an unstated pack factor gates, an illegible cell gates, a contradiction surfaces both sides. One confirmed fact from the buyer re-runs resolution live with the decision stamped into every affected chain.</w:t>
      </w:r>
    </w:p>
    <w:p>
      <w:pPr>
        <w:pStyle w:val="Heading2"/>
        <w:spacing w:after="80" w:before="170"/>
      </w:pPr>
      <w:r>
        <w:rPr>
          <w:b/>
          <w:bCs/>
          <w:color w:val="1F2937"/>
          <w:sz w:val="22"/>
          <w:szCs w:val="22"/>
        </w:rPr>
        <w:t xml:space="preserve">9.3 Module capabilities and buyer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Module</w:t>
            </w:r>
          </w:p>
        </w:tc>
        <w:tc>
          <w:tcPr>
            <w:tcW w:type="dxa" w:w="312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120"/>
            <w:shd w:fill="EEF2FF" w:val="clear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How it improves the buyer's decision &amp; experience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RFx co-pilot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Drafts and amends the ask conversationally; human approves every send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ask is shaped in minutes and stays under buyer control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Evidence agent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Reads any format (photos included locally); verbatim values with source locators; reports conflicts and gaps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Zero re-typing; nothing invented — illegible means null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Resolution + deterministic executor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Model classifies each line's path to ₹/piece; code performs every conversion and prices every doubt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Comparable numbers with an audit chain; interruptions ranked by money at stake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Clarification rounds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Every supplier-facing doubt batched into one reviewed email; replies captured in one form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Two touchpoints per supplier per cycle — and suppliers get one email, not ten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Standing rules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Repeated decisions promoted to governed policy, stamped on every cell they touch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Interruptions shrink over time; automation stays visible, never silent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Comparison + evidence drawer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One basis; per-cell chain of custody; gaps never ₹0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Any number defended in under five seconds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Analyst + executive tier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→ compute → explain with a basis paragraph; decision tier at a glance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Leadership approves from one screen; totals cannot be hallucinated</w:t>
            </w:r>
          </w:p>
        </w:tc>
      </w:tr>
      <w:tr>
        <w:tc>
          <w:tcPr>
            <w:tcW w:type="dxa" w:w="3120"/>
          </w:tcPr>
          <w:p>
            <w:pPr>
              <w:spacing w:after="40" w:before="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Award + audit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Soft-locked award, recorded waivers, timestamped supplier-wise trail</w:t>
            </w:r>
          </w:p>
        </w:tc>
        <w:tc>
          <w:tcPr>
            <w:tcW w:type="dxa" w:w="3120"/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crores-level decision that carries its own defence</w:t>
            </w:r>
          </w:p>
        </w:tc>
      </w:tr>
    </w:tbl>
    <w:p>
      <w:pPr>
        <w:spacing w:after="40" w:before="8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B7280"/>
          <w:sz w:val="18"/>
          <w:szCs w:val="18"/>
        </w:rPr>
        <w:t xml:space="preserve">Comparison workspace: one basis, best-price highlights, held-out doubts excluded from totals, live analyst rail.</w:t>
      </w:r>
    </w:p>
    <w:p>
      <w:pPr>
        <w:spacing w:after="40" w:before="8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B7280"/>
          <w:sz w:val="18"/>
          <w:szCs w:val="18"/>
        </w:rPr>
        <w:t xml:space="preserve">Supplier review: live processing, doubts ranked with ₹ impact, one-email clarification round, supplier-wise audit timeline.</w:t>
      </w:r>
    </w:p>
    <w:p>
      <w:pPr>
        <w:spacing w:after="40" w:before="8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B7280"/>
          <w:sz w:val="18"/>
          <w:szCs w:val="18"/>
        </w:rPr>
        <w:t xml:space="preserve">Analysis workspace: the executive decision tier — the choice, the blocked alternative, and the price of the quality gate.</w:t>
      </w:r>
    </w:p>
    <w:p>
      <w:pPr>
        <w:pStyle w:val="Heading2"/>
        <w:spacing w:after="80" w:before="170"/>
      </w:pPr>
      <w:r>
        <w:rPr>
          <w:b/>
          <w:bCs/>
          <w:color w:val="1F2937"/>
          <w:sz w:val="22"/>
          <w:szCs w:val="22"/>
        </w:rPr>
        <w:t xml:space="preserve">9.4 Caveats / technical considerations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Hosted demo runs on a free open-weights model (gpt-oss:120b) for live text loops; pre-processed results in the shipped snapshot were produced by Claude. Vision is disabled on the hosted instance by design (see 8.2).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The free hosting tier sleeps when idle (first visit takes ~60 s) and has an ephemeral disk — the demo self-resets to its verified opening state.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Single-tenant by design for the prototype; per-tenant state is a Phase 2 item.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10. Benefits and Success Metrics</w:t>
      </w:r>
    </w:p>
    <w:p>
      <w:pPr>
        <w:pStyle w:val="Heading2"/>
        <w:spacing w:after="80" w:before="170"/>
      </w:pPr>
      <w:r>
        <w:rPr>
          <w:b/>
          <w:bCs/>
          <w:color w:val="1F2937"/>
          <w:sz w:val="22"/>
          <w:szCs w:val="22"/>
        </w:rPr>
        <w:t xml:space="preserve">10.1 Direct business benefits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Turnaround: one supplier response processed in 2–4 minutes; a buyer decision recomputes the comparison in ~2 minutes; an analyst answer with basis in 2–4 minutes.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Zero invented numbers: verified by the golden suite (40/40) and adversarial packs (hostile Excel, multi-document contradictions, unreadable files → honest refusal, never a crash).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Clarification efficiency: N doubts per supplier become one email out and one reply-set in — two buyer touchpoints per cycle.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Defensibility: every award figure traces to supplier ink through an audited transformation chain, with decisions, rounds and rules on a timestamped trail.</w:t>
      </w:r>
    </w:p>
    <w:p>
      <w:pPr>
        <w:pStyle w:val="Heading2"/>
        <w:spacing w:after="80" w:before="170"/>
      </w:pPr>
      <w:r>
        <w:rPr>
          <w:b/>
          <w:bCs/>
          <w:color w:val="1F2937"/>
          <w:sz w:val="22"/>
          <w:szCs w:val="22"/>
        </w:rPr>
        <w:t xml:space="preserve">10.2 Indirect operational benefits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Standing rules compound buyer decisions into governed policy, shrinking future rounds automatically.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The executive tier turns the comparison into a one-glance decision: the choice, the blocked alternative, and the price of staying safe.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Provider-agnostic architecture demonstrated in production: local Claude runtime and hosted open-weights runtime, swapped by one environment variable.</w:t>
      </w:r>
    </w:p>
    <w:p>
      <w:pPr>
        <w:pStyle w:val="Heading1"/>
        <w:spacing w:after="110" w:before="260"/>
      </w:pPr>
      <w:r>
        <w:rPr>
          <w:b/>
          <w:bCs/>
          <w:color w:val="3730A3"/>
          <w:sz w:val="27"/>
          <w:szCs w:val="27"/>
        </w:rPr>
        <w:t xml:space="preserve">11. Appendix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Live build: https://evidence-first-sourcing.onrender.com (free tier — allow ~60 s cold start)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Repository: https://github.com/Ajay-1996/evidence-first-sourcing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docs/DEMO_SCRIPT.md — the recorded walkthrough's narrative; docs/GOLDEN_TESTS.md — golden dataset and edge-case expectations; docs/DEPLOY.md — hosting and provider configuration.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data/vendor_files/ — the five fabricated supplier artifacts; tests/golden_check.py — the 40-assertion verification suite.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F2937"/>
          <w:sz w:val="21"/>
          <w:szCs w:val="21"/>
        </w:rPr>
        <w:t xml:space="preserve">Detailed practitioner &amp; competitor research notes — available on request (summarised in section 3).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d5284f827b63aea7b2e30b9a8e3283016ce9b0.png"/><Relationship Id="rId8" Type="http://schemas.openxmlformats.org/officeDocument/2006/relationships/image" Target="media/4b2c90644932262363090137247271657e8206da.png"/><Relationship Id="rId9" Type="http://schemas.openxmlformats.org/officeDocument/2006/relationships/image" Target="media/69b17ee42edca46f414569f3897fc3adbd6553b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2026-09-02T08:56:46.765Z</dcterms:created>
  <dcterms:modified xsi:type="dcterms:W3CDTF">2026-09-02T08:56:46.769Z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