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937"/>
          <w:sz w:val="40"/>
          <w:szCs w:val="40"/>
        </w:rPr>
        <w:t xml:space="preserve">Evidence-First Sourcing Prototype</w:t>
      </w:r>
    </w:p>
    <w:p>
      <w:pPr>
        <w:spacing w:after="120" w:before="0"/>
      </w:pPr>
      <w:r>
        <w:rPr>
          <w:color w:val="6B7280"/>
          <w:sz w:val="23"/>
          <w:szCs w:val="23"/>
        </w:rPr>
        <w:t xml:space="preserve">Aerchain product assignment — “Kill the Quote Spreadsheet”</w:t>
      </w:r>
    </w:p>
    <w:p>
      <w:pPr>
        <w:spacing w:after="60" w:before="0"/>
      </w:pPr>
      <w:r>
        <w:rPr>
          <w:color w:val="6B7280"/>
          <w:sz w:val="19"/>
          <w:szCs w:val="19"/>
        </w:rPr>
        <w:t xml:space="preserve">Ajay Venkatesh · September 2026</w:t>
      </w:r>
    </w:p>
    <w:p>
      <w:pPr>
        <w:pBdr>
          <w:bottom w:val="single" w:color="3730A3" w:sz="6"/>
        </w:pBdr>
        <w:spacing w:after="220"/>
      </w:pPr>
    </w:p>
    <w:p>
      <w:pPr>
        <w:spacing w:after="200" w:before="0"/>
      </w:pPr>
      <w:r>
        <w:rPr>
          <w:color w:val="6B7280"/>
          <w:sz w:val="19"/>
          <w:szCs w:val="19"/>
        </w:rPr>
        <w:t xml:space="preserve">Links —  Live build: https://evidence-first-sourcing.onrender.com   ·   Repository: https://github.com/Ajay-1996/evidence-first-sourcing   ·   Video: ______________________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The problem I chose to solve</w:t>
      </w:r>
    </w:p>
    <w:p>
      <w:pPr>
        <w:spacing w:after="120" w:before="0"/>
      </w:pPr>
      <w:r>
        <w:rPr>
          <w:color w:val="1F2937"/>
          <w:sz w:val="21"/>
          <w:szCs w:val="21"/>
        </w:rPr>
        <w:t xml:space="preserve">A category buyer sends an RFQ for 30 corrugated-box SKUs to five suppliers. What returns is a clean Excel, a Word letter, a PDF with the commercials buried in footnotes, a photographed rate card, and a two-line email that contradicts its own attachment. The buyer loses days retyping — and the moment the VP asks one constrained question, loses another. I did not build “normalize bids with AI.” I built a system that accepts off-template supplier evidence, constructs a canonical bid model with full lineage, and interrupts the buyer only for materially important uncertainty.</w:t>
      </w:r>
    </w:p>
    <w:p>
      <w:pPr>
        <w:spacing w:after="120" w:before="0"/>
      </w:pPr>
      <w:r>
        <w:rPr>
          <w:i/>
          <w:iCs/>
          <w:color w:val="1F2937"/>
          <w:sz w:val="21"/>
          <w:szCs w:val="21"/>
        </w:rPr>
        <w:t xml:space="preserve">One deliberate product decision: suppliers never adopt the tool. They reply by email in whatever files they already use — the buyer is the only application user. The system does the adapting; the supplier never changes.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One flow, end to end</w:t>
      </w:r>
    </w:p>
    <w:p>
      <w:pPr>
        <w:spacing w:after="120" w:before="0"/>
      </w:pPr>
      <w:r>
        <w:rPr>
          <w:color w:val="1F2937"/>
          <w:sz w:val="21"/>
          <w:szCs w:val="21"/>
        </w:rPr>
        <w:t xml:space="preserve">RFx (drafted conversationally, human-approved) → five replies absorbed in their native formats → material ambiguity resolved by the buyer, one decision at a time → a trusted normalized comparison (₹/piece, delivered) → a natural-language analyst → an award brief that carries its evidence. The UI mirrors this as five workspaces: RFx, Suppliers, Comparison, Analysis, Award — with a supplier-wise audit timeline and a standing-rules register alongside.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Architecture: models interpret, code computes, humans decide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Evidence agent — </w:t>
      </w:r>
      <w:r>
        <w:rPr>
          <w:color w:val="1F2937"/>
          <w:sz w:val="21"/>
          <w:szCs w:val="21"/>
        </w:rPr>
        <w:t xml:space="preserve">reads any artifact (vision included) and reports what the supplier said — as-quoted values with source locators and verbatim excerpts, conditions, conflicts, gaps. It never converts anything and never invents a number: illegible means null.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Resolution agent — </w:t>
      </w:r>
      <w:r>
        <w:rPr>
          <w:color w:val="1F2937"/>
          <w:sz w:val="21"/>
          <w:szCs w:val="21"/>
        </w:rPr>
        <w:t xml:space="preserve">only classifies how each line reaches the common basis (per-100, pack factor, USD, ₹/kg × estimated weight, gate, missing) and proposes typed exceptions. A deterministic executor then performs every conversion — the transform chain on each cell is the audit trail, and no model ever does arithmetic.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Analyst — </w:t>
      </w:r>
      <w:r>
        <w:rPr>
          <w:color w:val="1F2937"/>
          <w:sz w:val="21"/>
          <w:szCs w:val="21"/>
        </w:rPr>
        <w:t xml:space="preserve">answers in three phases: it plans read-only queries, deterministic code executes them over the canonical store, and the model explains the computed results — headline, tables, assumptions, and an explicit basis paragraph. It cannot hallucinate a total because it never computes 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Unsafe inference never ships as automation — </w:t>
      </w:r>
      <w:r>
        <w:rPr>
          <w:color w:val="1F2937"/>
          <w:sz w:val="21"/>
          <w:szCs w:val="21"/>
        </w:rPr>
        <w:t xml:space="preserve">a smudged case-pack factor gates 18 lines rather than guessing; the buyer confirms one number and resolution re-runs live with the decision stamped into every affected chain.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Decisions compound into policy — </w:t>
      </w:r>
      <w:r>
        <w:rPr>
          <w:color w:val="1F2937"/>
          <w:sz w:val="21"/>
          <w:szCs w:val="21"/>
        </w:rPr>
        <w:t xml:space="preserve">when a decided issue type recurs, the system offers to promote the call into a standing rule — applied semantically, stamped on every cell it touches, never for compliance gaps, disable-able any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Materiality, not confidence, drives interruptions — </w:t>
      </w:r>
      <w:r>
        <w:rPr>
          <w:color w:val="1F2937"/>
          <w:sz w:val="21"/>
          <w:szCs w:val="21"/>
        </w:rPr>
        <w:t xml:space="preserve">every price-affecting exception carries a computed annual ₹ impact (HIGH &gt; ₹5L / MEDIUM / LOW); compliance gaps are AWARD-BLOCKING with no invented rupees. 18 uncertain cells collapse into one buyer decision.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Frontier-model agnostic by construction — </w:t>
      </w:r>
      <w:r>
        <w:rPr>
          <w:color w:val="1F2937"/>
          <w:sz w:val="21"/>
          <w:szCs w:val="21"/>
        </w:rPr>
        <w:t xml:space="preserve">agent behaviour lives in editable markdown prompts; models route per-agent in one YAML; two interchangeable runtimes (local Claude subscription via CLI, or the raw API for hosting) behind one provider seam.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The ugly edges, handled live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Planted edge</w:t>
            </w:r>
          </w:p>
        </w:tc>
        <w:tc>
          <w:tcPr>
            <w:tcW w:type="dxa" w:w="6760"/>
            <w:shd w:fill="EEF2FF" w:val="clear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System behaviour (all live model runs)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Photo rate card, smudged pack factor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18 per-case lines gated, one decision requested; ₹4,310 ÷ 102 chains appear after the buyer confirms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Illegible price cell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Reported null with the blur called out — gated, never guessed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Ex-works vs delivered basis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Policy lane estimate applied per line, flagged, ₹19.2L/yr exposure computed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Footnote discount (10-day terms)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Captured, priced at ₹9.4L/yr — and not applied against 45-day terms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Email contradicts its attachment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Both sides surfaced as a conflict; no silent winner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USD lines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Converted once at a dated event rate; original preserved on the cell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“Same as last year” terms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Reference recorded, value never assumed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Missing lines / blank questionnaire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Gaps stay gaps — never ₹0; absence of evidence counts against clearance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Fabrication bug I didn’t plant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The model caught an internal contradiction in the rate-card header I created by accident</w:t>
            </w:r>
          </w:p>
        </w:tc>
      </w:tr>
    </w:tbl>
    <w:p>
      <w:pPr>
        <w:spacing w:after="60" w:before="0"/>
      </w:pPr>
      <w:r>
        <w:rPr>
          <w:color w:val="1F2937"/>
          <w:sz w:val="21"/>
          <w:szCs w:val="21"/>
        </w:rPr>
        <w:t xml:space="preserve"/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Verification</w:t>
      </w:r>
    </w:p>
    <w:p>
      <w:pPr>
        <w:spacing w:after="120" w:before="0"/>
      </w:pPr>
      <w:r>
        <w:rPr>
          <w:color w:val="1F2937"/>
          <w:sz w:val="21"/>
          <w:szCs w:val="21"/>
        </w:rPr>
        <w:t xml:space="preserve">Because the five supplier artifacts are generated deterministically, their ground truth is exact. A golden test suite (tests/golden_check.py, ~40 assertions) validates any live run: as-quoted values read verbatim, freight math, discount non-application, gates, exception types. Current runs: 40/40. An additional adversarial pack (hostile merged-header Excel with cross-sheet formulas, an unusable photo, a password-protected PDF) exercises graceful failure: unreadable means “received but unreadable — ask the supplier,” never a crash and never invented data.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What is real vs deliberately stubbed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Real at demo time — </w:t>
      </w:r>
      <w:r>
        <w:rPr>
          <w:color w:val="1F2937"/>
          <w:sz w:val="21"/>
          <w:szCs w:val="21"/>
        </w:rPr>
        <w:t xml:space="preserve">extraction of all five artifacts (photo included), resolution planning, deterministic normalization, decision-driven recomputes, standing rules, the analyst, the RFx co-pilot — live model calls with reload-proof progress (phase + elapsed) shown in the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Stubbed, per the brief — </w:t>
      </w:r>
      <w:r>
        <w:rPr>
          <w:color w:val="1F2937"/>
          <w:sz w:val="21"/>
          <w:szCs w:val="21"/>
        </w:rPr>
        <w:t xml:space="preserve">outbound e-mail transport (the clarification e-mail is drafted, not sent), approval routing, exports beyond CSV/text, auth, and multi-tenant state.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Left out on purpose — </w:t>
      </w:r>
      <w:r>
        <w:rPr>
          <w:color w:val="1F2937"/>
          <w:sz w:val="21"/>
          <w:szCs w:val="21"/>
        </w:rPr>
        <w:t xml:space="preserve">supplier portal (the anti-thesis), general revision management (one honest conflict beats a version tree), bounding-box highlights (locator + excerpt gives most of the trust at a fraction of the cost), a workflow engine, and additional agents — every extra agent adds architecture without adding trust.</w:t>
      </w:r>
    </w:p>
    <w:p>
      <w:pPr>
        <w:pStyle w:val="Heading1"/>
        <w:spacing w:after="120" w:before="280"/>
      </w:pPr>
      <w:r>
        <w:rPr>
          <w:b/>
          <w:bCs/>
          <w:color w:val="3730A3"/>
          <w:sz w:val="28"/>
          <w:szCs w:val="28"/>
        </w:rPr>
        <w:t xml:space="preserve">Operating 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Operation</w:t>
            </w:r>
          </w:p>
        </w:tc>
        <w:tc>
          <w:tcPr>
            <w:tcW w:type="dxa" w:w="6760"/>
            <w:shd w:fill="EEF2FF" w:val="clear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Typical turnaround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Process one supplier (evidence + resolution)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2–4 min (vision at the high end)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Buyer decision → recompute (resolution only)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~2 min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Analyst question (plan → compute → explain)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2–4 min</w:t>
            </w:r>
          </w:p>
        </w:tc>
      </w:tr>
      <w:tr>
        <w:tc>
          <w:tcPr>
            <w:tcW w:type="dxa" w:w="26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Production path</w:t>
            </w:r>
          </w:p>
        </w:tc>
        <w:tc>
          <w:tcPr>
            <w:tcW w:type="dxa" w:w="6760"/>
          </w:tcPr>
          <w:p>
            <w:pPr>
              <w:spacing w:after="40" w:before="0"/>
            </w:pPr>
            <w:r>
              <w:rPr>
                <w:color w:val="1F2937"/>
                <w:sz w:val="19"/>
                <w:szCs w:val="19"/>
              </w:rPr>
              <w:t xml:space="preserve">parallel fan-out + streaming + delta recompute → whole inbox ~2–3 min, decisions &lt;1 min</w:t>
            </w:r>
          </w:p>
        </w:tc>
      </w:tr>
    </w:tbl>
    <w:p>
      <w:pPr>
        <w:spacing w:after="60" w:before="0"/>
      </w:pPr>
      <w:r>
        <w:rPr>
          <w:color w:val="1F2937"/>
          <w:sz w:val="21"/>
          <w:szCs w:val="21"/>
        </w:rPr>
        <w:t xml:space="preserve"/>
      </w:r>
    </w:p>
    <w:p>
      <w:pPr>
        <w:spacing w:after="120" w:before="0"/>
      </w:pPr>
      <w:r>
        <w:rPr>
          <w:color w:val="6B7280"/>
          <w:sz w:val="19"/>
          <w:szCs w:val="19"/>
        </w:rPr>
        <w:t xml:space="preserve">Run locally: uvicorn backend.main:app --port 8014 (serves the app, the API, and a dependency-free fallback UI at /shell). Hosting: single Docker container; agents flip to the raw API via one environment variable. Full details in the repository README and docs/.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2026-09-02T08:39:07.058Z</dcterms:created>
  <dcterms:modified xsi:type="dcterms:W3CDTF">2026-09-02T08:39:07.064Z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