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>
        <w:t>Experienced Full Stack Developer with over 2 years of experience in ActiveMQ, RabbitMQ, and .NET Core. Proficient in creating Docker containers and skilled in Node.js, React, and API integration. Passionate about problem-solving and building efficient, user-friendly applications. Eager to contribute to design and code reviews, and grow as a Full Stack Developer.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SKILLS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>
        <w:t xml:space="preserve">ActiveMQ | RabbitMQ | .NET Core | Docker | C++ | JavaScript |  Data Structures and Algorithms  |  SQL | HTML | CSS | ReactJS | Redux |  Node.js |  ExpressJS  |  MongoDB   | Object-Oriented Programming (OOPs)  |  Responsive Design | Bootstrap | Tailwind CSS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Implemented responsive design to ensure a seamless experience across devices using modern web technologies like HTML, CSS, JavaScript, and .NET Framework.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Utilized Node.js, Express, and Git for backend services, including email verification with OTP and sending location updates via Nodemailer. Coordinated with cross-functional teams to develop applications that meet customer needs.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Implemented JWT authentication for secure login/logout and wrote efficient unit test cases using JEST.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>
        <w:t>Certified Java Developer with practical experience in creating a full-fledged application.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>
        <w:t>Team Leader, DBMS Project: Led and mentored a team of 4 junior developers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t>Enjoys cricket and table tennis, and multitasking in various software development projects.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