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Redux | Express | RESTful APIs | Git | AWS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Utilized Redux for state management in the frontend, improving data flow and application performance.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responsive helpline application using React.js and integrated Node.js and Express for backend services, including email verification with OTP and sending location updates via Nodemailer.</w:t>
      </w:r>
    </w:p>
    <w:p>
      <w:pPr>
        <w:pStyle w:val="NoSpacing"/>
      </w:pPr>
      <w:r>
        <w:t>• Integrated RESTful APIs for seamless communication between frontend and backend services, enhancing user experience and data retrieval.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Express.js for building efficient and scalable server-side applications, optimizing performance and response times.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