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>
        <w:t>Experienced Full Stack Developer with a strong foundation in ActiveMQ, RabbitMQ, .NET Core, Docker, Node.js, React, and API integration. Passionate about problem-solving, building efficient, user-friendly applications, and delivering high-quality code in fast-paced environments. Eager to contribute and grow as a Full Stack Developer, with a focus on coding, code reviews, and quality assurance.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>
        <w:t xml:space="preserve">C# | ASP.NET MVC | ADO.NET | .NET Framework | XSLT | SQL Server | PWA | CSS | IndexedDb | Web API | CSS | Chocolatey | Unit test cases | JEST | Git | Azure Pipelines | Progressive Web Apps | ActiveMQ | RabbitMQ | .NET Core | Docker | C++ | JavaScript |  Data Structures and Algorithms  |  SQL | HTML | CSS | ReactJS | Redux |  Node.js |  ExpressJS  |  MongoDB   | Object-Oriented Programming (OOPs)  |  Responsive Design | Bootstrap | Tailwind CSS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Certified Java Developer with experience in .NET Core, ActiveMQ, RabbitMQ, and Docker container creation.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>
        <w:t>Team Leader, DBMS Project: Led a team of 4 in developing and implementing a robust database management system, effectively coordinating tasks and conducting code reviews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LeetCode 100 Days Badge: Achieved consistent problem-solving by completing 100 consecutive days of coding challenges, demonstrating dedication, quick programming, and quality focus.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Passionate about problem-solving, development, and multitasking in software development roles.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