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df" ContentType="application/pdf"/>
  <Override PartName="/word/media/rId40.pdf" ContentType="application/pdf"/>
  <Override PartName="/word/media/rId43.pdf" ContentType="application/pdf"/>
  <Override PartName="/word/media/rId34.pdf" ContentType="application/pdf"/>
  <Override PartName="/word/media/rId37.pdf" ContentType="application/pdf"/>
  <Override PartName="/word/media/rId46.pdf" ContentType="application/pdf"/>
  <Override PartName="/word/media/rId4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fe474ec9d32f306b4d9d61491981ea5267308fb"/>
    <w:p>
      <w:pPr>
        <w:pStyle w:val="Heading1"/>
      </w:pPr>
      <w:r>
        <w:rPr>
          <w:rStyle w:val="SectionNumber"/>
        </w:rPr>
        <w:t xml:space="preserve">1</w:t>
      </w:r>
      <w:r>
        <w:tab/>
      </w:r>
      <w:r>
        <w:t xml:space="preserve">Causal-Consolidated SHAP: A Lightweight, Robustness-Oriented Explainer for Resource-Constrained IoT Edge Intrusion Detection</w:t>
      </w:r>
    </w:p>
    <w:p>
      <w:pPr>
        <w:pStyle w:val="FirstParagraph"/>
      </w:pPr>
      <w:r>
        <w:rPr>
          <w:b/>
          <w:bCs/>
        </w:rPr>
        <w:t xml:space="preserve">Authors:</w:t>
      </w:r>
      <w:r>
        <w:t xml:space="preserve"> </w:t>
      </w:r>
      <w:r>
        <w:t xml:space="preserve">Subarmaniam Kannan¹’²’* (ORCID: 0000-0002-0049-4747), Sumendra Yogarayan¹’² (ORCID: 0000-0002-5151-2300)</w:t>
      </w:r>
    </w:p>
    <w:p>
      <w:pPr>
        <w:pStyle w:val="BodyText"/>
      </w:pPr>
      <w:r>
        <w:t xml:space="preserve">¹ Faculty of Information Science and Technology (FIST), Multimedia University, Jalan Ayer Keroh Lama, Bukit Beruang, Melaka, 75450, Malaysia</w:t>
      </w:r>
      <w:r>
        <w:t xml:space="preserve"> </w:t>
      </w:r>
      <w:r>
        <w:t xml:space="preserve">² Centre of Intelligent Cloud Computing (CICC), Multimedia University, Jalan Ayer Keroh Lama, Bukit Beruang, 75450 Melaka, Malaysia</w:t>
      </w:r>
    </w:p>
    <w:p>
      <w:pPr>
        <w:pStyle w:val="BodyText"/>
      </w:pPr>
      <w:r>
        <w:rPr>
          <w:b/>
          <w:bCs/>
        </w:rPr>
        <w:t xml:space="preserve">Correspondence:</w:t>
      </w:r>
      <w:r>
        <w:t xml:space="preserve"> </w:t>
      </w:r>
      <w:r>
        <w:t xml:space="preserve">subar.kannan@mmu.edu.my</w:t>
      </w:r>
    </w:p>
    <w:p>
      <w:r>
        <w:pict>
          <v:rect style="width:0;height:1.5pt" o:hralign="center" o:hrstd="t" o:hr="t"/>
        </w:pict>
      </w:r>
    </w:p>
    <w:bookmarkStart w:id="9" w:name="abstract"/>
    <w:p>
      <w:pPr>
        <w:pStyle w:val="Heading2"/>
      </w:pPr>
      <w:r>
        <w:rPr>
          <w:rStyle w:val="SectionNumber"/>
        </w:rPr>
        <w:t xml:space="preserve">1.1</w:t>
      </w:r>
      <w:r>
        <w:tab/>
      </w:r>
      <w:r>
        <w:t xml:space="preserve">Abstract</w:t>
      </w:r>
    </w:p>
    <w:p>
      <w:pPr>
        <w:pStyle w:val="FirstParagraph"/>
      </w:pPr>
      <w:r>
        <w:t xml:space="preserve">Explainable AI (XAI) for Internet of Things (IoT) edge intrusion detection has largely been evaluated on a single axis (model accuracy, or at best explanation fidelity) while largely ignoring whether explanations remain affordable, stable, and faithful under the resource and adversarial constraints of real edge deployment. We address this gap in two stages. First, we build a reproducible benchmark that jointly measures fidelity, computational cost, memory footprint, temporal coherence, and adversarial robustness for four widely used post-hoc explainers (TreeSHAP, KernelSHAP, a lightweight KernelSHAP variant, and LIME) across two models (LightGBM, a compact multilayer perceptron) under three simulated edge resource tiers (Raspberry Pi 4-, Jetson Nano-, and unconstrained-class budgets), operationalizing metrics (the Computational Complexity Score, Memory Footprint Ratio, and the Unified Multi-Criteria Evaluation Framework for IoT (UMCEF_IoT)) that a recent survey formalized by equation but never computed on real data. Second, responding to the field’s explicit call for causal and graph-based explainers tailored to network telemetry rather than imported tabular methods, we propose CC-SHAP (Causal-Consolidated SHAP): a lightweight post-processing layer that learns a bounded causal skeleton offline, once, and uses it to consolidate attribution mass onto the strongest signal within each causally entangled feature cluster. Evaluated at production scale on real CICIoT2023 traffic (balanced 8-class, 10,000 samples/class) and replicated on a structurally different dataset, Edge-IIoTset (15-class, 42-feature, duplicate-leakage-corrected), CC-SHAP is the most adversarially robust explainer of all five tested at every perturbation strength on both datasets, and by far the sparsest, while ranking a close second (CICIoT2023, UMCEF_IoT = 0.708 vs. the leader’s 0.713, a gap we do not characterize as a statistical tie) and first (Edge-IIoTset, UMCEF_IoT = 0.769) on the composite score: a real, bounded fidelity trade-off that replicates across two structurally different datasets rather than a single-dataset artifact and that a weighting-sensitivity check confirms is not an artifact of one arbitrary scoring choice. A dedicated ablation further tests whether this advantage requires causal structure specifically, finding a more nuanced picture than either extreme: correlation-informed feature grouping reliably outperforms a size-matched random grouping on sparsity, but its robustness benefit is model-dependent, helping the tree-ensemble base explainer and hurting the neural-network base explainer relative to random grouping, a reversal we report rather than obscure. We report every trade-off transparently, including two data-quality issues discovered and corrected during the production runs, and release the full pipeline as an open-source, zero-budget benchmark.</w:t>
      </w:r>
    </w:p>
    <w:p>
      <w:pPr>
        <w:pStyle w:val="BodyText"/>
      </w:pPr>
      <w:r>
        <w:rPr>
          <w:b/>
          <w:bCs/>
        </w:rPr>
        <w:t xml:space="preserve">Keywords:</w:t>
      </w:r>
      <w:r>
        <w:t xml:space="preserve"> </w:t>
      </w:r>
      <w:r>
        <w:t xml:space="preserve">explainable artificial intelligence; Internet of Things; edge computing; intrusion detection; SHAP; causal inference; adversarial robustness; resource-constrained deployment; CICIoT2023; Edge-IIoTset</w:t>
      </w:r>
    </w:p>
    <w:p>
      <w:r>
        <w:pict>
          <v:rect style="width:0;height:1.5pt" o:hralign="center" o:hrstd="t" o:hr="t"/>
        </w:pict>
      </w:r>
    </w:p>
    <w:bookmarkEnd w:id="9"/>
    <w:bookmarkStart w:id="10" w:name="introduction"/>
    <w:p>
      <w:pPr>
        <w:pStyle w:val="Heading2"/>
      </w:pPr>
      <w:r>
        <w:rPr>
          <w:rStyle w:val="SectionNumber"/>
        </w:rPr>
        <w:t xml:space="preserve">1.2</w:t>
      </w:r>
      <w:r>
        <w:tab/>
      </w:r>
      <w:r>
        <w:t xml:space="preserve">1. Introduction</w:t>
      </w:r>
    </w:p>
    <w:p>
      <w:pPr>
        <w:pStyle w:val="FirstParagraph"/>
      </w:pPr>
      <w:r>
        <w:t xml:space="preserve">The Internet of Things (IoT) has become the primary attack surface for network intrusions, and machine-learned intrusion detection systems (IDS) are now standard components of IoT security stacks [1,2]. As these models have grown more capable, they have also grown more opaque, and explainable AI (XAI) has been proposed as the remedy: post-hoc attribution methods such as SHAP [3] and LIME [4] are routinely layered onto IoT-IDS classifiers to justify their decisions to operators, auditors, and regulators [5,6]. A 2026 state-of-the-art survey by Karras et al. [1] (the direct point of departure for this paper) synthesizes this literature and identifies a</w:t>
      </w:r>
      <w:r>
        <w:t xml:space="preserve"> </w:t>
      </w:r>
      <w:r>
        <w:rPr>
          <w:i/>
          <w:iCs/>
        </w:rPr>
        <w:t xml:space="preserve">resource–interpretability gap</w:t>
      </w:r>
      <w:r>
        <w:t xml:space="preserve">: computationally intensive explainers are applied on constrained edge and federated platforms without the explanation cost itself being measured against the device’s actual latency, memory, or energy budget. An independent, contemporaneous evidence synthesis spanning more than 200 papers [7] converges on the same diagnosis from a different direction: the field has weak evidence that IoT-edge explanations are faithful, robust, or deployable, because most studies validate on static benchmark datasets rather than live or adversarial conditions, and rely almost exclusively on SHAP and LIME, methods imported from generic tabular machine learning rather than designed for temporal, relational network telemetry.</w:t>
      </w:r>
    </w:p>
    <w:p>
      <w:pPr>
        <w:pStyle w:val="BodyText"/>
      </w:pPr>
      <w:r>
        <w:t xml:space="preserve">Both sources converge on a second, sharper point. Karras et al. [1] formalize a hardware-centric evaluation framework (the Computational Complexity Score (CCS), Memory Footprint Ratio (MFR), Temporal Coherence (TC), and a Unified Multi-Criteria Evaluation Framework for IoT (UMCEF_IoT) that aggregates fidelity, efficiency, robustness, and sparsity into one composite score), but these metrics are defined by equation and never computed on real IoT traffic in that survey, nor, to our knowledge, anywhere else in the literature we were able to locate. The evidence synthesis [7] independently lists two open research questions that this gap leaves unanswered: (i)</w:t>
      </w:r>
      <w:r>
        <w:t xml:space="preserve"> </w:t>
      </w:r>
      <w:r>
        <w:rPr>
          <w:i/>
          <w:iCs/>
        </w:rPr>
        <w:t xml:space="preserve">how can explanations be made faithful, low-latency, and adversarially robust on heterogeneous edge hardware?</w:t>
      </w:r>
      <w:r>
        <w:t xml:space="preserve">, and (ii)</w:t>
      </w:r>
      <w:r>
        <w:t xml:space="preserve"> </w:t>
      </w:r>
      <w:r>
        <w:rPr>
          <w:i/>
          <w:iCs/>
        </w:rPr>
        <w:t xml:space="preserve">what network-native XAI methods best explain temporal, relational, multi-protocol IoT traffic, given that most work still adapts generic SHAP or LIME rather than causal, graph-based, or protocol-aware alternatives?</w:t>
      </w:r>
    </w:p>
    <w:p>
      <w:pPr>
        <w:pStyle w:val="BodyText"/>
      </w:pPr>
      <w:r>
        <w:t xml:space="preserve">This paper answers both questions with a single, reproducible empirical study and one new technique.</w:t>
      </w:r>
    </w:p>
    <w:p>
      <w:pPr>
        <w:pStyle w:val="BodyText"/>
      </w:pPr>
      <w:r>
        <w:rPr>
          <w:b/>
          <w:bCs/>
        </w:rPr>
        <w:t xml:space="preserve">Contribution 1: the benchmark.</w:t>
      </w:r>
      <w:r>
        <w:t xml:space="preserve"> </w:t>
      </w:r>
      <w:r>
        <w:t xml:space="preserve">We implement the full hardware-centric metric suite that Karras et al. [1] define but do not compute: CCS, MFR, TC, and the UMCEF_IoT composite (their Equation 58), together with a deletion/insertion fidelity measure and a top-</w:t>
      </w:r>
      <w:r>
        <w:rPr>
          <w:i/>
          <w:iCs/>
        </w:rPr>
        <w:t xml:space="preserve">k</w:t>
      </w:r>
      <w:r>
        <w:t xml:space="preserve"> </w:t>
      </w:r>
      <w:r>
        <w:t xml:space="preserve">feature-overlap robustness measure, and apply them to four explainers (TreeSHAP, KernelSHAP, a lightweight/sparsified KernelSHAP variant, and LIME) across two edge-representative models (a LightGBM ensemble and a compact multilayer perceptron, under 5,000 parameters) under three simulated resource tiers calibrated to Raspberry Pi 4, Jetson Nano, and an unconstrained baseline. Each (explainer, model, tier) cell is measured inside an isolated, resource-capped subprocess so that a hard out-of-memory failure or allocator stall is recorded as data rather than crashing the experiment.</w:t>
      </w:r>
    </w:p>
    <w:p>
      <w:pPr>
        <w:pStyle w:val="BodyText"/>
      </w:pPr>
      <w:r>
        <w:rPr>
          <w:b/>
          <w:bCs/>
        </w:rPr>
        <w:t xml:space="preserve">Contribution 2: CC-SHAP.</w:t>
      </w:r>
      <w:r>
        <w:t xml:space="preserve"> </w:t>
      </w:r>
      <w:r>
        <w:t xml:space="preserve">Directly answering the field’s call for causal, network-native explainers [1,7], we propose Causal-Consolidated SHAP (CC-SHAP): a post-processing layer, not a new attribution algorithm from scratch, that learns a bounded causal skeleton (a conditioning-set-limited PC-algorithm variant) over the training features once, offline, and at explanation time consolidates a base explainer’s attribution mass onto the single strongest feature within each causally entangled cluster, rather than allowing it to be split ambiguously across correlated duplicates, a documented instability source for SHAP-family methods. Because the causal structure is learned once and reused, and the consolidation step itself is a cheap union-find pass, CC-SHAP’s marginal cost over its base explainer is negligible.</w:t>
      </w:r>
    </w:p>
    <w:p>
      <w:pPr>
        <w:pStyle w:val="BodyText"/>
      </w:pPr>
      <w:r>
        <w:rPr>
          <w:b/>
          <w:bCs/>
        </w:rPr>
        <w:t xml:space="preserve">Contribution 3: adversarial comparability.</w:t>
      </w:r>
      <w:r>
        <w:t xml:space="preserve"> </w:t>
      </w:r>
      <w:r>
        <w:t xml:space="preserve">We implement both a single-step (FGSM) and a true iterative multiclass DeepFool attack, epsilon-clipped for comparability across a fixed perturbation budget, giving results directly comparable to the field’s most-cited IoT-XAI robustness reference [8], alongside a black-box boundary attack for the non-differentiable tree ensemble.</w:t>
      </w:r>
    </w:p>
    <w:p>
      <w:pPr>
        <w:pStyle w:val="BodyText"/>
      </w:pPr>
      <w:r>
        <w:rPr>
          <w:b/>
          <w:bCs/>
        </w:rPr>
        <w:t xml:space="preserve">Contribution 4: cross-dataset replication.</w:t>
      </w:r>
      <w:r>
        <w:t xml:space="preserve"> </w:t>
      </w:r>
      <w:r>
        <w:t xml:space="preserve">We validate every finding twice: at production scale on CICIoT2023 [9] (balanced 8-class grouping, 10,000 samples per class, 79,999 rows after data-quality correction) and again on Edge-IIoTset [10] (15-class, 42-feature, duplicate-leakage-corrected), a structurally different dataset with a different class count, feature semantics, and data-quality profile. The result replicates on both: CC-SHAP is the most robust explainer of all five at every tested perturbation strength on both datasets, and by far the sparsest, trading a real but bounded fidelity cost for that gain.</w:t>
      </w:r>
    </w:p>
    <w:p>
      <w:pPr>
        <w:pStyle w:val="BodyText"/>
      </w:pPr>
      <w:r>
        <w:t xml:space="preserve">The remainder of this paper is organized as follows. Section 2 reviews the IoT-edge XAI literature and positions our contribution against it. Section 3 details the datasets, models, explainers, the CC-SHAP technique, the resource-cap and adversarial harnesses, and the evaluation metrics. Section 4 reports results at production scale on both datasets. Section 5 discusses the findings, their limitations, and their implications. Section 6 concludes.</w:t>
      </w:r>
    </w:p>
    <w:p>
      <w:r>
        <w:pict>
          <v:rect style="width:0;height:1.5pt" o:hralign="center" o:hrstd="t" o:hr="t"/>
        </w:pict>
      </w:r>
    </w:p>
    <w:bookmarkEnd w:id="10"/>
    <w:bookmarkStart w:id="19" w:name="related-work"/>
    <w:p>
      <w:pPr>
        <w:pStyle w:val="Heading2"/>
      </w:pPr>
      <w:r>
        <w:rPr>
          <w:rStyle w:val="SectionNumber"/>
        </w:rPr>
        <w:t xml:space="preserve">1.3</w:t>
      </w:r>
      <w:r>
        <w:tab/>
      </w:r>
      <w:r>
        <w:t xml:space="preserve">2. Related Work</w:t>
      </w:r>
    </w:p>
    <w:bookmarkStart w:id="11" w:name="xai-for-iot-intrusion-detection"/>
    <w:p>
      <w:pPr>
        <w:pStyle w:val="Heading3"/>
      </w:pPr>
      <w:r>
        <w:rPr>
          <w:rStyle w:val="SectionNumber"/>
        </w:rPr>
        <w:t xml:space="preserve">1.3.1</w:t>
      </w:r>
      <w:r>
        <w:tab/>
      </w:r>
      <w:r>
        <w:t xml:space="preserve">2.1. XAI for IoT Intrusion Detection</w:t>
      </w:r>
    </w:p>
    <w:p>
      <w:pPr>
        <w:pStyle w:val="FirstParagraph"/>
      </w:pPr>
      <w:r>
        <w:t xml:space="preserve">Post-hoc, model-agnostic explainability has become the default approach for IoT-IDS because contemporary detectors rely on deep neural networks and ensemble methods whose predictive performance cannot be matched by inherently interpretable models (decision trees, linear models) without substantial accuracy loss [1]. SHAP [3] and LIME [4] dominate this literature: Houda et al. [11] and Keshk et al. [12] use SHAP-based explanations to justify deep-learning IDS decisions; Moustafa et al. [13] survey explainable cyber-defence opportunities for IoT broadly. Ogunseyi et al. [14] formalize what they term the accuracy–efficiency–explainability trilemma in a systematic review of explainable deep-learning IDS, concluding that the three objectives are rarely optimized jointly. Karras et al. [1] extend this diagnosis into a full hardware-centric taxonomy spanning device, edge, and cloud deployment tiers, and is the survey this paper is a direct empirical companion to. A large and still-growing body of applied work instantiates single-system versions of this pattern, a detector paired with a post-hoc explainer evaluated on accuracy and a qualitative inspection of attributions rather than against a resource or robustness budget: Mohamed et al.’s APEX-IDS [37] combines CNN–LSTM detection with SHAP and LIME across five benchmark datasets; Madhanraj’s XAI-IoTIDS [39] pairs Bayesian-optimized XGBoost with SHAP on CICIoT2023; Loi, Canavese, and Regano [38] apply SHAP directly to an industrial-IoT IDS; Zhang et al.’s GBFKAN [29] uses a Kolmogorov–Arnold network layer specifically to make a gated BiLSTM architecture’s internal decision paths more inspectable, supplementing (rather than replacing) a post-hoc SHAP pass. None of these report explanation cost, memory footprint, or adversarial robustness alongside their accuracy numbers, the omission this paper’s benchmark is designed to close.</w:t>
      </w:r>
    </w:p>
    <w:bookmarkEnd w:id="11"/>
    <w:bookmarkStart w:id="12" w:name="X061bc698ff1345500c0701b93cbb3c4769db778"/>
    <w:p>
      <w:pPr>
        <w:pStyle w:val="Heading3"/>
      </w:pPr>
      <w:r>
        <w:rPr>
          <w:rStyle w:val="SectionNumber"/>
        </w:rPr>
        <w:t xml:space="preserve">1.3.2</w:t>
      </w:r>
      <w:r>
        <w:tab/>
      </w:r>
      <w:r>
        <w:t xml:space="preserve">2.2. Federated, Lightweight, and Resource-Aware Explainability</w:t>
      </w:r>
    </w:p>
    <w:p>
      <w:pPr>
        <w:pStyle w:val="FirstParagraph"/>
      </w:pPr>
      <w:r>
        <w:t xml:space="preserve">A second strand of the literature moves XAI into federated and split-learning architectures to preserve privacy while explaining distributed models [1,15,16]. Zhao et al. [17] report a split federated IDS for consumer healthcare achieving millisecond-scale inference but acknowledge substantial per-round communication overhead for the accompanying explanations; Singh and Roy [18] reframe explanation as a system service (Explainability-as-a-Service) with caching and adaptive delivery, reporting a 38% latency reduction across edge use cases. Nassef et al. [19] target lightweight, energy-aware intrusion detection for industrial IoT using TinyML. Narkedimilli et al.’s FedGuard-IIoT [45] and Elsayed, Zamzam, and Ashour’s federated IIoT-IDS [46] both report that centralized training outperforms federated variants on raw accuracy (the latter study: 97.7% centralized vs. 95% federated on Edge-IIoTset) while arguing the federated route is still preferable once privacy and client-heterogeneity constraints are counted, a trade-off reported qualitatively rather than folded into a single comparable score, which is exactly the role the UMCEF_IoT composite (Section 3.6) is designed to play. On the model-compression side, Umair et al. [27] distill a teacher IDS into a lightweight student (263k to 120k parameters, 1.00 MB to 471.67 KB) and confirm with SHAP that the distilled model retains the teacher’s key feature attributions, compressing the</w:t>
      </w:r>
      <w:r>
        <w:t xml:space="preserve"> </w:t>
      </w:r>
      <w:r>
        <w:rPr>
          <w:i/>
          <w:iCs/>
        </w:rPr>
        <w:t xml:space="preserve">model</w:t>
      </w:r>
      <w:r>
        <w:t xml:space="preserve"> </w:t>
      </w:r>
      <w:r>
        <w:t xml:space="preserve">rather than the</w:t>
      </w:r>
      <w:r>
        <w:t xml:space="preserve"> </w:t>
      </w:r>
      <w:r>
        <w:rPr>
          <w:i/>
          <w:iCs/>
        </w:rPr>
        <w:t xml:space="preserve">explanation</w:t>
      </w:r>
      <w:r>
        <w:t xml:space="preserve">, a complementary axis to this paper’s focus on explainer-side cost. Kalpana and Jayalakshmi [28] report a SHAP-explained LSTM-CatBoost hybrid for CICIoT2023 with edge quantization cutting model size by 94.1% and latency by 86.2%, again without reporting the explanation call’s own cost against that shrunken latency budget. Across this literature, the recurring finding is that explanation cost is measured inconsistently or not at all relative to the hardware budget it must fit. That is precisely the gap Karras et al. [1] formalize and that we close empirically in Section 4.</w:t>
      </w:r>
    </w:p>
    <w:bookmarkEnd w:id="12"/>
    <w:bookmarkStart w:id="13" w:name="X4f47a9ab600bdc4f0ad73584f3e2a2bb1abc8f0"/>
    <w:p>
      <w:pPr>
        <w:pStyle w:val="Heading3"/>
      </w:pPr>
      <w:r>
        <w:rPr>
          <w:rStyle w:val="SectionNumber"/>
        </w:rPr>
        <w:t xml:space="preserve">1.3.3</w:t>
      </w:r>
      <w:r>
        <w:tab/>
      </w:r>
      <w:r>
        <w:t xml:space="preserve">2.3. Evaluation Rigor and the Case for Causal, Network-Native Explainers</w:t>
      </w:r>
    </w:p>
    <w:p>
      <w:pPr>
        <w:pStyle w:val="FirstParagraph"/>
      </w:pPr>
      <w:r>
        <w:t xml:space="preserve">Several recent evaluation studies find that predictive accuracy does not imply explanation fidelity: Kalakoti et al. [20] report a systematic, quantitative evaluation of explainer fidelity for IoT botnet detection, finding substantial variation in faithfulness among explainers that perform similarly on raw accuracy. Munilla and Khammas [8] test explanation stability under DeepFool adversarial perturbation against DNN-based IoT-IDS and find explanations are frequently more fragile than the underlying model’s predictions, the specific robustness protocol we replicate and extend in Section 3.4. Nascita et al. [22], surveying explainable AI for internet traffic classification and intrusion detection, argue explicitly that methods imported from tabular machine learning are not tailored to the temporal, relational structure of network telemetry, and call for causal, graph-based, or protocol-aware alternatives, a call echoed independently by the evidence synthesis underlying this paper [7] and by the</w:t>
      </w:r>
      <w:r>
        <w:t xml:space="preserve"> </w:t>
      </w:r>
      <w:r>
        <w:t xml:space="preserve">“Causal Semantics”</w:t>
      </w:r>
      <w:r>
        <w:t xml:space="preserve"> </w:t>
      </w:r>
      <w:r>
        <w:t xml:space="preserve">pillar Karras et al. [1] list among three unaddressed transformative research frontiers in their own survey’s forward-looking discussion. A small number of recent studies move toward graph-structured alternatives without adopting a causal framing specifically: Kumar et al. [30] pair a graph neural network with an attention mechanism and federated training for edge intrusion detection on Edge-IIoTset and TON_IoT, and report the GNN’s attention weights as a qualitative explanation surface, while O’Shea et al. [31], outside the IoT-IDS domain but methodologically adjacent, use explainable graph ensemble learning for multivariate time-series anomaly detection in cloud microservices. Neither work constructs an explicit causal graph over the feature space or quantifies how structure-aware attribution compares to generic SHAP/LIME under a matched robustness protocol. To our knowledge, no prior IoT-edge XAI study has implemented and evaluated a causal explainer against this exact resource-aware, adversarially-tested protocol; CC-SHAP (Section 3.3) is proposed to close that gap directly.</w:t>
      </w:r>
    </w:p>
    <w:bookmarkEnd w:id="13"/>
    <w:bookmarkStart w:id="14" w:name="adversarial-robustness-of-explanations"/>
    <w:p>
      <w:pPr>
        <w:pStyle w:val="Heading3"/>
      </w:pPr>
      <w:r>
        <w:rPr>
          <w:rStyle w:val="SectionNumber"/>
        </w:rPr>
        <w:t xml:space="preserve">1.3.4</w:t>
      </w:r>
      <w:r>
        <w:tab/>
      </w:r>
      <w:r>
        <w:t xml:space="preserve">2.4. Adversarial Robustness of Explanations</w:t>
      </w:r>
    </w:p>
    <w:p>
      <w:pPr>
        <w:pStyle w:val="FirstParagraph"/>
      </w:pPr>
      <w:r>
        <w:t xml:space="preserve">A distinct and smaller literature treats the explanation itself, rather than the underlying classifier, as the object under adversarial attack or adversarial defense. Sharma et al. [33] invert the usual direction of use, employing SHAP</w:t>
      </w:r>
      <w:r>
        <w:t xml:space="preserve"> </w:t>
      </w:r>
      <w:r>
        <w:rPr>
          <w:i/>
          <w:iCs/>
        </w:rPr>
        <w:t xml:space="preserve">DeepExplainer</w:t>
      </w:r>
      <w:r>
        <w:t xml:space="preserve"> </w:t>
      </w:r>
      <w:r>
        <w:t xml:space="preserve">attribution fingerprints as a detector of adversarially perturbed inputs rather than as an end-user-facing explanation, reporting that subtle shifts in per-feature attribution reliably flag evasion attempts that the classifier alone misses. Zhang et al.’s NonsaliencyCrossover [32] generates black-box adversarial examples by crossing over the</w:t>
      </w:r>
      <w:r>
        <w:t xml:space="preserve"> </w:t>
      </w:r>
      <w:r>
        <w:rPr>
          <w:i/>
          <w:iCs/>
        </w:rPr>
        <w:t xml:space="preserve">non-salient</w:t>
      </w:r>
      <w:r>
        <w:t xml:space="preserve"> </w:t>
      </w:r>
      <w:r>
        <w:t xml:space="preserve">(low-attribution) portion of one traffic sample into another, explicitly exploiting the sparsity structure an explainer reveals to construct attacks more query-efficient than six state-of-the-art baselines, a finding with a direct implication for this paper’s own adversarial protocol (Section 3.5): an explainer’s sparsity pattern is not merely a usability property but a potential attack surface, a tension we return to in Section 5.4. Du et al. [34] combine ensemble adversarial training with explanation-based resilience diagnostics as a joint defense layer for AI-powered IDS, evaluating evasion-attack survivability rather than deletion/insertion fidelity. None of these three studies reports the</w:t>
      </w:r>
      <w:r>
        <w:t xml:space="preserve"> </w:t>
      </w:r>
      <w:r>
        <w:rPr>
          <w:i/>
          <w:iCs/>
        </w:rPr>
        <w:t xml:space="preserve">computational</w:t>
      </w:r>
      <w:r>
        <w:t xml:space="preserve"> </w:t>
      </w:r>
      <w:r>
        <w:t xml:space="preserve">cost of the explanation-robustness pipeline itself against an edge resource budget, which is where the present paper’s contribution is positioned relative to this group: we treat adversarial robustness of the explanation as one axis of a four-axis composite (fidelity, efficiency, robustness, sparsity) rather than as a standalone defense mechanism.</w:t>
      </w:r>
    </w:p>
    <w:bookmarkEnd w:id="14"/>
    <w:bookmarkStart w:id="15" w:name="evaluation-frameworks-for-iotiiot-xai"/>
    <w:p>
      <w:pPr>
        <w:pStyle w:val="Heading3"/>
      </w:pPr>
      <w:r>
        <w:rPr>
          <w:rStyle w:val="SectionNumber"/>
        </w:rPr>
        <w:t xml:space="preserve">1.3.5</w:t>
      </w:r>
      <w:r>
        <w:tab/>
      </w:r>
      <w:r>
        <w:t xml:space="preserve">2.5. Evaluation Frameworks for IoT/IIoT XAI</w:t>
      </w:r>
    </w:p>
    <w:p>
      <w:pPr>
        <w:pStyle w:val="FirstParagraph"/>
      </w:pPr>
      <w:r>
        <w:t xml:space="preserve">A parallel thread of work builds general-purpose evaluation frameworks for XAI methods rather than proposing a new explainer. Abdallah et al.’s E-XAI [35] evaluates SHAP and LIME as black-box explainers across seven AI methods and three network-intrusion datasets along six metrics (descriptive accuracy, sparsity, stability, efficiency, robustness, and completeness), a metric vocabulary that substantially overlaps with, but does not include, the hardware-centric CCS/MFR pairing this paper computes. Gummadi et al.’s E-RXAI-IoT [21] runs a comparable seven-metric evaluation specifically for</w:t>
      </w:r>
      <w:r>
        <w:t xml:space="preserve"> </w:t>
      </w:r>
      <w:r>
        <w:rPr>
          <w:i/>
          <w:iCs/>
        </w:rPr>
        <w:t xml:space="preserve">rule-based</w:t>
      </w:r>
      <w:r>
        <w:t xml:space="preserve"> </w:t>
      </w:r>
      <w:r>
        <w:t xml:space="preserve">XAI methods (Anchor, RuleFit) across two IoT anomaly-detection datasets, finding that rule-based explainers’ interpretability advantage comes with measurable fidelity and coverage trade-offs against the post-hoc SHAP/LIME family this paper benchmarks. Sathvik and Saini’s survey [36] of 21 trustworthy-AI papers identifies what they term a</w:t>
      </w:r>
      <w:r>
        <w:t xml:space="preserve"> </w:t>
      </w:r>
      <w:r>
        <w:t xml:space="preserve">“privacy–transparency paradox”</w:t>
      </w:r>
      <w:r>
        <w:t xml:space="preserve"> </w:t>
      </w:r>
      <w:r>
        <w:t xml:space="preserve">(explanations detailed enough to earn operator trust also expose the decision boundary to model-inversion attack) and surveys compact distillation frameworks and attribution fingerprinting (cf. [27,33]) as partial responses. None of these frameworks evaluates explainers under a simulated edge resource cap with isolated per-cell measurement, which is the specific methodological contribution Section 3.4’s harness makes to this line of work.</w:t>
      </w:r>
    </w:p>
    <w:bookmarkEnd w:id="15"/>
    <w:bookmarkStart w:id="16" w:name="X3ff1be500e606abdecd4842fb4709a7d3df42ec"/>
    <w:p>
      <w:pPr>
        <w:pStyle w:val="Heading3"/>
      </w:pPr>
      <w:r>
        <w:rPr>
          <w:rStyle w:val="SectionNumber"/>
        </w:rPr>
        <w:t xml:space="preserve">1.3.6</w:t>
      </w:r>
      <w:r>
        <w:tab/>
      </w:r>
      <w:r>
        <w:t xml:space="preserve">2.6. Applied SHAP/LIME Systems Across IoT and IIoT Domains</w:t>
      </w:r>
    </w:p>
    <w:p>
      <w:pPr>
        <w:pStyle w:val="FirstParagraph"/>
      </w:pPr>
      <w:r>
        <w:t xml:space="preserve">Beyond the evaluation-focused studies above, a broad applied literature deploys SHAP or LIME as a fixed, un-interrogated component inside a larger detection pipeline, typically reporting accuracy and a qualitative attribution plot rather than any of the dimensions this paper measures. Representative recent examples include Saiyed and Al-Anbagi’s HEAD system [40], which uses the geometric mean of normalized SHAP and LIME scores for joint feature selection in DDoS detection for industrial IoT, and the same authors’ interactive SHAP-explained DDoS detector for consumer IoT [41]; Nwakanma et al.’s Tree-LIME approach for SCADA-edge intrusion detection [42]; Joshi and Prakash’s hybrid SHAP–fuzzy framework for IoT botnet detection [43], which uses SHAP attributions as inputs to a fuzzy-rule layer rather than as the end-user explanation directly; and Tewari’s white-box IDS architecture [44], which argues for inherently interpretable models over post-hoc explanation of black-box ones, a position this paper’s own Introduction (Section 1) notes as the minority view in a literature still dominated by the post-hoc SHAP/LIME default [1]. This group of studies collectively illustrates the scale of the applied gap Karras et al. [1] and the evidence synthesis underlying this paper [7] diagnose: dozens of systems ship a post-hoc explainer as a feature, essentially none measure what that explainer costs the device it runs on, or whether it survives the adversarial conditions the detector itself is built to withstand.</w:t>
      </w:r>
    </w:p>
    <w:bookmarkEnd w:id="16"/>
    <w:bookmarkStart w:id="17" w:name="positioning-this-paper"/>
    <w:p>
      <w:pPr>
        <w:pStyle w:val="Heading3"/>
      </w:pPr>
      <w:r>
        <w:rPr>
          <w:rStyle w:val="SectionNumber"/>
        </w:rPr>
        <w:t xml:space="preserve">1.3.7</w:t>
      </w:r>
      <w:r>
        <w:tab/>
      </w:r>
      <w:r>
        <w:t xml:space="preserve">2.7. Positioning This Paper</w:t>
      </w:r>
    </w:p>
    <w:p>
      <w:pPr>
        <w:pStyle w:val="FirstParagraph"/>
      </w:pPr>
      <w:r>
        <w:t xml:space="preserve">Table 0 summarizes where the studies reviewed in Sections 2.1–2.6 sit relative to the four evaluation axes this paper’s benchmark reports jointly (fidelity, efficiency/resource-cap, adversarial robustness, sparsity), and relative to its proposed explainer family (generic post-hoc SHAP/LIME vs. causal or graph-structured). No reviewed study reports all four axes jointly, and only the two causal/graph-adjacent studies [30,31] move away from generic tabular SHAP/LIME toward a structure-aware explainer, neither with a resource cap or adversarial test.</w:t>
      </w:r>
    </w:p>
    <w:p>
      <w:pPr>
        <w:pStyle w:val="BodyText"/>
      </w:pPr>
      <w:r>
        <w:rPr>
          <w:b/>
          <w:bCs/>
        </w:rPr>
        <w:t xml:space="preserve">Table 0.</w:t>
      </w:r>
      <w:r>
        <w:t xml:space="preserve"> </w:t>
      </w:r>
      <w:r>
        <w:t xml:space="preserve">Positioning of this paper against the closest prior IoT/IIoT-XAI literature, by evaluation axis and explainer family.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Study</w:t>
            </w:r>
          </w:p>
        </w:tc>
        <w:tc>
          <w:tcPr/>
          <w:p>
            <w:pPr>
              <w:pStyle w:val="Compact"/>
            </w:pPr>
            <w:r>
              <w:t xml:space="preserve">Fidelity</w:t>
            </w:r>
          </w:p>
        </w:tc>
        <w:tc>
          <w:tcPr/>
          <w:p>
            <w:pPr>
              <w:pStyle w:val="Compact"/>
            </w:pPr>
            <w:r>
              <w:t xml:space="preserve">Resource cost</w:t>
            </w:r>
          </w:p>
        </w:tc>
        <w:tc>
          <w:tcPr/>
          <w:p>
            <w:pPr>
              <w:pStyle w:val="Compact"/>
            </w:pPr>
            <w:r>
              <w:t xml:space="preserve">Adversarial robustness</w:t>
            </w:r>
          </w:p>
        </w:tc>
        <w:tc>
          <w:tcPr/>
          <w:p>
            <w:pPr>
              <w:pStyle w:val="Compact"/>
            </w:pPr>
            <w:r>
              <w:t xml:space="preserve">Sparsity</w:t>
            </w:r>
          </w:p>
        </w:tc>
        <w:tc>
          <w:tcPr/>
          <w:p>
            <w:pPr>
              <w:pStyle w:val="Compact"/>
            </w:pPr>
            <w:r>
              <w:t xml:space="preserve">Explainer family</w:t>
            </w:r>
          </w:p>
        </w:tc>
      </w:tr>
      <w:tr>
        <w:tc>
          <w:tcPr/>
          <w:p>
            <w:pPr>
              <w:pStyle w:val="Compact"/>
            </w:pPr>
            <w:r>
              <w:t xml:space="preserve">Karras et al. [1] (survey; metrics formalized, not computed)</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generic SHAP/LIME (surveyed)</w:t>
            </w:r>
          </w:p>
        </w:tc>
      </w:tr>
      <w:tr>
        <w:tc>
          <w:tcPr/>
          <w:p>
            <w:pPr>
              <w:pStyle w:val="Compact"/>
            </w:pPr>
            <w:r>
              <w:t xml:space="preserve">Munilla &amp; Khammas [8]</w:t>
            </w:r>
          </w:p>
        </w:tc>
        <w:tc>
          <w:tcPr/>
          <w:p>
            <w:pPr>
              <w:pStyle w:val="Compact"/>
            </w:pPr>
            <w:r>
              <w:t xml:space="preserve">n/a</w:t>
            </w:r>
          </w:p>
        </w:tc>
        <w:tc>
          <w:tcPr/>
          <w:p>
            <w:pPr>
              <w:pStyle w:val="Compact"/>
            </w:pPr>
            <w:r>
              <w:t xml:space="preserve">n/a</w:t>
            </w:r>
          </w:p>
        </w:tc>
        <w:tc>
          <w:tcPr/>
          <w:p>
            <w:pPr>
              <w:pStyle w:val="Compact"/>
            </w:pPr>
            <w:r>
              <w:t xml:space="preserve">✓</w:t>
            </w:r>
          </w:p>
        </w:tc>
        <w:tc>
          <w:tcPr/>
          <w:p>
            <w:pPr>
              <w:pStyle w:val="Compact"/>
            </w:pPr>
            <w:r>
              <w:t xml:space="preserve">n/a</w:t>
            </w:r>
          </w:p>
        </w:tc>
        <w:tc>
          <w:tcPr/>
          <w:p>
            <w:pPr>
              <w:pStyle w:val="Compact"/>
            </w:pPr>
            <w:r>
              <w:t xml:space="preserve">generic SHAP/LIME</w:t>
            </w:r>
          </w:p>
        </w:tc>
      </w:tr>
      <w:tr>
        <w:tc>
          <w:tcPr/>
          <w:p>
            <w:pPr>
              <w:pStyle w:val="Compact"/>
            </w:pPr>
            <w:r>
              <w:t xml:space="preserve">Kalakoti et al. [20]</w:t>
            </w:r>
          </w:p>
        </w:tc>
        <w:tc>
          <w:tcPr/>
          <w:p>
            <w:pPr>
              <w:pStyle w:val="Compact"/>
            </w:pPr>
            <w:r>
              <w:t xml:space="preserve">✓</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generic SHAP/LIME</w:t>
            </w:r>
          </w:p>
        </w:tc>
      </w:tr>
      <w:tr>
        <w:tc>
          <w:tcPr/>
          <w:p>
            <w:pPr>
              <w:pStyle w:val="Compact"/>
            </w:pPr>
            <w:r>
              <w:t xml:space="preserve">Gummadi et al. [21] (E-RXAI-IoT)</w:t>
            </w:r>
          </w:p>
        </w:tc>
        <w:tc>
          <w:tcPr/>
          <w:p>
            <w:pPr>
              <w:pStyle w:val="Compact"/>
            </w:pPr>
            <w:r>
              <w:t xml:space="preserve">✓</w:t>
            </w:r>
          </w:p>
        </w:tc>
        <w:tc>
          <w:tcPr/>
          <w:p>
            <w:pPr>
              <w:pStyle w:val="Compact"/>
            </w:pPr>
            <w:r>
              <w:t xml:space="preserve">partial (efficiency)</w:t>
            </w:r>
          </w:p>
        </w:tc>
        <w:tc>
          <w:tcPr/>
          <w:p>
            <w:pPr>
              <w:pStyle w:val="Compact"/>
            </w:pPr>
            <w:r>
              <w:t xml:space="preserve">n/a</w:t>
            </w:r>
          </w:p>
        </w:tc>
        <w:tc>
          <w:tcPr/>
          <w:p>
            <w:pPr>
              <w:pStyle w:val="Compact"/>
            </w:pPr>
            <w:r>
              <w:t xml:space="preserve">✓</w:t>
            </w:r>
          </w:p>
        </w:tc>
        <w:tc>
          <w:tcPr/>
          <w:p>
            <w:pPr>
              <w:pStyle w:val="Compact"/>
            </w:pPr>
            <w:r>
              <w:t xml:space="preserve">rule-based (Anchor, RuleFit)</w:t>
            </w:r>
          </w:p>
        </w:tc>
      </w:tr>
      <w:tr>
        <w:tc>
          <w:tcPr/>
          <w:p>
            <w:pPr>
              <w:pStyle w:val="Compact"/>
            </w:pPr>
            <w:r>
              <w:t xml:space="preserve">Abdallah et al. [35] (E-XAI)</w:t>
            </w:r>
          </w:p>
        </w:tc>
        <w:tc>
          <w:tcPr/>
          <w:p>
            <w:pPr>
              <w:pStyle w:val="Compact"/>
            </w:pPr>
            <w:r>
              <w:t xml:space="preserve">✓</w:t>
            </w:r>
          </w:p>
        </w:tc>
        <w:tc>
          <w:tcPr/>
          <w:p>
            <w:pPr>
              <w:pStyle w:val="Compact"/>
            </w:pPr>
            <w:r>
              <w:t xml:space="preserve">partial (efficiency)</w:t>
            </w:r>
          </w:p>
        </w:tc>
        <w:tc>
          <w:tcPr/>
          <w:p>
            <w:pPr>
              <w:pStyle w:val="Compact"/>
            </w:pPr>
            <w:r>
              <w:t xml:space="preserve">✓</w:t>
            </w:r>
          </w:p>
        </w:tc>
        <w:tc>
          <w:tcPr/>
          <w:p>
            <w:pPr>
              <w:pStyle w:val="Compact"/>
            </w:pPr>
            <w:r>
              <w:t xml:space="preserve">✓</w:t>
            </w:r>
          </w:p>
        </w:tc>
        <w:tc>
          <w:tcPr/>
          <w:p>
            <w:pPr>
              <w:pStyle w:val="Compact"/>
            </w:pPr>
            <w:r>
              <w:t xml:space="preserve">generic SHAP/LIME</w:t>
            </w:r>
          </w:p>
        </w:tc>
      </w:tr>
      <w:tr>
        <w:tc>
          <w:tcPr/>
          <w:p>
            <w:pPr>
              <w:pStyle w:val="Compact"/>
            </w:pPr>
            <w:r>
              <w:t xml:space="preserve">Sharma et al. [33]</w:t>
            </w:r>
          </w:p>
        </w:tc>
        <w:tc>
          <w:tcPr/>
          <w:p>
            <w:pPr>
              <w:pStyle w:val="Compact"/>
            </w:pPr>
            <w:r>
              <w:t xml:space="preserve">n/a</w:t>
            </w:r>
          </w:p>
        </w:tc>
        <w:tc>
          <w:tcPr/>
          <w:p>
            <w:pPr>
              <w:pStyle w:val="Compact"/>
            </w:pPr>
            <w:r>
              <w:t xml:space="preserve">n/a</w:t>
            </w:r>
          </w:p>
        </w:tc>
        <w:tc>
          <w:tcPr/>
          <w:p>
            <w:pPr>
              <w:pStyle w:val="Compact"/>
            </w:pPr>
            <w:r>
              <w:t xml:space="preserve">✓ (as a detector)</w:t>
            </w:r>
          </w:p>
        </w:tc>
        <w:tc>
          <w:tcPr/>
          <w:p>
            <w:pPr>
              <w:pStyle w:val="Compact"/>
            </w:pPr>
            <w:r>
              <w:t xml:space="preserve">n/a</w:t>
            </w:r>
          </w:p>
        </w:tc>
        <w:tc>
          <w:tcPr/>
          <w:p>
            <w:pPr>
              <w:pStyle w:val="Compact"/>
            </w:pPr>
            <w:r>
              <w:t xml:space="preserve">generic SHAP</w:t>
            </w:r>
          </w:p>
        </w:tc>
      </w:tr>
      <w:tr>
        <w:tc>
          <w:tcPr/>
          <w:p>
            <w:pPr>
              <w:pStyle w:val="Compact"/>
            </w:pPr>
            <w:r>
              <w:t xml:space="preserve">Kumar et al. [30]</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GNN + attention</w:t>
            </w:r>
          </w:p>
        </w:tc>
      </w:tr>
      <w:tr>
        <w:tc>
          <w:tcPr/>
          <w:p>
            <w:pPr>
              <w:pStyle w:val="Compact"/>
            </w:pPr>
            <w:r>
              <w:t xml:space="preserve">Umair et al. [27]</w:t>
            </w:r>
          </w:p>
        </w:tc>
        <w:tc>
          <w:tcPr/>
          <w:p>
            <w:pPr>
              <w:pStyle w:val="Compact"/>
            </w:pPr>
            <w:r>
              <w:t xml:space="preserve">n/a</w:t>
            </w:r>
          </w:p>
        </w:tc>
        <w:tc>
          <w:tcPr/>
          <w:p>
            <w:pPr>
              <w:pStyle w:val="Compact"/>
            </w:pPr>
            <w:r>
              <w:t xml:space="preserve">partial (model, not explainer)</w:t>
            </w:r>
          </w:p>
        </w:tc>
        <w:tc>
          <w:tcPr/>
          <w:p>
            <w:pPr>
              <w:pStyle w:val="Compact"/>
            </w:pPr>
            <w:r>
              <w:t xml:space="preserve">n/a</w:t>
            </w:r>
          </w:p>
        </w:tc>
        <w:tc>
          <w:tcPr/>
          <w:p>
            <w:pPr>
              <w:pStyle w:val="Compact"/>
            </w:pPr>
            <w:r>
              <w:t xml:space="preserve">n/a</w:t>
            </w:r>
          </w:p>
        </w:tc>
        <w:tc>
          <w:tcPr/>
          <w:p>
            <w:pPr>
              <w:pStyle w:val="Compact"/>
            </w:pPr>
            <w:r>
              <w:t xml:space="preserve">generic SHAP</w:t>
            </w:r>
          </w:p>
        </w:tc>
      </w:tr>
      <w:tr>
        <w:tc>
          <w:tcPr/>
          <w:p>
            <w:pPr>
              <w:pStyle w:val="Compact"/>
            </w:pPr>
            <w:r>
              <w:rPr>
                <w:b/>
                <w:bCs/>
              </w:rPr>
              <w:t xml:space="preserve">This paper</w:t>
            </w:r>
          </w:p>
        </w:tc>
        <w:tc>
          <w:tcPr/>
          <w:p>
            <w:pPr>
              <w:pStyle w:val="Compact"/>
            </w:pPr>
            <w:r>
              <w:rPr>
                <w:b/>
                <w:bCs/>
              </w:rPr>
              <w:t xml:space="preserve">✓</w:t>
            </w:r>
          </w:p>
        </w:tc>
        <w:tc>
          <w:tcPr/>
          <w:p>
            <w:pPr>
              <w:pStyle w:val="Compact"/>
            </w:pPr>
            <w:r>
              <w:rPr>
                <w:b/>
                <w:bCs/>
              </w:rPr>
              <w:t xml:space="preserve">✓ (CCS, MFR, simulated tiers)</w:t>
            </w:r>
          </w:p>
        </w:tc>
        <w:tc>
          <w:tcPr/>
          <w:p>
            <w:pPr>
              <w:pStyle w:val="Compact"/>
            </w:pPr>
            <w:r>
              <w:rPr>
                <w:b/>
                <w:bCs/>
              </w:rPr>
              <w:t xml:space="preserve">✓ (FGSM, DeepFool, black-box)</w:t>
            </w:r>
          </w:p>
        </w:tc>
        <w:tc>
          <w:tcPr/>
          <w:p>
            <w:pPr>
              <w:pStyle w:val="Compact"/>
            </w:pPr>
            <w:r>
              <w:rPr>
                <w:b/>
                <w:bCs/>
              </w:rPr>
              <w:t xml:space="preserve">✓</w:t>
            </w:r>
          </w:p>
        </w:tc>
        <w:tc>
          <w:tcPr/>
          <w:p>
            <w:pPr>
              <w:pStyle w:val="Compact"/>
            </w:pPr>
            <w:r>
              <w:rPr>
                <w:b/>
                <w:bCs/>
              </w:rPr>
              <w:t xml:space="preserve">generic SHAP/LIME + causal (CC-SHAP)</w:t>
            </w:r>
          </w:p>
        </w:tc>
      </w:tr>
    </w:tbl>
    <w:bookmarkEnd w:id="17"/>
    <w:bookmarkStart w:id="18" w:name="datasets"/>
    <w:p>
      <w:pPr>
        <w:pStyle w:val="Heading3"/>
      </w:pPr>
      <w:r>
        <w:rPr>
          <w:rStyle w:val="SectionNumber"/>
        </w:rPr>
        <w:t xml:space="preserve">1.3.8</w:t>
      </w:r>
      <w:r>
        <w:tab/>
      </w:r>
      <w:r>
        <w:t xml:space="preserve">2.8. Datasets</w:t>
      </w:r>
    </w:p>
    <w:p>
      <w:pPr>
        <w:pStyle w:val="FirstParagraph"/>
      </w:pPr>
      <w:r>
        <w:t xml:space="preserve">CICIoT2023 [9] is a large-scale, realistic IoT attack-traffic corpus spanning benign traffic and multiple attack families (DDoS, DoS, reconnaissance, web-based, brute-force, spoofing, and Mirai-derived traffic), released as per-category CSV files without a unified label column. Edge-IIoTset [10] is a comparably scaled industrial-IoT corpus with Normal traffic and 14 attack categories drawn from a richer, protocol-level feature set (including MQTT, Modbus, HTTP, and DNS fields). Because Edge-IIoTset is one of this paper’s two evaluation corpora (Section 3.1), two further studies merit specific mention for their direct bearing on its data quality. Kulrujiphat and Kulrujiphat [47] survey AI-based attack-detection models built on Edge-IIoTset, concluding that feature-selection choices materially drive reported accuracy and that federated learning with local differential privacy is the field’s preferred route to the dataset’s privacy requirements, context relevant to why Section 2.2’s federated-XAI studies gravitate toward this corpus. Dhaou [23] shows that several Edge-IIoTset protocol-identity fields (e.g.,</w:t>
      </w:r>
      <w:r>
        <w:t xml:space="preserve"> </w:t>
      </w:r>
      <w:r>
        <w:rPr>
          <w:rStyle w:val="VerbatimChar"/>
        </w:rPr>
        <w:t xml:space="preserve">dns.qry.name.len</w:t>
      </w:r>
      <w:r>
        <w:t xml:space="preserve">,</w:t>
      </w:r>
      <w:r>
        <w:t xml:space="preserve"> </w:t>
      </w:r>
      <w:r>
        <w:rPr>
          <w:rStyle w:val="VerbatimChar"/>
        </w:rPr>
        <w:t xml:space="preserve">mqtt.topic</w:t>
      </w:r>
      <w:r>
        <w:t xml:space="preserve">) are so strongly correlated with the attack label that a linear classifier alone achieves near-perfect separation on the uncontrolled feature set, a feature-level leakage distinct from, and compounding, the exact-duplicate row leakage we identify and correct empirically in Section 3.1 of our own pipeline, and the direct empirical basis for this paper’s own leakage-control discipline on that corpus. Taken together, these findings (a documented data-quality issue in this dataset family generally, and Edge-IIoTset’s specific feature-level leakage) mean any accuracy number reported on Edge-IIoTset without an explicit account of its row- and feature-level leakage controls should be read cautiously, a caveat we apply to our own Section 4.2 results.</w:t>
      </w:r>
    </w:p>
    <w:p>
      <w:r>
        <w:pict>
          <v:rect style="width:0;height:1.5pt" o:hralign="center" o:hrstd="t" o:hr="t"/>
        </w:pict>
      </w:r>
    </w:p>
    <w:bookmarkEnd w:id="18"/>
    <w:bookmarkEnd w:id="19"/>
    <w:bookmarkStart w:id="31" w:name="materials-and-methods"/>
    <w:p>
      <w:pPr>
        <w:pStyle w:val="Heading2"/>
      </w:pPr>
      <w:r>
        <w:rPr>
          <w:rStyle w:val="SectionNumber"/>
        </w:rPr>
        <w:t xml:space="preserve">1.4</w:t>
      </w:r>
      <w:r>
        <w:tab/>
      </w:r>
      <w:r>
        <w:t xml:space="preserve">3. Materials and Methods</w:t>
      </w:r>
    </w:p>
    <w:bookmarkStart w:id="23" w:name="datasets-and-preprocessing"/>
    <w:p>
      <w:pPr>
        <w:pStyle w:val="Heading3"/>
      </w:pPr>
      <w:r>
        <w:rPr>
          <w:rStyle w:val="SectionNumber"/>
        </w:rPr>
        <w:t xml:space="preserve">1.4.1</w:t>
      </w:r>
      <w:r>
        <w:tab/>
      </w:r>
      <w:r>
        <w:t xml:space="preserve">3.1. Datasets and Preprocessing</w:t>
      </w:r>
    </w:p>
    <w:p>
      <w:pPr>
        <w:pStyle w:val="FirstParagraph"/>
      </w:pPr>
      <w:r>
        <w:rPr>
          <w:b/>
          <w:bCs/>
        </w:rPr>
        <w:t xml:space="preserve">CICIoT2023.</w:t>
      </w:r>
      <w:r>
        <w:t xml:space="preserve"> </w:t>
      </w:r>
      <w:r>
        <w:t xml:space="preserve">We use the official per-category release (34 raw attack/benign subdirectories), grouped into the 8-class scheme most consistent with published CICIoT2023 benchmarks (Benign, DDoS, DoS, Mirai, Recon, Spoofing, Web, BruteForce), stratified-subsampled to 10,000 rows per</w:t>
      </w:r>
      <w:r>
        <w:t xml:space="preserve"> </w:t>
      </w:r>
      <w:r>
        <w:rPr>
          <w:i/>
          <w:iCs/>
        </w:rPr>
        <w:t xml:space="preserve">grouped</w:t>
      </w:r>
      <w:r>
        <w:t xml:space="preserve"> </w:t>
      </w:r>
      <w:r>
        <w:t xml:space="preserve">class. During development we discovered that the naive implementation of this subsampling cap was applied per</w:t>
      </w:r>
      <w:r>
        <w:t xml:space="preserve"> </w:t>
      </w:r>
      <w:r>
        <w:rPr>
          <w:i/>
          <w:iCs/>
        </w:rPr>
        <w:t xml:space="preserve">raw</w:t>
      </w:r>
      <w:r>
        <w:t xml:space="preserve"> </w:t>
      </w:r>
      <w:r>
        <w:t xml:space="preserve">subfolder rather than per final grouped label; since several grouped classes (DDoS, 12 raw subfolders; Web, 6; Recon, 5) aggregate many raw subfolders, this silently inflated those classes to several multiples of the intended 10,000-row cap while single-folder classes (Benign, BruteForce) remained correctly capped, a severe, undisclosed class imbalance that would have inflated accuracy on majority classes and biased every downstream metric. We corrected this by grouping raw subfolders by final label</w:t>
      </w:r>
      <w:r>
        <w:t xml:space="preserve"> </w:t>
      </w:r>
      <w:r>
        <w:rPr>
          <w:i/>
          <w:iCs/>
        </w:rPr>
        <w:t xml:space="preserve">before</w:t>
      </w:r>
      <w:r>
        <w:t xml:space="preserve"> </w:t>
      </w:r>
      <w:r>
        <w:t xml:space="preserve">applying the per-class budget, verified the fix produces exactly balanced classes, and report only results from the corrected loader. A second, independent issue surfaced at the same stage: rate-style features (packets divided by a flow duration that occasionally rounds to zero) contain a small number of literal infinity values (1 of 80,000 rows in the final run) that crash standard-library feature scaling; we detect and drop affected rows with a logged warning rather than allowing a silent crash or silent</w:t>
      </w:r>
      <w:r>
        <w:t xml:space="preserve"> </w:t>
      </w:r>
      <w:r>
        <w:rPr>
          <w:rStyle w:val="VerbatimChar"/>
        </w:rPr>
        <w:t xml:space="preserve">NaN</w:t>
      </w:r>
      <w:r>
        <w:t xml:space="preserve"> </w:t>
      </w:r>
      <w:r>
        <w:t xml:space="preserve">propagation. The final, corrected training set comprises 59,999 training and 20,000 test rows across 39 numeric flow features.</w:t>
      </w:r>
    </w:p>
    <w:p>
      <w:pPr>
        <w:pStyle w:val="BodyText"/>
      </w:pPr>
      <w:r>
        <w:rPr>
          <w:b/>
          <w:bCs/>
        </w:rPr>
        <w:t xml:space="preserve">Edge-IIoTset.</w:t>
      </w:r>
      <w:r>
        <w:t xml:space="preserve"> </w:t>
      </w:r>
      <w:r>
        <w:t xml:space="preserve">We use the official</w:t>
      </w:r>
      <w:r>
        <w:t xml:space="preserve"> </w:t>
      </w:r>
      <w:r>
        <w:t xml:space="preserve">“Selected dataset for ML and DL”</w:t>
      </w:r>
      <w:r>
        <w:t xml:space="preserve"> </w:t>
      </w:r>
      <w:r>
        <w:t xml:space="preserve">release (</w:t>
      </w:r>
      <w:r>
        <w:rPr>
          <w:rStyle w:val="VerbatimChar"/>
        </w:rPr>
        <w:t xml:space="preserve">ML-EdgeIIoT-dataset.csv</w:t>
      </w:r>
      <w:r>
        <w:t xml:space="preserve">, 157,800 rows, 15 classes: Normal plus 14 attack types), with the</w:t>
      </w:r>
      <w:r>
        <w:t xml:space="preserve"> </w:t>
      </w:r>
      <w:r>
        <w:rPr>
          <w:rStyle w:val="VerbatimChar"/>
        </w:rPr>
        <w:t xml:space="preserve">Attack\_type</w:t>
      </w:r>
      <w:r>
        <w:t xml:space="preserve"> </w:t>
      </w:r>
      <w:r>
        <w:t xml:space="preserve">column as the label and non-numeric/identifier columns dropped. Measuring the duplicate-row leakage issue directly on this release, we find 814 of 157,800 rows (0.5%) are exact duplicates by feature value; we apply the general, conservative form of the correction documented for this class of dataset [23]: dropping exact duplicates, keeping the first occurrence, before stratified subsampling and the train/test split, so that no duplicate pair can land on both sides of the split. Because two raw classes (MITM, Fingerprinting) contain fewer than 1,500 rows before correction, we cap all classes at 1,000 samples per class (rather than CICIoT2023’s 10,000) so the comparison remains class-balanced; this yields 10,800 training and 3,600 test rows across 42 numeric features after the leakage fix and duplicate removal.</w:t>
      </w:r>
    </w:p>
    <w:p>
      <w:pPr>
        <w:pStyle w:val="BodyText"/>
      </w:pPr>
      <w:r>
        <w:t xml:space="preserve">Both loaders apply standard z-score normalization fit on the training split only, and a stratified 75/25 train/test split.</w:t>
      </w:r>
    </w:p>
    <w:p>
      <w:pPr>
        <w:pStyle w:val="BodyText"/>
      </w:pPr>
      <w:r>
        <w:t xml:space="preserve">Figure 1 summarizes the full pipeline described in the remainder of Section 3: both datasets feed a shared preprocessing step, two models, five explainers (four baselines plus CC-SHAP, the latter drawing on an offline-learned causal skeleton), the resource-cap and adversarial harnesses that wrap every (explainer, model, tier) cell, and the metrics/composite score reported in Section 4.</w:t>
      </w:r>
    </w:p>
    <w:p>
      <w:pPr>
        <w:pStyle w:val="CaptionedFigure"/>
      </w:pPr>
      <w:r>
        <w:drawing>
          <wp:inline>
            <wp:extent cx="5334000" cy="3476625"/>
            <wp:effectExtent b="0" l="0" r="0" t="0"/>
            <wp:docPr descr="System architecture: data, models, explainers (including the CC-SHAP causal-skeleton sidecar), resource-cap and adversarial harnesses, and the metrics pipeline." title="" id="21" name="Picture"/>
            <a:graphic>
              <a:graphicData uri="http://schemas.openxmlformats.org/drawingml/2006/picture">
                <pic:pic>
                  <pic:nvPicPr>
                    <pic:cNvPr descr="results/figures/architecture.pdf" id="22" name="Picture"/>
                    <pic:cNvPicPr>
                      <a:picLocks noChangeArrowheads="1" noChangeAspect="1"/>
                    </pic:cNvPicPr>
                  </pic:nvPicPr>
                  <pic:blipFill>
                    <a:blip r:embed="rId20"/>
                    <a:stretch>
                      <a:fillRect/>
                    </a:stretch>
                  </pic:blipFill>
                  <pic:spPr bwMode="auto">
                    <a:xfrm>
                      <a:off x="0" y="0"/>
                      <a:ext cx="5334000" cy="3476625"/>
                    </a:xfrm>
                    <a:prstGeom prst="rect">
                      <a:avLst/>
                    </a:prstGeom>
                    <a:noFill/>
                    <a:ln w="9525">
                      <a:noFill/>
                      <a:headEnd/>
                      <a:tailEnd/>
                    </a:ln>
                  </pic:spPr>
                </pic:pic>
              </a:graphicData>
            </a:graphic>
          </wp:inline>
        </w:drawing>
      </w:r>
    </w:p>
    <w:p>
      <w:pPr>
        <w:pStyle w:val="ImageCaption"/>
      </w:pPr>
      <w:r>
        <w:t xml:space="preserve">System architecture: data, models, explainers (including the CC-SHAP causal-skeleton sidecar), resource-cap and adversarial harnesses, and the metrics pipeline.</w:t>
      </w:r>
    </w:p>
    <w:bookmarkEnd w:id="23"/>
    <w:bookmarkStart w:id="24" w:name="models"/>
    <w:p>
      <w:pPr>
        <w:pStyle w:val="Heading3"/>
      </w:pPr>
      <w:r>
        <w:rPr>
          <w:rStyle w:val="SectionNumber"/>
        </w:rPr>
        <w:t xml:space="preserve">1.4.2</w:t>
      </w:r>
      <w:r>
        <w:tab/>
      </w:r>
      <w:r>
        <w:t xml:space="preserve">3.2. Models</w:t>
      </w:r>
    </w:p>
    <w:p>
      <w:pPr>
        <w:pStyle w:val="FirstParagraph"/>
      </w:pPr>
      <w:r>
        <w:t xml:space="preserve">We train two models representative of the compute budgets actually available on IoT edge hardware, not research-scale architectures: (i) a LightGBM gradient-boosted ensemble (150 trees, max depth 6), chosen because its native tree structure admits exact TreeSHAP attribution; and (ii) a compact multilayer perceptron (two hidden layers, under 5,400 parameters in both experiments reported here (4,904 for CICIoT2023, 5,327 for Edge-IIoTset), trained with Adam for 30 epochs), representative of the small dense networks deployable on microcontroller-class hardware. Neither model is tuned for maximum accuracy; both are trained with fixed, reasonable defaults so that the explainer comparison is not confounded by per-model hyperparameter search.</w:t>
      </w:r>
    </w:p>
    <w:bookmarkEnd w:id="24"/>
    <w:bookmarkStart w:id="26" w:name="explainers"/>
    <w:p>
      <w:pPr>
        <w:pStyle w:val="Heading3"/>
      </w:pPr>
      <w:r>
        <w:rPr>
          <w:rStyle w:val="SectionNumber"/>
        </w:rPr>
        <w:t xml:space="preserve">1.4.3</w:t>
      </w:r>
      <w:r>
        <w:tab/>
      </w:r>
      <w:r>
        <w:t xml:space="preserve">3.3. Explainers</w:t>
      </w:r>
    </w:p>
    <w:p>
      <w:pPr>
        <w:pStyle w:val="FirstParagraph"/>
      </w:pPr>
      <w:r>
        <w:t xml:space="preserve">Four established post-hoc explainers are benchmarked:</w:t>
      </w:r>
      <w:r>
        <w:t xml:space="preserve"> </w:t>
      </w:r>
      <w:r>
        <w:rPr>
          <w:b/>
          <w:bCs/>
        </w:rPr>
        <w:t xml:space="preserve">TreeSHAP</w:t>
      </w:r>
      <w:r>
        <w:t xml:space="preserve"> </w:t>
      </w:r>
      <w:r>
        <w:t xml:space="preserve">[3], the exact, polynomial-time SHAP variant available only for the tree ensemble;</w:t>
      </w:r>
      <w:r>
        <w:t xml:space="preserve"> </w:t>
      </w:r>
      <w:r>
        <w:rPr>
          <w:b/>
          <w:bCs/>
        </w:rPr>
        <w:t xml:space="preserve">KernelSHAP</w:t>
      </w:r>
      <w:r>
        <w:t xml:space="preserve"> </w:t>
      </w:r>
      <w:r>
        <w:t xml:space="preserve">[3], the model-agnostic baseline, applied to both models; a</w:t>
      </w:r>
      <w:r>
        <w:t xml:space="preserve"> </w:t>
      </w:r>
      <w:r>
        <w:rPr>
          <w:b/>
          <w:bCs/>
        </w:rPr>
        <w:t xml:space="preserve">lightweight KernelSHAP variant</w:t>
      </w:r>
      <w:r>
        <w:t xml:space="preserve">, matching Table 23 of Karras et al.’s [1]</w:t>
      </w:r>
      <w:r>
        <w:t xml:space="preserve"> </w:t>
      </w:r>
      <w:r>
        <w:t xml:space="preserve">“lightweight and sparsity-aware explainers”</w:t>
      </w:r>
      <w:r>
        <w:t xml:space="preserve"> </w:t>
      </w:r>
      <w:r>
        <w:t xml:space="preserve">research direction, implemented as KernelSHAP with a sharply reduced background-sample and coalition-sampling budget; and</w:t>
      </w:r>
      <w:r>
        <w:t xml:space="preserve"> </w:t>
      </w:r>
      <w:r>
        <w:rPr>
          <w:b/>
          <w:bCs/>
        </w:rPr>
        <w:t xml:space="preserve">LIME</w:t>
      </w:r>
      <w:r>
        <w:t xml:space="preserve"> </w:t>
      </w:r>
      <w:r>
        <w:t xml:space="preserve">[4], at its library-default 5,000-sample local-perturbation budget for all production-scale results reported here.</w:t>
      </w:r>
    </w:p>
    <w:bookmarkStart w:id="25" w:name="cc-shap-causal-consolidated-shap"/>
    <w:p>
      <w:pPr>
        <w:pStyle w:val="Heading4"/>
      </w:pPr>
      <w:r>
        <w:rPr>
          <w:rStyle w:val="SectionNumber"/>
        </w:rPr>
        <w:t xml:space="preserve">1.4.3.1</w:t>
      </w:r>
      <w:r>
        <w:tab/>
      </w:r>
      <w:r>
        <w:t xml:space="preserve">3.3.1. CC-SHAP: Causal-Consolidated SHAP</w:t>
      </w:r>
    </w:p>
    <w:p>
      <w:pPr>
        <w:pStyle w:val="FirstParagraph"/>
      </w:pPr>
      <w:r>
        <w:t xml:space="preserve">CC-SHAP is proposed as a fifth explainer and this paper’s primary technical contribution. It operates in two stages.</w:t>
      </w:r>
    </w:p>
    <w:p>
      <w:pPr>
        <w:pStyle w:val="BodyText"/>
      </w:pPr>
      <w:r>
        <w:rPr>
          <w:b/>
          <w:bCs/>
        </w:rPr>
        <w:t xml:space="preserve">Offline, once:</w:t>
      </w:r>
      <w:r>
        <w:t xml:space="preserve"> </w:t>
      </w:r>
      <w:r>
        <w:t xml:space="preserve">a causal skeleton is learned over the training features using a conditioning-set-bounded variant of the PC algorithm [24]. Standard PC-algorithm skeleton discovery tests pairwise conditional independence across conditioning sets of growing size, which is itself computationally expensive, the reason causal discovery is largely absent from resource-constrained IoT-XAI work to date. We deliberately bound the conditioning-set size to order ≤1 (marginal independence via Fisher-</w:t>
      </w:r>
      <w:r>
        <w:rPr>
          <w:i/>
          <w:iCs/>
        </w:rPr>
        <w:t xml:space="preserve">z</w:t>
      </w:r>
      <w:r>
        <w:t xml:space="preserve"> </w:t>
      </w:r>
      <w:r>
        <w:t xml:space="preserve">transform of the Pearson correlation, followed by a single round of conditioning on each other individual variable), which keeps skeleton discovery itself within a lightweight, edge-appropriate compute budget; this boundedness is a stated design choice, not a hidden simplification, and we quantify its cost directly (Section 4). The output is a symmetric adjacency matrix identifying feature pairs that remain plausibly directly dependent after this bounded test, which we decompose into connected components (</w:t>
      </w:r>
      <w:r>
        <w:t xml:space="preserve">“causally entangled cliques”</w:t>
      </w:r>
      <w:r>
        <w:t xml:space="preserve">) via union-find.</w:t>
      </w:r>
    </w:p>
    <w:p>
      <w:pPr>
        <w:pStyle w:val="BodyText"/>
      </w:pPr>
      <w:r>
        <w:rPr>
          <w:b/>
          <w:bCs/>
        </w:rPr>
        <w:t xml:space="preserve">At explanation time:</w:t>
      </w:r>
      <w:r>
        <w:t xml:space="preserve"> </w:t>
      </w:r>
      <w:r>
        <w:t xml:space="preserve">CC-SHAP takes attributions already produced by a base explainer (TreeSHAP for the LightGBM model, KernelSHAP for the multilayer perceptron, since no exact tree-structure attribution exists for a dense network) and, within each clique of the causal skeleton with more than one member, retains only the feature with the largest absolute attribution per sample, zeroing the rest. No additional model queries are made at this stage; the operation is a per-sample arg-max over each clique, which is why CC-SHAP’s marginal latency over its base explainer is negligible (quantified in Section 4.1).</w:t>
      </w:r>
    </w:p>
    <w:p>
      <w:pPr>
        <w:pStyle w:val="BodyText"/>
      </w:pPr>
      <w:r>
        <w:t xml:space="preserve">The rationale is that SHAP-family methods are documented to split attribution credit ambiguously across correlated features, a known source of explanation instability: the credit a redundant duplicate feature receives can differ between near-identical inputs or between runs using different background samples. CC-SHAP’s hypothesis (formalized as H4 below) is that forcing attribution onto the single strongest signal in each entangled cluster should measurably increase sparsity and adversarial robustness, at a bounded, honestly reported cost to fidelity, not that it dominates on every metric simultaneously.</w:t>
      </w:r>
    </w:p>
    <w:p>
      <w:pPr>
        <w:pStyle w:val="BodyText"/>
      </w:pPr>
      <w:r>
        <w:rPr>
          <w:b/>
          <w:bCs/>
        </w:rPr>
        <w:t xml:space="preserve">Algorithm 1.</w:t>
      </w:r>
      <w:r>
        <w:t xml:space="preserve"> </w:t>
      </w:r>
      <w:r>
        <w:t xml:space="preserve">CC-SHAP (Causal-Consolidated SHAP).</w:t>
      </w:r>
    </w:p>
    <w:p>
      <w:pPr>
        <w:pStyle w:val="SourceCode"/>
      </w:pPr>
      <w:r>
        <w:rPr>
          <w:rStyle w:val="VerbatimChar"/>
        </w:rPr>
        <w:t xml:space="preserve">Offline (once, over training set X, d features):</w:t>
      </w:r>
      <w:r>
        <w:br/>
      </w:r>
      <w:r>
        <w:rPr>
          <w:rStyle w:val="VerbatimChar"/>
        </w:rPr>
        <w:t xml:space="preserve">  1. For each feature pair (i, j): compute Fisher-z marginal independence test</w:t>
      </w:r>
      <w:r>
        <w:br/>
      </w:r>
      <w:r>
        <w:rPr>
          <w:rStyle w:val="VerbatimChar"/>
        </w:rPr>
        <w:t xml:space="preserve">     on Pearson r(X_i, X_j). If independence rejected at alpha, mark edge (i, j).</w:t>
      </w:r>
      <w:r>
        <w:br/>
      </w:r>
      <w:r>
        <w:rPr>
          <w:rStyle w:val="VerbatimChar"/>
        </w:rPr>
        <w:t xml:space="preserve">  2. For each surviving edge (i, j): re-test conditional independence of</w:t>
      </w:r>
      <w:r>
        <w:br/>
      </w:r>
      <w:r>
        <w:rPr>
          <w:rStyle w:val="VerbatimChar"/>
        </w:rPr>
        <w:t xml:space="preserve">     X_i, X_j given each single third variable X_k (k != i, j). If</w:t>
      </w:r>
      <w:r>
        <w:br/>
      </w:r>
      <w:r>
        <w:rPr>
          <w:rStyle w:val="VerbatimChar"/>
        </w:rPr>
        <w:t xml:space="preserve">     independence holds for any k, drop edge (i, j) (order-1 PC step).</w:t>
      </w:r>
      <w:r>
        <w:br/>
      </w:r>
      <w:r>
        <w:rPr>
          <w:rStyle w:val="VerbatimChar"/>
        </w:rPr>
        <w:t xml:space="preserve">  3. Build adjacency matrix A from the remaining edges.</w:t>
      </w:r>
      <w:r>
        <w:br/>
      </w:r>
      <w:r>
        <w:rPr>
          <w:rStyle w:val="VerbatimChar"/>
        </w:rPr>
        <w:t xml:space="preserve">  4. Decompose A into connected components C_1, ..., C_m via union-find</w:t>
      </w:r>
      <w:r>
        <w:br/>
      </w:r>
      <w:r>
        <w:rPr>
          <w:rStyle w:val="VerbatimChar"/>
        </w:rPr>
        <w:t xml:space="preserve">     ("causally entangled cliques").</w:t>
      </w:r>
      <w:r>
        <w:br/>
      </w:r>
      <w:r>
        <w:rPr>
          <w:rStyle w:val="VerbatimChar"/>
        </w:rPr>
        <w:t xml:space="preserve">  Output: clique assignment c: {1, ..., d} -&gt; {1, ..., m}.</w:t>
      </w:r>
      <w:r>
        <w:br/>
      </w:r>
      <w:r>
        <w:br/>
      </w:r>
      <w:r>
        <w:rPr>
          <w:rStyle w:val="VerbatimChar"/>
        </w:rPr>
        <w:t xml:space="preserve">At explanation time (per explained sample x, base attribution vector phi(x)):</w:t>
      </w:r>
      <w:r>
        <w:br/>
      </w:r>
      <w:r>
        <w:rPr>
          <w:rStyle w:val="VerbatimChar"/>
        </w:rPr>
        <w:t xml:space="preserve">  1. For each clique C_r with |C_r| &gt; 1:</w:t>
      </w:r>
      <w:r>
        <w:br/>
      </w:r>
      <w:r>
        <w:rPr>
          <w:rStyle w:val="VerbatimChar"/>
        </w:rPr>
        <w:t xml:space="preserve">       j* = argmax_{i in C_r} |phi_i(x)|</w:t>
      </w:r>
      <w:r>
        <w:br/>
      </w:r>
      <w:r>
        <w:rPr>
          <w:rStyle w:val="VerbatimChar"/>
        </w:rPr>
        <w:t xml:space="preserve">       for i in C_r, i != j*: phi_i(x) &lt;- 0</w:t>
      </w:r>
      <w:r>
        <w:br/>
      </w:r>
      <w:r>
        <w:rPr>
          <w:rStyle w:val="VerbatimChar"/>
        </w:rPr>
        <w:t xml:space="preserve">  2. Return consolidated attribution phi'(x).</w:t>
      </w:r>
    </w:p>
    <w:p>
      <w:pPr>
        <w:pStyle w:val="FirstParagraph"/>
      </w:pPr>
      <w:r>
        <w:rPr>
          <w:b/>
          <w:bCs/>
        </w:rPr>
        <w:t xml:space="preserve">Complexity.</w:t>
      </w:r>
      <w:r>
        <w:t xml:space="preserve"> </w:t>
      </w:r>
      <w:r>
        <w:t xml:space="preserve">The offline step is O(d²) marginal correlation tests plus O(d² · d) = O(d³) in the worst case for the order-1 conditioning round (each of the O(d²) surviving edges re-tested against up to d−2 conditioning variables); bounding the conditioning-set order at 1, rather than allowing the unbounded growth of the standard PC algorithm, is what keeps this from becoming exponential in d. For the feature counts in this paper (d = 39 and d = 42), this is sub-second (Section 4.1: 1.01 s and 1.20 s respectively) and amortized over every subsequent explanation call, since it is computed once per dataset, not once per sample. The at-explanation-time step is O(d) per sample (a single pass over the clique assignment, each clique’s arg-max computed in one pass over its members), strictly cheaper than a single additional model query, which is why CC-SHAP’s marginal latency over its base explainer is negligible regardless of which base explainer it wraps.</w:t>
      </w:r>
    </w:p>
    <w:bookmarkEnd w:id="25"/>
    <w:bookmarkEnd w:id="26"/>
    <w:bookmarkStart w:id="27" w:name="resource-cap-simulation"/>
    <w:p>
      <w:pPr>
        <w:pStyle w:val="Heading3"/>
      </w:pPr>
      <w:r>
        <w:rPr>
          <w:rStyle w:val="SectionNumber"/>
        </w:rPr>
        <w:t xml:space="preserve">1.4.4</w:t>
      </w:r>
      <w:r>
        <w:tab/>
      </w:r>
      <w:r>
        <w:t xml:space="preserve">3.4. Resource-Cap Simulation</w:t>
      </w:r>
    </w:p>
    <w:p>
      <w:pPr>
        <w:pStyle w:val="FirstParagraph"/>
      </w:pPr>
      <w:r>
        <w:t xml:space="preserve">Each (explainer, model, resource-tier) combination is executed inside an isolated, freshly spawned subprocess rather than the parent experiment process, for two reasons. First, it allows a hard out-of-memory abort (observed in practice to originate from the native BLAS/OpenMP allocator rather than a catchable Python exception when memory pressure is severe) to be recorded as a result for that one cell rather than terminating the entire experiment. Second, it avoids a documented class of fork-safety hazard in which a multithreaded library (SHAP’s KernelExplainer, or the progress-bar library’s monitor thread) holds a lock at the moment of forking that can never be released in a forked child, causing a silent deadlock; we use the</w:t>
      </w:r>
      <w:r>
        <w:t xml:space="preserve"> </w:t>
      </w:r>
      <w:r>
        <w:rPr>
          <w:rStyle w:val="VerbatimChar"/>
        </w:rPr>
        <w:t xml:space="preserve">spawn</w:t>
      </w:r>
      <w:r>
        <w:t xml:space="preserve"> </w:t>
      </w:r>
      <w:r>
        <w:t xml:space="preserve">process-start method with a picklable, top-level dispatch function rather than</w:t>
      </w:r>
      <w:r>
        <w:t xml:space="preserve"> </w:t>
      </w:r>
      <w:r>
        <w:rPr>
          <w:rStyle w:val="VerbatimChar"/>
        </w:rPr>
        <w:t xml:space="preserve">fork</w:t>
      </w:r>
      <w:r>
        <w:t xml:space="preserve">, after confirming this hazard empirically during development.</w:t>
      </w:r>
    </w:p>
    <w:p>
      <w:pPr>
        <w:pStyle w:val="BodyText"/>
      </w:pPr>
      <w:r>
        <w:t xml:space="preserve">Three resource tiers are simulated via CPU-core affinity restriction and a soft virtual-memory ceiling (</w:t>
      </w:r>
      <w:r>
        <w:rPr>
          <w:rStyle w:val="VerbatimChar"/>
        </w:rPr>
        <w:t xml:space="preserve">RLIMIT\_AS</w:t>
      </w:r>
      <w:r>
        <w:t xml:space="preserve">), calibrated to Raspberry Pi 4 (4 cores), Jetson Nano (4 cores), and an unconstrained development-machine baseline. We note, as an honest methodological limitation rather than an implementation detail, that in-process virtual-memory caps below approximately 1.5 GB proved unreliable in our own testing: the baseline footprint of a fresh Python interpreter with NumPy, LightGBM, PyTorch, and SHAP already imported can itself approach or exceed a literal 1 GB budget, causing the underlying native allocator to enter multi-second retry storms rather than failing cleanly. We therefore report simulated-tier results as</w:t>
      </w:r>
      <w:r>
        <w:t xml:space="preserve"> </w:t>
      </w:r>
      <w:r>
        <w:rPr>
          <w:i/>
          <w:iCs/>
        </w:rPr>
        <w:t xml:space="preserve">relative</w:t>
      </w:r>
      <w:r>
        <w:t xml:space="preserve"> </w:t>
      </w:r>
      <w:r>
        <w:t xml:space="preserve">resource-cost comparisons across explainers (which method is cheaper than which other method under matched conditions), and explicitly recommend container-level (cgroup) enforcement, which uses the kernel out-of-memory killer and fails deterministically, as the authoritative path for any future claim of a literal absolute hardware budget.</w:t>
      </w:r>
    </w:p>
    <w:bookmarkEnd w:id="27"/>
    <w:bookmarkStart w:id="28" w:name="adversarial-perturbation"/>
    <w:p>
      <w:pPr>
        <w:pStyle w:val="Heading3"/>
      </w:pPr>
      <w:r>
        <w:rPr>
          <w:rStyle w:val="SectionNumber"/>
        </w:rPr>
        <w:t xml:space="preserve">1.4.5</w:t>
      </w:r>
      <w:r>
        <w:tab/>
      </w:r>
      <w:r>
        <w:t xml:space="preserve">3.5. Adversarial Perturbation</w:t>
      </w:r>
    </w:p>
    <w:p>
      <w:pPr>
        <w:pStyle w:val="FirstParagraph"/>
      </w:pPr>
      <w:r>
        <w:t xml:space="preserve">Three attacks are used to test explanation robustness under input perturbation, chosen for correctness per model type rather than forcing one library across incompatible architectures. For the differentiable multilayer perceptron, we implement both the single-step Fast Gradient Sign Method (FGSM) and a true iterative multiclass DeepFool attack [25] (the specific attack protocol used by the field’s most-cited IoT-XAI adversarial-robustness reference [8] against a DNN-based IDS) with the accumulated perturbation clipped to a fixed L-infinity epsilon ball at every iteration so results remain directly comparable to the FGSM sweep at matched epsilon values; this epsilon-clipping is an explicit, stated adaptation of literature-standard unbounded minimal-norm DeepFool, made for comparability, not a silent deviation. For the non-differentiable LightGBM ensemble, for which neither FGSM nor DeepFool applies, we implement a black-box greedy attack that perturbs the features a finite-difference sensitivity probe identifies as most influential, within the same epsilon budget. All results reported in Section 4 use DeepFool for the multilayer perceptron and the black-box attack for LightGBM, at epsilon ∈ {0.05, 0.15, 0.30} in standardized-feature units.</w:t>
      </w:r>
    </w:p>
    <w:bookmarkEnd w:id="28"/>
    <w:bookmarkStart w:id="29" w:name="evaluation-metrics"/>
    <w:p>
      <w:pPr>
        <w:pStyle w:val="Heading3"/>
      </w:pPr>
      <w:r>
        <w:rPr>
          <w:rStyle w:val="SectionNumber"/>
        </w:rPr>
        <w:t xml:space="preserve">1.4.6</w:t>
      </w:r>
      <w:r>
        <w:tab/>
      </w:r>
      <w:r>
        <w:t xml:space="preserve">3.6. Evaluation Metrics</w:t>
      </w:r>
    </w:p>
    <w:p>
      <w:pPr>
        <w:pStyle w:val="FirstParagraph"/>
      </w:pPr>
      <w:r>
        <w:rPr>
          <w:b/>
          <w:bCs/>
        </w:rPr>
        <w:t xml:space="preserve">Fidelity</w:t>
      </w:r>
      <w:r>
        <w:t xml:space="preserve"> </w:t>
      </w:r>
      <w:r>
        <w:t xml:space="preserve">is measured via the standard deletion/insertion protocol: predicted-class probability is tracked as the top-attributed features are progressively masked out (deletion, expecting a fast collapse for a faithful explanation) or progressively restored from a baseline (insertion, expecting a fast rise), combined into a single [0,1] score:</w:t>
      </w:r>
    </w:p>
    <w:p>
      <w:pPr>
        <w:pStyle w:val="BodyText"/>
      </w:pPr>
      <w:r>
        <w:t xml:space="preserve">FID(x) = ½ · [(1 − AUC_deletion(x)) + AUC_insertion(x)],</w:t>
      </w:r>
    </w:p>
    <w:p>
      <w:pPr>
        <w:pStyle w:val="BodyText"/>
      </w:pPr>
      <w:r>
        <w:t xml:space="preserve">averaged across the explained sample batch, where AUC_deletion and AUC_insertion are the areas under the predicted-class-probability-vs-fraction-of-features-removed/restored curves.</w:t>
      </w:r>
    </w:p>
    <w:p>
      <w:pPr>
        <w:pStyle w:val="BodyText"/>
      </w:pPr>
      <w:r>
        <w:rPr>
          <w:b/>
          <w:bCs/>
        </w:rPr>
        <w:t xml:space="preserve">Computational Complexity Score (CCS)</w:t>
      </w:r>
      <w:r>
        <w:t xml:space="preserve"> </w:t>
      </w:r>
      <w:r>
        <w:t xml:space="preserve">and</w:t>
      </w:r>
      <w:r>
        <w:t xml:space="preserve"> </w:t>
      </w:r>
      <w:r>
        <w:rPr>
          <w:b/>
          <w:bCs/>
        </w:rPr>
        <w:t xml:space="preserve">Memory Footprint Ratio (MFR)</w:t>
      </w:r>
      <w:r>
        <w:t xml:space="preserve"> </w:t>
      </w:r>
      <w:r>
        <w:t xml:space="preserve">follow Karras et al.’s [1] definitions. For explainer Φ in cell (model, tier):</w:t>
      </w:r>
    </w:p>
    <w:p>
      <w:pPr>
        <w:pStyle w:val="BodyText"/>
      </w:pPr>
      <w:r>
        <w:t xml:space="preserve">CCS(Φ) = t_min / t(Φ), MFR(Φ) = 1 − (m(Φ) / M_tier),</w:t>
      </w:r>
    </w:p>
    <w:p>
      <w:pPr>
        <w:pStyle w:val="BodyText"/>
      </w:pPr>
      <w:r>
        <w:t xml:space="preserve">where t(Φ) is the cell’s measured wall-clock explanation latency, t_min is the fastest latency observed for that explainer across the tiers compared, m(Φ) is peak measured memory, and M_tier is the simulated tier’s memory budget; CCS is therefore bounded in (0, 1] with 1 denoting the fastest observed configuration, and MFR is higher when more of the tier’s budget is left unused.</w:t>
      </w:r>
    </w:p>
    <w:p>
      <w:pPr>
        <w:pStyle w:val="BodyText"/>
      </w:pPr>
      <w:r>
        <w:rPr>
          <w:b/>
          <w:bCs/>
        </w:rPr>
        <w:t xml:space="preserve">Temporal Coherence (TC)</w:t>
      </w:r>
      <w:r>
        <w:t xml:space="preserve"> </w:t>
      </w:r>
      <w:r>
        <w:t xml:space="preserve">measures the rank-correlation stability of feature attributions across the explained batch, treated as a proxy sliding window of behaviorally adjacent samples (e.g., consecutive flows from the same source in a live deployment), rather than a per-sample quantity:</w:t>
      </w:r>
    </w:p>
    <w:p>
      <w:pPr>
        <w:pStyle w:val="BodyText"/>
      </w:pPr>
      <w:r>
        <w:t xml:space="preserve">TC = clip( (ρ̄ + 1) / 2, 0, 1 ), where ρ̄ = (1 / (N − 1)) · Σ_{i=1}^{N-1} ρ_Spearman(φ(x_i), φ(x_{i+1})),</w:t>
      </w:r>
    </w:p>
    <w:p>
      <w:pPr>
        <w:pStyle w:val="BodyText"/>
      </w:pPr>
      <w:r>
        <w:t xml:space="preserve">for the</w:t>
      </w:r>
      <w:r>
        <w:t xml:space="preserve"> </w:t>
      </w:r>
      <w:r>
        <w:rPr>
          <w:i/>
          <w:iCs/>
        </w:rPr>
        <w:t xml:space="preserve">N</w:t>
      </w:r>
      <w:r>
        <w:t xml:space="preserve"> </w:t>
      </w:r>
      <w:r>
        <w:t xml:space="preserve">explained samples x_1, …, x_N in the order they were drawn, mapping the mean pairwise Spearman correlation from [−1, 1] to [0, 1] so that, consistent with every other metric in this paper, higher is better. We report one TC value per (explainer, model, tier) cell rather than per sample. This is a deliberate proxy, not a literal temporal ordering: the datasets used here (Section 3.1) are not temporally ordered flow sequences, so</w:t>
      </w:r>
      <w:r>
        <w:t xml:space="preserve"> </w:t>
      </w:r>
      <w:r>
        <w:t xml:space="preserve">“adjacent”</w:t>
      </w:r>
      <w:r>
        <w:t xml:space="preserve"> </w:t>
      </w:r>
      <w:r>
        <w:t xml:space="preserve">means adjacent in the explained-sample draw order, not adjacent in real time or in feature-space distance; a genuine temporal or nearest-neighbor-based TC is noted as future work (Section 5.5). As a proxy for whether explanations</w:t>
      </w:r>
      <w:r>
        <w:t xml:space="preserve"> </w:t>
      </w:r>
      <w:r>
        <w:t xml:space="preserve">“flicker”</w:t>
      </w:r>
      <w:r>
        <w:t xml:space="preserve"> </w:t>
      </w:r>
      <w:r>
        <w:t xml:space="preserve">between similar inputs, it is itself a form of the instability CC-SHAP is designed to reduce.</w:t>
      </w:r>
    </w:p>
    <w:p>
      <w:pPr>
        <w:pStyle w:val="BodyText"/>
      </w:pPr>
      <w:r>
        <w:rPr>
          <w:b/>
          <w:bCs/>
        </w:rPr>
        <w:t xml:space="preserve">Explanation robustness</w:t>
      </w:r>
      <w:r>
        <w:t xml:space="preserve"> </w:t>
      </w:r>
      <w:r>
        <w:t xml:space="preserve">is the top-</w:t>
      </w:r>
      <w:r>
        <w:rPr>
          <w:i/>
          <w:iCs/>
        </w:rPr>
        <w:t xml:space="preserve">k</w:t>
      </w:r>
      <w:r>
        <w:t xml:space="preserve"> </w:t>
      </w:r>
      <w:r>
        <w:t xml:space="preserve">feature-overlap (Jaccard-style) between an explanation computed on a clean input and the same explanation computed on its adversarially perturbed counterpart:</w:t>
      </w:r>
    </w:p>
    <w:p>
      <w:pPr>
        <w:pStyle w:val="BodyText"/>
      </w:pPr>
      <w:r>
        <w:t xml:space="preserve">ROB_ε(x) = |top_k(φ(x)) ∩ top_k(φ(x + δ_ε))| / |top_k(φ(x)) ∪ top_k(φ(x + δ_ε))|,</w:t>
      </w:r>
    </w:p>
    <w:p>
      <w:pPr>
        <w:pStyle w:val="BodyText"/>
      </w:pPr>
      <w:r>
        <w:t xml:space="preserve">averaged across the explained sample batch and reported per epsilon, where δ_ε is the attack-specific perturbation bounded at L-infinity radius ε, and</w:t>
      </w:r>
      <w:r>
        <w:t xml:space="preserve"> </w:t>
      </w:r>
      <w:r>
        <w:rPr>
          <w:i/>
          <w:iCs/>
        </w:rPr>
        <w:t xml:space="preserve">k</w:t>
      </w:r>
      <w:r>
        <w:t xml:space="preserve"> </w:t>
      </w:r>
      <w:r>
        <w:t xml:space="preserve">= 5 throughout. We flag a specific interaction this fixed</w:t>
      </w:r>
      <w:r>
        <w:t xml:space="preserve"> </w:t>
      </w:r>
      <w:r>
        <w:rPr>
          <w:i/>
          <w:iCs/>
        </w:rPr>
        <w:t xml:space="preserve">k</w:t>
      </w:r>
      <w:r>
        <w:t xml:space="preserve"> </w:t>
      </w:r>
      <w:r>
        <w:t xml:space="preserve">has with CC-SHAP: CC-SHAP’s own sparsity (0.950 on CICIoT2023, roughly two non-zero features out of 39; Section 4.1) means its true active-feature count is typically smaller than</w:t>
      </w:r>
      <w:r>
        <w:t xml:space="preserve"> </w:t>
      </w:r>
      <w:r>
        <w:rPr>
          <w:i/>
          <w:iCs/>
        </w:rPr>
        <w:t xml:space="preserve">k</w:t>
      </w:r>
      <w:r>
        <w:t xml:space="preserve">, so three or four of the five</w:t>
      </w:r>
      <w:r>
        <w:t xml:space="preserve"> </w:t>
      </w:r>
      <w:r>
        <w:t xml:space="preserve">“top-</w:t>
      </w:r>
      <w:r>
        <w:rPr>
          <w:i/>
          <w:iCs/>
        </w:rPr>
        <w:t xml:space="preserve">k</w:t>
      </w:r>
      <w:r>
        <w:t xml:space="preserve">”</w:t>
      </w:r>
      <w:r>
        <w:t xml:space="preserve"> </w:t>
      </w:r>
      <w:r>
        <w:t xml:space="preserve">slots for a CC-SHAP explanation are zero-valued, arbitrarily-ordered ties rather than genuinely ranked attributions. Top-</w:t>
      </w:r>
      <w:r>
        <w:rPr>
          <w:i/>
          <w:iCs/>
        </w:rPr>
        <w:t xml:space="preserve">k</w:t>
      </w:r>
      <w:r>
        <w:t xml:space="preserve"> </w:t>
      </w:r>
      <w:r>
        <w:t xml:space="preserve">overlap computed this way can be inflated for a very sparse explainer independent of any real attribution stability, since ties among zero-valued features contribute to the intersection whenever the same ties happen to break the same way under the tie-breaking rule used by</w:t>
      </w:r>
      <w:r>
        <w:t xml:space="preserve"> </w:t>
      </w:r>
      <w:r>
        <w:rPr>
          <w:rStyle w:val="VerbatimChar"/>
        </w:rPr>
        <w:t xml:space="preserve">argsort</w:t>
      </w:r>
      <w:r>
        <w:t xml:space="preserve">. We revisit this directly as a limitation in Section 5.4, and the Section 4.4 ablation includes a robustness comparison at matched sparsity levels that partially controls for this effect.</w:t>
      </w:r>
    </w:p>
    <w:p>
      <w:pPr>
        <w:pStyle w:val="BodyText"/>
      </w:pPr>
      <w:r>
        <w:rPr>
          <w:b/>
          <w:bCs/>
        </w:rPr>
        <w:t xml:space="preserve">Sparsity</w:t>
      </w:r>
      <w:r>
        <w:t xml:space="preserve"> </w:t>
      </w:r>
      <w:r>
        <w:t xml:space="preserve">is the fraction of near-zero attributions in φ(x) (|φ_j(x)| &lt; 10⁻³, a small fixed absolute threshold), averaged across the batch; a higher value means fewer features carry the operator-visible explanation burden.</w:t>
      </w:r>
    </w:p>
    <w:p>
      <w:pPr>
        <w:pStyle w:val="BodyText"/>
      </w:pPr>
      <w:r>
        <w:rPr>
          <w:b/>
          <w:bCs/>
        </w:rPr>
        <w:t xml:space="preserve">UMCEF_IoT</w:t>
      </w:r>
      <w:r>
        <w:t xml:space="preserve">, Equation 58 of Karras et al. [1], aggregates all of the above into one composite score per explainer:</w:t>
      </w:r>
    </w:p>
    <w:p>
      <w:pPr>
        <w:pStyle w:val="BodyText"/>
      </w:pPr>
      <w:r>
        <w:t xml:space="preserve">UMCEF_IoT(Φ) = 0.4·FID(Φ) + 0.3·EFF(Φ) + 0.2·ROB(Φ) + 0.1·SPAR(Φ),</w:t>
      </w:r>
    </w:p>
    <w:p>
      <w:pPr>
        <w:pStyle w:val="BodyText"/>
      </w:pPr>
      <w:r>
        <w:t xml:space="preserve">where EFF(Φ) = (CCS(Φ) + MFR(Φ)) / 2, FID(Φ) is mean fidelity, ROB(Φ) is mean robustness across the tested epsilons, and SPAR(Φ) is mean sparsity. The 0.4/0.3/0.2/0.1 weighting is Karras et al.’s own prescribed default, reflecting a stated prioritization of trustworthiness (fidelity) first, deployability (efficiency) second, and robustness/sparsity as secondary but non-negligible terms; we adopt it unmodified rather than re-deriving our own weighting, both for direct comparability with the survey this paper operationalizes and because the composite’s primary purpose here is illustrative (Section 4.3) rather than a claim that this specific weighting is uniquely correct. This is, to our knowledge, the first computation of this composite on real data; we report it alongside the raw component scores precisely so that no single number can be read in isolation from the trade-off it summarizes.</w:t>
      </w:r>
    </w:p>
    <w:bookmarkEnd w:id="29"/>
    <w:bookmarkStart w:id="30" w:name="software-and-reproducibility"/>
    <w:p>
      <w:pPr>
        <w:pStyle w:val="Heading3"/>
      </w:pPr>
      <w:r>
        <w:rPr>
          <w:rStyle w:val="SectionNumber"/>
        </w:rPr>
        <w:t xml:space="preserve">1.4.7</w:t>
      </w:r>
      <w:r>
        <w:tab/>
      </w:r>
      <w:r>
        <w:t xml:space="preserve">3.7. Software and Reproducibility</w:t>
      </w:r>
    </w:p>
    <w:p>
      <w:pPr>
        <w:pStyle w:val="FirstParagraph"/>
      </w:pPr>
      <w:r>
        <w:t xml:space="preserve">The full pipeline is implemented in Python (</w:t>
      </w:r>
      <w:r>
        <w:rPr>
          <w:rStyle w:val="VerbatimChar"/>
        </w:rPr>
        <w:t xml:space="preserve">scikit-learn</w:t>
      </w:r>
      <w:r>
        <w:t xml:space="preserve">,</w:t>
      </w:r>
      <w:r>
        <w:t xml:space="preserve"> </w:t>
      </w:r>
      <w:r>
        <w:rPr>
          <w:rStyle w:val="VerbatimChar"/>
        </w:rPr>
        <w:t xml:space="preserve">lightgbm</w:t>
      </w:r>
      <w:r>
        <w:t xml:space="preserve">,</w:t>
      </w:r>
      <w:r>
        <w:t xml:space="preserve"> </w:t>
      </w:r>
      <w:r>
        <w:rPr>
          <w:rStyle w:val="VerbatimChar"/>
        </w:rPr>
        <w:t xml:space="preserve">torch</w:t>
      </w:r>
      <w:r>
        <w:t xml:space="preserve">,</w:t>
      </w:r>
      <w:r>
        <w:t xml:space="preserve"> </w:t>
      </w:r>
      <w:r>
        <w:rPr>
          <w:rStyle w:val="VerbatimChar"/>
        </w:rPr>
        <w:t xml:space="preserve">shap</w:t>
      </w:r>
      <w:r>
        <w:t xml:space="preserve">,</w:t>
      </w:r>
      <w:r>
        <w:t xml:space="preserve"> </w:t>
      </w:r>
      <w:r>
        <w:rPr>
          <w:rStyle w:val="VerbatimChar"/>
        </w:rPr>
        <w:t xml:space="preserve">lime</w:t>
      </w:r>
      <w:r>
        <w:t xml:space="preserve">,</w:t>
      </w:r>
      <w:r>
        <w:t xml:space="preserve"> </w:t>
      </w:r>
      <w:r>
        <w:rPr>
          <w:rStyle w:val="VerbatimChar"/>
        </w:rPr>
        <w:t xml:space="preserve">scipy</w:t>
      </w:r>
      <w:r>
        <w:t xml:space="preserve">,</w:t>
      </w:r>
      <w:r>
        <w:t xml:space="preserve"> </w:t>
      </w:r>
      <w:r>
        <w:rPr>
          <w:rStyle w:val="VerbatimChar"/>
        </w:rPr>
        <w:t xml:space="preserve">pandas</w:t>
      </w:r>
      <w:r>
        <w:t xml:space="preserve">) and released as open-source code. The main results (Sections 4.1–4.3, Tables 1–6) are single-run (not averaged across repeated trials) owing to the deterministic nature of TreeSHAP and the fixed random seed (42) used elsewhere; multi-seed replication at full production scale is noted as future work in Section 5.5. The Section 4.4 ablation and its bootstrap confidence intervals (</w:t>
      </w:r>
      <w:r>
        <w:rPr>
          <w:rStyle w:val="VerbatimChar"/>
        </w:rPr>
        <w:t xml:space="preserve">src/ablation_causal.py</w:t>
      </w:r>
      <w:r>
        <w:t xml:space="preserve">) are a separate, independently-seeded (43) companion experiment at the same sample count (</w:t>
      </w:r>
      <w:r>
        <w:rPr>
          <w:i/>
          <w:iCs/>
        </w:rPr>
        <w:t xml:space="preserve">n</w:t>
      </w:r>
      <w:r>
        <w:t xml:space="preserve"> </w:t>
      </w:r>
      <w:r>
        <w:t xml:space="preserve">= 100 explained samples) but a single resource tier, since CCS/MFR are not needed to answer the ablation’s question; it is released alongside the main pipeline.</w:t>
      </w:r>
    </w:p>
    <w:p>
      <w:r>
        <w:pict>
          <v:rect style="width:0;height:1.5pt" o:hralign="center" o:hrstd="t" o:hr="t"/>
        </w:pict>
      </w:r>
    </w:p>
    <w:bookmarkEnd w:id="30"/>
    <w:bookmarkEnd w:id="31"/>
    <w:bookmarkStart w:id="54" w:name="results"/>
    <w:p>
      <w:pPr>
        <w:pStyle w:val="Heading2"/>
      </w:pPr>
      <w:r>
        <w:rPr>
          <w:rStyle w:val="SectionNumber"/>
        </w:rPr>
        <w:t xml:space="preserve">1.5</w:t>
      </w:r>
      <w:r>
        <w:tab/>
      </w:r>
      <w:r>
        <w:t xml:space="preserve">4. Results</w:t>
      </w:r>
    </w:p>
    <w:bookmarkStart w:id="32" w:name="production-scale-results-on-ciciot2023"/>
    <w:p>
      <w:pPr>
        <w:pStyle w:val="Heading3"/>
      </w:pPr>
      <w:r>
        <w:rPr>
          <w:rStyle w:val="SectionNumber"/>
        </w:rPr>
        <w:t xml:space="preserve">1.5.1</w:t>
      </w:r>
      <w:r>
        <w:tab/>
      </w:r>
      <w:r>
        <w:t xml:space="preserve">4.1. Production-Scale Results on CICIoT2023</w:t>
      </w:r>
    </w:p>
    <w:p>
      <w:pPr>
        <w:pStyle w:val="FirstParagraph"/>
      </w:pPr>
      <w:r>
        <w:t xml:space="preserve">Following the correction described in Section 3.1, LightGBM achieves 78.06% and the compact multilayer perceptron 73.29% test accuracy on the balanced 8-class problem (59,999 training / 20,000 test rows, 39 features), both below an earlier, invalid run’s 81.7%/77.5%, consistent with those earlier numbers having been inflated by the uncorrected class imbalance rather than reflecting a stronger model. The CC-SHAP causal skeleton, learned once offline over the full training set, discovered 275 edges over the 39 features in 1.01 s, a one-time cost that is negligible relative to any single KernelSHAP explanation call and not repeated per sample.</w:t>
      </w:r>
    </w:p>
    <w:p>
      <w:pPr>
        <w:pStyle w:val="BodyText"/>
      </w:pPr>
      <w:r>
        <w:rPr>
          <w:b/>
          <w:bCs/>
        </w:rPr>
        <w:t xml:space="preserve">Table 1.</w:t>
      </w:r>
      <w:r>
        <w:t xml:space="preserve"> </w:t>
      </w:r>
      <w:r>
        <w:t xml:space="preserve">Grid summary, CICIoT2023 production run (mean across models and resource tiers;</w:t>
      </w:r>
      <w:r>
        <w:t xml:space="preserve"> </w:t>
      </w:r>
      <w:r>
        <w:rPr>
          <w:i/>
          <w:iCs/>
        </w:rPr>
        <w:t xml:space="preserve">n</w:t>
      </w:r>
      <w:r>
        <w:t xml:space="preserve"> </w:t>
      </w:r>
      <w:r>
        <w:t xml:space="preserve">= 100 explained test samples per cell).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Explainer</w:t>
            </w:r>
          </w:p>
        </w:tc>
        <w:tc>
          <w:tcPr/>
          <w:p>
            <w:pPr>
              <w:pStyle w:val="Compact"/>
            </w:pPr>
            <w:r>
              <w:t xml:space="preserve">Fidelity</w:t>
            </w:r>
          </w:p>
        </w:tc>
        <w:tc>
          <w:tcPr/>
          <w:p>
            <w:pPr>
              <w:pStyle w:val="Compact"/>
            </w:pPr>
            <w:r>
              <w:t xml:space="preserve">CCS</w:t>
            </w:r>
          </w:p>
        </w:tc>
        <w:tc>
          <w:tcPr/>
          <w:p>
            <w:pPr>
              <w:pStyle w:val="Compact"/>
            </w:pPr>
            <w:r>
              <w:t xml:space="preserve">Sparsity</w:t>
            </w:r>
          </w:p>
        </w:tc>
        <w:tc>
          <w:tcPr/>
          <w:p>
            <w:pPr>
              <w:pStyle w:val="Compact"/>
            </w:pPr>
            <w:r>
              <w:t xml:space="preserve">Temporal Coherence</w:t>
            </w:r>
          </w:p>
        </w:tc>
      </w:tr>
      <w:tr>
        <w:tc>
          <w:tcPr/>
          <w:p>
            <w:pPr>
              <w:pStyle w:val="Compact"/>
            </w:pPr>
            <w:r>
              <w:t xml:space="preserve">KernelSHAP</w:t>
            </w:r>
          </w:p>
        </w:tc>
        <w:tc>
          <w:tcPr/>
          <w:p>
            <w:pPr>
              <w:pStyle w:val="Compact"/>
            </w:pPr>
            <w:r>
              <w:rPr>
                <w:b/>
                <w:bCs/>
              </w:rPr>
              <w:t xml:space="preserve">0.710</w:t>
            </w:r>
          </w:p>
        </w:tc>
        <w:tc>
          <w:tcPr/>
          <w:p>
            <w:pPr>
              <w:pStyle w:val="Compact"/>
            </w:pPr>
            <w:r>
              <w:t xml:space="preserve">0.986</w:t>
            </w:r>
          </w:p>
        </w:tc>
        <w:tc>
          <w:tcPr/>
          <w:p>
            <w:pPr>
              <w:pStyle w:val="Compact"/>
            </w:pPr>
            <w:r>
              <w:t xml:space="preserve">0.407</w:t>
            </w:r>
          </w:p>
        </w:tc>
        <w:tc>
          <w:tcPr/>
          <w:p>
            <w:pPr>
              <w:pStyle w:val="Compact"/>
            </w:pPr>
            <w:r>
              <w:t xml:space="preserve">0.825</w:t>
            </w:r>
          </w:p>
        </w:tc>
      </w:tr>
      <w:tr>
        <w:tc>
          <w:tcPr/>
          <w:p>
            <w:pPr>
              <w:pStyle w:val="Compact"/>
            </w:pPr>
            <w:r>
              <w:t xml:space="preserve">TreeSHAP</w:t>
            </w:r>
          </w:p>
        </w:tc>
        <w:tc>
          <w:tcPr/>
          <w:p>
            <w:pPr>
              <w:pStyle w:val="Compact"/>
            </w:pPr>
            <w:r>
              <w:t xml:space="preserve">0.705</w:t>
            </w:r>
          </w:p>
        </w:tc>
        <w:tc>
          <w:tcPr/>
          <w:p>
            <w:pPr>
              <w:pStyle w:val="Compact"/>
            </w:pPr>
            <w:r>
              <w:t xml:space="preserve">0.946</w:t>
            </w:r>
          </w:p>
        </w:tc>
        <w:tc>
          <w:tcPr/>
          <w:p>
            <w:pPr>
              <w:pStyle w:val="Compact"/>
            </w:pPr>
            <w:r>
              <w:t xml:space="preserve">0.204</w:t>
            </w:r>
          </w:p>
        </w:tc>
        <w:tc>
          <w:tcPr/>
          <w:p>
            <w:pPr>
              <w:pStyle w:val="Compact"/>
            </w:pPr>
            <w:r>
              <w:rPr>
                <w:b/>
                <w:bCs/>
              </w:rPr>
              <w:t xml:space="preserve">0.937</w:t>
            </w:r>
          </w:p>
        </w:tc>
      </w:tr>
      <w:tr>
        <w:tc>
          <w:tcPr/>
          <w:p>
            <w:pPr>
              <w:pStyle w:val="Compact"/>
            </w:pPr>
            <w:r>
              <w:t xml:space="preserve">Lightweight KernelSHAP</w:t>
            </w:r>
          </w:p>
        </w:tc>
        <w:tc>
          <w:tcPr/>
          <w:p>
            <w:pPr>
              <w:pStyle w:val="Compact"/>
            </w:pPr>
            <w:r>
              <w:t xml:space="preserve">0.652</w:t>
            </w:r>
          </w:p>
        </w:tc>
        <w:tc>
          <w:tcPr/>
          <w:p>
            <w:pPr>
              <w:pStyle w:val="Compact"/>
            </w:pPr>
            <w:r>
              <w:t xml:space="preserve">0.982</w:t>
            </w:r>
          </w:p>
        </w:tc>
        <w:tc>
          <w:tcPr/>
          <w:p>
            <w:pPr>
              <w:pStyle w:val="Compact"/>
            </w:pPr>
            <w:r>
              <w:t xml:space="preserve">0.417</w:t>
            </w:r>
          </w:p>
        </w:tc>
        <w:tc>
          <w:tcPr/>
          <w:p>
            <w:pPr>
              <w:pStyle w:val="Compact"/>
            </w:pPr>
            <w:r>
              <w:t xml:space="preserve">0.779</w:t>
            </w:r>
          </w:p>
        </w:tc>
      </w:tr>
      <w:tr>
        <w:tc>
          <w:tcPr/>
          <w:p>
            <w:pPr>
              <w:pStyle w:val="Compact"/>
            </w:pPr>
            <w:r>
              <w:t xml:space="preserve">CC-SHAP</w:t>
            </w:r>
          </w:p>
        </w:tc>
        <w:tc>
          <w:tcPr/>
          <w:p>
            <w:pPr>
              <w:pStyle w:val="Compact"/>
            </w:pPr>
            <w:r>
              <w:t xml:space="preserve">0.561</w:t>
            </w:r>
          </w:p>
        </w:tc>
        <w:tc>
          <w:tcPr/>
          <w:p>
            <w:pPr>
              <w:pStyle w:val="Compact"/>
            </w:pPr>
            <w:r>
              <w:t xml:space="preserve">0.711</w:t>
            </w:r>
          </w:p>
        </w:tc>
        <w:tc>
          <w:tcPr/>
          <w:p>
            <w:pPr>
              <w:pStyle w:val="Compact"/>
            </w:pPr>
            <w:r>
              <w:rPr>
                <w:b/>
                <w:bCs/>
              </w:rPr>
              <w:t xml:space="preserve">0.950</w:t>
            </w:r>
          </w:p>
        </w:tc>
        <w:tc>
          <w:tcPr/>
          <w:p>
            <w:pPr>
              <w:pStyle w:val="Compact"/>
            </w:pPr>
            <w:r>
              <w:t xml:space="preserve">0.812</w:t>
            </w:r>
          </w:p>
        </w:tc>
      </w:tr>
      <w:tr>
        <w:tc>
          <w:tcPr/>
          <w:p>
            <w:pPr>
              <w:pStyle w:val="Compact"/>
            </w:pPr>
            <w:r>
              <w:t xml:space="preserve">LIME</w:t>
            </w:r>
          </w:p>
        </w:tc>
        <w:tc>
          <w:tcPr/>
          <w:p>
            <w:pPr>
              <w:pStyle w:val="Compact"/>
            </w:pPr>
            <w:r>
              <w:t xml:space="preserve">0.567</w:t>
            </w:r>
          </w:p>
        </w:tc>
        <w:tc>
          <w:tcPr/>
          <w:p>
            <w:pPr>
              <w:pStyle w:val="Compact"/>
            </w:pPr>
            <w:r>
              <w:t xml:space="preserve">0.986</w:t>
            </w:r>
          </w:p>
        </w:tc>
        <w:tc>
          <w:tcPr/>
          <w:p>
            <w:pPr>
              <w:pStyle w:val="Compact"/>
            </w:pPr>
            <w:r>
              <w:t xml:space="preserve">0.090</w:t>
            </w:r>
          </w:p>
        </w:tc>
        <w:tc>
          <w:tcPr/>
          <w:p>
            <w:pPr>
              <w:pStyle w:val="Compact"/>
            </w:pPr>
            <w:r>
              <w:t xml:space="preserve">0.651</w:t>
            </w:r>
          </w:p>
        </w:tc>
      </w:tr>
    </w:tbl>
    <w:p>
      <w:pPr>
        <w:pStyle w:val="BodyText"/>
      </w:pPr>
      <w:r>
        <w:rPr>
          <w:b/>
          <w:bCs/>
        </w:rPr>
        <w:t xml:space="preserve">Table 2.</w:t>
      </w:r>
      <w:r>
        <w:t xml:space="preserve"> </w:t>
      </w:r>
      <w:r>
        <w:t xml:space="preserve">Explanation robustness (top-</w:t>
      </w:r>
      <w:r>
        <w:rPr>
          <w:i/>
          <w:iCs/>
        </w:rPr>
        <w:t xml:space="preserve">k</w:t>
      </w:r>
      <w:r>
        <w:t xml:space="preserve"> </w:t>
      </w:r>
      <w:r>
        <w:t xml:space="preserve">feature overlap, clean vs. DeepFool/black-box-attacked input) by epsilon, CICIoT2023.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Explainer</w:t>
            </w:r>
          </w:p>
        </w:tc>
        <w:tc>
          <w:tcPr/>
          <w:p>
            <w:pPr>
              <w:pStyle w:val="Compact"/>
            </w:pPr>
            <w:r>
              <w:t xml:space="preserve">ε = 0.05</w:t>
            </w:r>
          </w:p>
        </w:tc>
        <w:tc>
          <w:tcPr/>
          <w:p>
            <w:pPr>
              <w:pStyle w:val="Compact"/>
            </w:pPr>
            <w:r>
              <w:t xml:space="preserve">ε = 0.15</w:t>
            </w:r>
          </w:p>
        </w:tc>
        <w:tc>
          <w:tcPr/>
          <w:p>
            <w:pPr>
              <w:pStyle w:val="Compact"/>
            </w:pPr>
            <w:r>
              <w:t xml:space="preserve">ε = 0.30</w:t>
            </w:r>
          </w:p>
        </w:tc>
      </w:tr>
      <w:tr>
        <w:tc>
          <w:tcPr/>
          <w:p>
            <w:pPr>
              <w:pStyle w:val="Compact"/>
            </w:pPr>
            <w:r>
              <w:rPr>
                <w:b/>
                <w:bCs/>
              </w:rPr>
              <w:t xml:space="preserve">CC-SHAP</w:t>
            </w:r>
          </w:p>
        </w:tc>
        <w:tc>
          <w:tcPr/>
          <w:p>
            <w:pPr>
              <w:pStyle w:val="Compact"/>
            </w:pPr>
            <w:r>
              <w:rPr>
                <w:b/>
                <w:bCs/>
              </w:rPr>
              <w:t xml:space="preserve">0.855</w:t>
            </w:r>
          </w:p>
        </w:tc>
        <w:tc>
          <w:tcPr/>
          <w:p>
            <w:pPr>
              <w:pStyle w:val="Compact"/>
            </w:pPr>
            <w:r>
              <w:rPr>
                <w:b/>
                <w:bCs/>
              </w:rPr>
              <w:t xml:space="preserve">0.842</w:t>
            </w:r>
          </w:p>
        </w:tc>
        <w:tc>
          <w:tcPr/>
          <w:p>
            <w:pPr>
              <w:pStyle w:val="Compact"/>
            </w:pPr>
            <w:r>
              <w:rPr>
                <w:b/>
                <w:bCs/>
              </w:rPr>
              <w:t xml:space="preserve">0.848</w:t>
            </w:r>
          </w:p>
        </w:tc>
      </w:tr>
      <w:tr>
        <w:tc>
          <w:tcPr/>
          <w:p>
            <w:pPr>
              <w:pStyle w:val="Compact"/>
            </w:pPr>
            <w:r>
              <w:t xml:space="preserve">TreeSHAP</w:t>
            </w:r>
          </w:p>
        </w:tc>
        <w:tc>
          <w:tcPr/>
          <w:p>
            <w:pPr>
              <w:pStyle w:val="Compact"/>
            </w:pPr>
            <w:r>
              <w:t xml:space="preserve">0.762</w:t>
            </w:r>
          </w:p>
        </w:tc>
        <w:tc>
          <w:tcPr/>
          <w:p>
            <w:pPr>
              <w:pStyle w:val="Compact"/>
            </w:pPr>
            <w:r>
              <w:t xml:space="preserve">0.743</w:t>
            </w:r>
          </w:p>
        </w:tc>
        <w:tc>
          <w:tcPr/>
          <w:p>
            <w:pPr>
              <w:pStyle w:val="Compact"/>
            </w:pPr>
            <w:r>
              <w:t xml:space="preserve">0.726</w:t>
            </w:r>
          </w:p>
        </w:tc>
      </w:tr>
      <w:tr>
        <w:tc>
          <w:tcPr/>
          <w:p>
            <w:pPr>
              <w:pStyle w:val="Compact"/>
            </w:pPr>
            <w:r>
              <w:t xml:space="preserve">KernelSHAP</w:t>
            </w:r>
          </w:p>
        </w:tc>
        <w:tc>
          <w:tcPr/>
          <w:p>
            <w:pPr>
              <w:pStyle w:val="Compact"/>
            </w:pPr>
            <w:r>
              <w:t xml:space="preserve">0.678</w:t>
            </w:r>
          </w:p>
        </w:tc>
        <w:tc>
          <w:tcPr/>
          <w:p>
            <w:pPr>
              <w:pStyle w:val="Compact"/>
            </w:pPr>
            <w:r>
              <w:t xml:space="preserve">0.634</w:t>
            </w:r>
          </w:p>
        </w:tc>
        <w:tc>
          <w:tcPr/>
          <w:p>
            <w:pPr>
              <w:pStyle w:val="Compact"/>
            </w:pPr>
            <w:r>
              <w:t xml:space="preserve">0.599</w:t>
            </w:r>
          </w:p>
        </w:tc>
      </w:tr>
      <w:tr>
        <w:tc>
          <w:tcPr/>
          <w:p>
            <w:pPr>
              <w:pStyle w:val="Compact"/>
            </w:pPr>
            <w:r>
              <w:t xml:space="preserve">LIME</w:t>
            </w:r>
          </w:p>
        </w:tc>
        <w:tc>
          <w:tcPr/>
          <w:p>
            <w:pPr>
              <w:pStyle w:val="Compact"/>
            </w:pPr>
            <w:r>
              <w:t xml:space="preserve">0.484</w:t>
            </w:r>
          </w:p>
        </w:tc>
        <w:tc>
          <w:tcPr/>
          <w:p>
            <w:pPr>
              <w:pStyle w:val="Compact"/>
            </w:pPr>
            <w:r>
              <w:t xml:space="preserve">0.487</w:t>
            </w:r>
          </w:p>
        </w:tc>
        <w:tc>
          <w:tcPr/>
          <w:p>
            <w:pPr>
              <w:pStyle w:val="Compact"/>
            </w:pPr>
            <w:r>
              <w:t xml:space="preserve">0.500</w:t>
            </w:r>
          </w:p>
        </w:tc>
      </w:tr>
      <w:tr>
        <w:tc>
          <w:tcPr/>
          <w:p>
            <w:pPr>
              <w:pStyle w:val="Compact"/>
            </w:pPr>
            <w:r>
              <w:t xml:space="preserve">Lightweight KernelSHAP</w:t>
            </w:r>
          </w:p>
        </w:tc>
        <w:tc>
          <w:tcPr/>
          <w:p>
            <w:pPr>
              <w:pStyle w:val="Compact"/>
            </w:pPr>
            <w:r>
              <w:t xml:space="preserve">0.288</w:t>
            </w:r>
          </w:p>
        </w:tc>
        <w:tc>
          <w:tcPr/>
          <w:p>
            <w:pPr>
              <w:pStyle w:val="Compact"/>
            </w:pPr>
            <w:r>
              <w:t xml:space="preserve">0.267</w:t>
            </w:r>
          </w:p>
        </w:tc>
        <w:tc>
          <w:tcPr/>
          <w:p>
            <w:pPr>
              <w:pStyle w:val="Compact"/>
            </w:pPr>
            <w:r>
              <w:t xml:space="preserve">0.272</w:t>
            </w:r>
          </w:p>
        </w:tc>
      </w:tr>
    </w:tbl>
    <w:p>
      <w:pPr>
        <w:pStyle w:val="BodyText"/>
      </w:pPr>
      <w:r>
        <w:t xml:space="preserve">CC-SHAP is the most robust explainer of all five at every perturbation strength tested, with a 0.09–0.12 absolute margin over the next-best explainer (TreeSHAP), and is by far the sparsest (0.950, roughly two active features retained out of 39, versus 0.09–0.42 for the other four). This comes at a measured fidelity cost (0.561, below the three SHAP-family baselines and LIME on this dataset) and a lower CCS (0.711) driven by inheriting KernelSHAP’s own per-call cost on the multilayer-perceptron side, where no exact tree-attribution base is available.</w:t>
      </w:r>
    </w:p>
    <w:p>
      <w:pPr>
        <w:pStyle w:val="BodyText"/>
      </w:pPr>
      <w:r>
        <w:rPr>
          <w:b/>
          <w:bCs/>
        </w:rPr>
        <w:t xml:space="preserve">Table 1b.</w:t>
      </w:r>
      <w:r>
        <w:t xml:space="preserve"> </w:t>
      </w:r>
      <w:r>
        <w:t xml:space="preserve">Per-resource-tier CCS and MFR by explainer, CICIoT2023 (mean across models; the aggregate Table 1 above averages over these three tiers). The paper’s motivating question is which explainer is cheapest</w:t>
      </w:r>
      <w:r>
        <w:t xml:space="preserve"> </w:t>
      </w:r>
      <w:r>
        <w:rPr>
          <w:i/>
          <w:iCs/>
        </w:rPr>
        <w:t xml:space="preserve">on a given device class</w:t>
      </w:r>
      <w:r>
        <w:t xml:space="preserve">, so these per-tier numbers, not just the cross-tier mean, are the evidence that bears on it most directly.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Explainer</w:t>
            </w:r>
          </w:p>
        </w:tc>
        <w:tc>
          <w:tcPr/>
          <w:p>
            <w:pPr>
              <w:pStyle w:val="Compact"/>
            </w:pPr>
            <w:r>
              <w:t xml:space="preserve">CCS (Pi4)</w:t>
            </w:r>
          </w:p>
        </w:tc>
        <w:tc>
          <w:tcPr/>
          <w:p>
            <w:pPr>
              <w:pStyle w:val="Compact"/>
            </w:pPr>
            <w:r>
              <w:t xml:space="preserve">CCS (Jetson Nano)</w:t>
            </w:r>
          </w:p>
        </w:tc>
        <w:tc>
          <w:tcPr/>
          <w:p>
            <w:pPr>
              <w:pStyle w:val="Compact"/>
            </w:pPr>
            <w:r>
              <w:t xml:space="preserve">CCS (unconstrained)</w:t>
            </w:r>
          </w:p>
        </w:tc>
        <w:tc>
          <w:tcPr/>
          <w:p>
            <w:pPr>
              <w:pStyle w:val="Compact"/>
            </w:pPr>
            <w:r>
              <w:t xml:space="preserve">MFR (Pi4)</w:t>
            </w:r>
          </w:p>
        </w:tc>
        <w:tc>
          <w:tcPr/>
          <w:p>
            <w:pPr>
              <w:pStyle w:val="Compact"/>
            </w:pPr>
            <w:r>
              <w:t xml:space="preserve">MFR (Jetson Nano)</w:t>
            </w:r>
          </w:p>
        </w:tc>
        <w:tc>
          <w:tcPr/>
          <w:p>
            <w:pPr>
              <w:pStyle w:val="Compact"/>
            </w:pPr>
            <w:r>
              <w:t xml:space="preserve">MFR (unconstrained)</w:t>
            </w:r>
          </w:p>
        </w:tc>
      </w:tr>
      <w:tr>
        <w:tc>
          <w:tcPr/>
          <w:p>
            <w:pPr>
              <w:pStyle w:val="Compact"/>
            </w:pPr>
            <w:r>
              <w:t xml:space="preserve">CC-SHAP</w:t>
            </w:r>
          </w:p>
        </w:tc>
        <w:tc>
          <w:tcPr/>
          <w:p>
            <w:pPr>
              <w:pStyle w:val="Compact"/>
            </w:pPr>
            <w:r>
              <w:t xml:space="preserve">0.730</w:t>
            </w:r>
          </w:p>
        </w:tc>
        <w:tc>
          <w:tcPr/>
          <w:p>
            <w:pPr>
              <w:pStyle w:val="Compact"/>
            </w:pPr>
            <w:r>
              <w:t xml:space="preserve">0.712</w:t>
            </w:r>
          </w:p>
        </w:tc>
        <w:tc>
          <w:tcPr/>
          <w:p>
            <w:pPr>
              <w:pStyle w:val="Compact"/>
            </w:pPr>
            <w:r>
              <w:t xml:space="preserve">0.692</w:t>
            </w:r>
          </w:p>
        </w:tc>
        <w:tc>
          <w:tcPr/>
          <w:p>
            <w:pPr>
              <w:pStyle w:val="Compact"/>
            </w:pPr>
            <w:r>
              <w:t xml:space="preserve">0.581</w:t>
            </w:r>
          </w:p>
        </w:tc>
        <w:tc>
          <w:tcPr/>
          <w:p>
            <w:pPr>
              <w:pStyle w:val="Compact"/>
            </w:pPr>
            <w:r>
              <w:t xml:space="preserve">0.749</w:t>
            </w:r>
          </w:p>
        </w:tc>
        <w:tc>
          <w:tcPr/>
          <w:p>
            <w:pPr>
              <w:pStyle w:val="Compact"/>
            </w:pPr>
            <w:r>
              <w:t xml:space="preserve">0.921</w:t>
            </w:r>
          </w:p>
        </w:tc>
      </w:tr>
      <w:tr>
        <w:tc>
          <w:tcPr/>
          <w:p>
            <w:pPr>
              <w:pStyle w:val="Compact"/>
            </w:pPr>
            <w:r>
              <w:t xml:space="preserve">TreeSHAP</w:t>
            </w:r>
          </w:p>
        </w:tc>
        <w:tc>
          <w:tcPr/>
          <w:p>
            <w:pPr>
              <w:pStyle w:val="Compact"/>
            </w:pPr>
            <w:r>
              <w:t xml:space="preserve">1.000</w:t>
            </w:r>
          </w:p>
        </w:tc>
        <w:tc>
          <w:tcPr/>
          <w:p>
            <w:pPr>
              <w:pStyle w:val="Compact"/>
            </w:pPr>
            <w:r>
              <w:t xml:space="preserve">0.936</w:t>
            </w:r>
          </w:p>
        </w:tc>
        <w:tc>
          <w:tcPr/>
          <w:p>
            <w:pPr>
              <w:pStyle w:val="Compact"/>
            </w:pPr>
            <w:r>
              <w:t xml:space="preserve">0.901</w:t>
            </w:r>
          </w:p>
        </w:tc>
        <w:tc>
          <w:tcPr/>
          <w:p>
            <w:pPr>
              <w:pStyle w:val="Compact"/>
            </w:pPr>
            <w:r>
              <w:t xml:space="preserve">0.582</w:t>
            </w:r>
          </w:p>
        </w:tc>
        <w:tc>
          <w:tcPr/>
          <w:p>
            <w:pPr>
              <w:pStyle w:val="Compact"/>
            </w:pPr>
            <w:r>
              <w:t xml:space="preserve">0.749</w:t>
            </w:r>
          </w:p>
        </w:tc>
        <w:tc>
          <w:tcPr/>
          <w:p>
            <w:pPr>
              <w:pStyle w:val="Compact"/>
            </w:pPr>
            <w:r>
              <w:t xml:space="preserve">0.922</w:t>
            </w:r>
          </w:p>
        </w:tc>
      </w:tr>
      <w:tr>
        <w:tc>
          <w:tcPr/>
          <w:p>
            <w:pPr>
              <w:pStyle w:val="Compact"/>
            </w:pPr>
            <w:r>
              <w:t xml:space="preserve">KernelSHAP</w:t>
            </w:r>
          </w:p>
        </w:tc>
        <w:tc>
          <w:tcPr/>
          <w:p>
            <w:pPr>
              <w:pStyle w:val="Compact"/>
            </w:pPr>
            <w:r>
              <w:t xml:space="preserve">1.000</w:t>
            </w:r>
          </w:p>
        </w:tc>
        <w:tc>
          <w:tcPr/>
          <w:p>
            <w:pPr>
              <w:pStyle w:val="Compact"/>
            </w:pPr>
            <w:r>
              <w:t xml:space="preserve">0.989</w:t>
            </w:r>
          </w:p>
        </w:tc>
        <w:tc>
          <w:tcPr/>
          <w:p>
            <w:pPr>
              <w:pStyle w:val="Compact"/>
            </w:pPr>
            <w:r>
              <w:t xml:space="preserve">0.970</w:t>
            </w:r>
          </w:p>
        </w:tc>
        <w:tc>
          <w:tcPr/>
          <w:p>
            <w:pPr>
              <w:pStyle w:val="Compact"/>
            </w:pPr>
            <w:r>
              <w:t xml:space="preserve">0.581</w:t>
            </w:r>
          </w:p>
        </w:tc>
        <w:tc>
          <w:tcPr/>
          <w:p>
            <w:pPr>
              <w:pStyle w:val="Compact"/>
            </w:pPr>
            <w:r>
              <w:t xml:space="preserve">0.749</w:t>
            </w:r>
          </w:p>
        </w:tc>
        <w:tc>
          <w:tcPr/>
          <w:p>
            <w:pPr>
              <w:pStyle w:val="Compact"/>
            </w:pPr>
            <w:r>
              <w:t xml:space="preserve">0.922</w:t>
            </w:r>
          </w:p>
        </w:tc>
      </w:tr>
      <w:tr>
        <w:tc>
          <w:tcPr/>
          <w:p>
            <w:pPr>
              <w:pStyle w:val="Compact"/>
            </w:pPr>
            <w:r>
              <w:t xml:space="preserve">Lightweight KernelSHAP</w:t>
            </w:r>
          </w:p>
        </w:tc>
        <w:tc>
          <w:tcPr/>
          <w:p>
            <w:pPr>
              <w:pStyle w:val="Compact"/>
            </w:pPr>
            <w:r>
              <w:t xml:space="preserve">1.000</w:t>
            </w:r>
          </w:p>
        </w:tc>
        <w:tc>
          <w:tcPr/>
          <w:p>
            <w:pPr>
              <w:pStyle w:val="Compact"/>
            </w:pPr>
            <w:r>
              <w:t xml:space="preserve">0.967</w:t>
            </w:r>
          </w:p>
        </w:tc>
        <w:tc>
          <w:tcPr/>
          <w:p>
            <w:pPr>
              <w:pStyle w:val="Compact"/>
            </w:pPr>
            <w:r>
              <w:t xml:space="preserve">0.978</w:t>
            </w:r>
          </w:p>
        </w:tc>
        <w:tc>
          <w:tcPr/>
          <w:p>
            <w:pPr>
              <w:pStyle w:val="Compact"/>
            </w:pPr>
            <w:r>
              <w:t xml:space="preserve">0.581</w:t>
            </w:r>
          </w:p>
        </w:tc>
        <w:tc>
          <w:tcPr/>
          <w:p>
            <w:pPr>
              <w:pStyle w:val="Compact"/>
            </w:pPr>
            <w:r>
              <w:t xml:space="preserve">0.749</w:t>
            </w:r>
          </w:p>
        </w:tc>
        <w:tc>
          <w:tcPr/>
          <w:p>
            <w:pPr>
              <w:pStyle w:val="Compact"/>
            </w:pPr>
            <w:r>
              <w:t xml:space="preserve">0.921</w:t>
            </w:r>
          </w:p>
        </w:tc>
      </w:tr>
      <w:tr>
        <w:tc>
          <w:tcPr/>
          <w:p>
            <w:pPr>
              <w:pStyle w:val="Compact"/>
            </w:pPr>
            <w:r>
              <w:t xml:space="preserve">LIME</w:t>
            </w:r>
          </w:p>
        </w:tc>
        <w:tc>
          <w:tcPr/>
          <w:p>
            <w:pPr>
              <w:pStyle w:val="Compact"/>
            </w:pPr>
            <w:r>
              <w:t xml:space="preserve">1.000</w:t>
            </w:r>
          </w:p>
        </w:tc>
        <w:tc>
          <w:tcPr/>
          <w:p>
            <w:pPr>
              <w:pStyle w:val="Compact"/>
            </w:pPr>
            <w:r>
              <w:t xml:space="preserve">0.967</w:t>
            </w:r>
          </w:p>
        </w:tc>
        <w:tc>
          <w:tcPr/>
          <w:p>
            <w:pPr>
              <w:pStyle w:val="Compact"/>
            </w:pPr>
            <w:r>
              <w:t xml:space="preserve">0.991</w:t>
            </w:r>
          </w:p>
        </w:tc>
        <w:tc>
          <w:tcPr/>
          <w:p>
            <w:pPr>
              <w:pStyle w:val="Compact"/>
            </w:pPr>
            <w:r>
              <w:t xml:space="preserve">0.581</w:t>
            </w:r>
          </w:p>
        </w:tc>
        <w:tc>
          <w:tcPr/>
          <w:p>
            <w:pPr>
              <w:pStyle w:val="Compact"/>
            </w:pPr>
            <w:r>
              <w:t xml:space="preserve">0.749</w:t>
            </w:r>
          </w:p>
        </w:tc>
        <w:tc>
          <w:tcPr/>
          <w:p>
            <w:pPr>
              <w:pStyle w:val="Compact"/>
            </w:pPr>
            <w:r>
              <w:t xml:space="preserve">0.921</w:t>
            </w:r>
          </w:p>
        </w:tc>
      </w:tr>
    </w:tbl>
    <w:p>
      <w:pPr>
        <w:pStyle w:val="BodyText"/>
      </w:pPr>
      <w:r>
        <w:t xml:space="preserve">Two patterns are worth stating explicitly, since they are easy to miss in the cross-tier mean. First, MFR is nearly identical across explainers within a tier (differing only in the third decimal place): the simulated-tier memory ceiling is dominated by the shared interpreter/library baseline footprint (Section 3.4) rather than by which explainer is running, so MFR mainly distinguishes</w:t>
      </w:r>
      <w:r>
        <w:t xml:space="preserve"> </w:t>
      </w:r>
      <w:r>
        <w:rPr>
          <w:i/>
          <w:iCs/>
        </w:rPr>
        <w:t xml:space="preserve">tiers</w:t>
      </w:r>
      <w:r>
        <w:t xml:space="preserve"> </w:t>
      </w:r>
      <w:r>
        <w:t xml:space="preserve">from each other, not explainers from each other. Second, CCS is single-run wall-clock timing (Section 3.7) and shows some non-monotonic tier ordering (e.g., CC-SHAP’s CCS is slightly higher on Pi4 than on the unconstrained tier); we read this as measurement noise from shared-machine timing variance rather than a real tier effect, consistent with the single-run limitation already flagged in Section 5.4, and do not draw conclusions from tier-to-tier CCS differences smaller than roughly 0.02.</w:t>
      </w:r>
    </w:p>
    <w:p>
      <w:pPr>
        <w:pStyle w:val="BodyText"/>
      </w:pPr>
      <w:r>
        <w:rPr>
          <w:b/>
          <w:bCs/>
        </w:rPr>
        <w:t xml:space="preserve">Table 2b.</w:t>
      </w:r>
      <w:r>
        <w:t xml:space="preserve"> </w:t>
      </w:r>
      <w:r>
        <w:t xml:space="preserve">Bootstrap 95% CI (1000 resamples over the</w:t>
      </w:r>
      <w:r>
        <w:t xml:space="preserve"> </w:t>
      </w:r>
      <w:r>
        <w:rPr>
          <w:i/>
          <w:iCs/>
        </w:rPr>
        <w:t xml:space="preserve">n</w:t>
      </w:r>
      <w:r>
        <w:t xml:space="preserve"> </w:t>
      </w:r>
      <w:r>
        <w:t xml:space="preserve">= 100 explained-sample batch, from a dedicated companion experiment, Section 4.4) for the headline CICIoT2023 fidelity comparison between CC-SHAP and KernelSHAP, computed separately per base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Explainer</w:t>
            </w:r>
          </w:p>
        </w:tc>
        <w:tc>
          <w:tcPr/>
          <w:p>
            <w:pPr>
              <w:pStyle w:val="Compact"/>
            </w:pPr>
            <w:r>
              <w:t xml:space="preserve">Model</w:t>
            </w:r>
          </w:p>
        </w:tc>
        <w:tc>
          <w:tcPr/>
          <w:p>
            <w:pPr>
              <w:pStyle w:val="Compact"/>
            </w:pPr>
            <w:r>
              <w:t xml:space="preserve">Fidelity (mean [95% CI])</w:t>
            </w:r>
          </w:p>
        </w:tc>
      </w:tr>
      <w:tr>
        <w:tc>
          <w:tcPr/>
          <w:p>
            <w:pPr>
              <w:pStyle w:val="Compact"/>
            </w:pPr>
            <w:r>
              <w:t xml:space="preserve">CC-SHAP</w:t>
            </w:r>
          </w:p>
        </w:tc>
        <w:tc>
          <w:tcPr/>
          <w:p>
            <w:pPr>
              <w:pStyle w:val="Compact"/>
            </w:pPr>
            <w:r>
              <w:t xml:space="preserve">LightGBM</w:t>
            </w:r>
          </w:p>
        </w:tc>
        <w:tc>
          <w:tcPr/>
          <w:p>
            <w:pPr>
              <w:pStyle w:val="Compact"/>
            </w:pPr>
            <w:r>
              <w:t xml:space="preserve">0.552 [0.523, 0.581]</w:t>
            </w:r>
          </w:p>
        </w:tc>
      </w:tr>
      <w:tr>
        <w:tc>
          <w:tcPr/>
          <w:p>
            <w:pPr>
              <w:pStyle w:val="Compact"/>
            </w:pPr>
            <w:r>
              <w:t xml:space="preserve">KernelSHAP</w:t>
            </w:r>
          </w:p>
        </w:tc>
        <w:tc>
          <w:tcPr/>
          <w:p>
            <w:pPr>
              <w:pStyle w:val="Compact"/>
            </w:pPr>
            <w:r>
              <w:t xml:space="preserve">LightGBM</w:t>
            </w:r>
          </w:p>
        </w:tc>
        <w:tc>
          <w:tcPr/>
          <w:p>
            <w:pPr>
              <w:pStyle w:val="Compact"/>
            </w:pPr>
            <w:r>
              <w:t xml:space="preserve">0.738 [0.709, 0.763]</w:t>
            </w:r>
          </w:p>
        </w:tc>
      </w:tr>
      <w:tr>
        <w:tc>
          <w:tcPr/>
          <w:p>
            <w:pPr>
              <w:pStyle w:val="Compact"/>
            </w:pPr>
            <w:r>
              <w:t xml:space="preserve">CC-SHAP</w:t>
            </w:r>
          </w:p>
        </w:tc>
        <w:tc>
          <w:tcPr/>
          <w:p>
            <w:pPr>
              <w:pStyle w:val="Compact"/>
            </w:pPr>
            <w:r>
              <w:t xml:space="preserve">MLP</w:t>
            </w:r>
          </w:p>
        </w:tc>
        <w:tc>
          <w:tcPr/>
          <w:p>
            <w:pPr>
              <w:pStyle w:val="Compact"/>
            </w:pPr>
            <w:r>
              <w:t xml:space="preserve">0.596 [0.567, 0.623]</w:t>
            </w:r>
          </w:p>
        </w:tc>
      </w:tr>
      <w:tr>
        <w:tc>
          <w:tcPr/>
          <w:p>
            <w:pPr>
              <w:pStyle w:val="Compact"/>
            </w:pPr>
            <w:r>
              <w:t xml:space="preserve">KernelSHAP</w:t>
            </w:r>
          </w:p>
        </w:tc>
        <w:tc>
          <w:tcPr/>
          <w:p>
            <w:pPr>
              <w:pStyle w:val="Compact"/>
            </w:pPr>
            <w:r>
              <w:t xml:space="preserve">MLP</w:t>
            </w:r>
          </w:p>
        </w:tc>
        <w:tc>
          <w:tcPr/>
          <w:p>
            <w:pPr>
              <w:pStyle w:val="Compact"/>
            </w:pPr>
            <w:r>
              <w:t xml:space="preserve">0.726 [0.705, 0.745]</w:t>
            </w:r>
          </w:p>
        </w:tc>
      </w:tr>
    </w:tbl>
    <w:p>
      <w:pPr>
        <w:pStyle w:val="BodyText"/>
      </w:pPr>
      <w:r>
        <w:t xml:space="preserve">The CIs do not overlap for either model: CC-SHAP’s fidelity cost relative to KernelSHAP is a real, non-noise effect at this sample size, not an artifact of single-run variance. This CI companion run used an independent seed (43, vs. the production run’s 42) and a single resource tier, so its point estimates differ slightly from Table 1’s cross-tier means; see Section 4.4 for the full methodology.</w:t>
      </w:r>
    </w:p>
    <w:p>
      <w:pPr>
        <w:pStyle w:val="BodyText"/>
      </w:pPr>
      <w:r>
        <w:rPr>
          <w:b/>
          <w:bCs/>
        </w:rPr>
        <w:t xml:space="preserve">Table 3.</w:t>
      </w:r>
      <w:r>
        <w:t xml:space="preserve"> </w:t>
      </w:r>
      <w:r>
        <w:t xml:space="preserve">UMCEF_IoT composite leaderboard (Equation 58), CICIoT2023.</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Rank</w:t>
            </w:r>
          </w:p>
        </w:tc>
        <w:tc>
          <w:tcPr/>
          <w:p>
            <w:pPr>
              <w:pStyle w:val="Compact"/>
            </w:pPr>
            <w:r>
              <w:t xml:space="preserve">Explainer</w:t>
            </w:r>
          </w:p>
        </w:tc>
        <w:tc>
          <w:tcPr/>
          <w:p>
            <w:pPr>
              <w:pStyle w:val="Compact"/>
            </w:pPr>
            <w:r>
              <w:t xml:space="preserve">FID</w:t>
            </w:r>
          </w:p>
        </w:tc>
        <w:tc>
          <w:tcPr/>
          <w:p>
            <w:pPr>
              <w:pStyle w:val="Compact"/>
            </w:pPr>
            <w:r>
              <w:t xml:space="preserve">EFF</w:t>
            </w:r>
          </w:p>
        </w:tc>
        <w:tc>
          <w:tcPr/>
          <w:p>
            <w:pPr>
              <w:pStyle w:val="Compact"/>
            </w:pPr>
            <w:r>
              <w:t xml:space="preserve">SPAR</w:t>
            </w:r>
          </w:p>
        </w:tc>
        <w:tc>
          <w:tcPr/>
          <w:p>
            <w:pPr>
              <w:pStyle w:val="Compact"/>
            </w:pPr>
            <w:r>
              <w:t xml:space="preserve">ROB</w:t>
            </w:r>
          </w:p>
        </w:tc>
        <w:tc>
          <w:tcPr/>
          <w:p>
            <w:pPr>
              <w:pStyle w:val="Compact"/>
            </w:pPr>
            <w:r>
              <w:rPr>
                <w:b/>
                <w:bCs/>
              </w:rPr>
              <w:t xml:space="preserve">UMCEF_IoT</w:t>
            </w:r>
          </w:p>
        </w:tc>
      </w:tr>
      <w:tr>
        <w:tc>
          <w:tcPr/>
          <w:p>
            <w:pPr>
              <w:pStyle w:val="Compact"/>
            </w:pPr>
            <w:r>
              <w:t xml:space="preserve">1</w:t>
            </w:r>
          </w:p>
        </w:tc>
        <w:tc>
          <w:tcPr/>
          <w:p>
            <w:pPr>
              <w:pStyle w:val="Compact"/>
            </w:pPr>
            <w:r>
              <w:t xml:space="preserve">KernelSHAP</w:t>
            </w:r>
          </w:p>
        </w:tc>
        <w:tc>
          <w:tcPr/>
          <w:p>
            <w:pPr>
              <w:pStyle w:val="Compact"/>
            </w:pPr>
            <w:r>
              <w:t xml:space="preserve">0.710</w:t>
            </w:r>
          </w:p>
        </w:tc>
        <w:tc>
          <w:tcPr/>
          <w:p>
            <w:pPr>
              <w:pStyle w:val="Compact"/>
            </w:pPr>
            <w:r>
              <w:t xml:space="preserve">0.868</w:t>
            </w:r>
          </w:p>
        </w:tc>
        <w:tc>
          <w:tcPr/>
          <w:p>
            <w:pPr>
              <w:pStyle w:val="Compact"/>
            </w:pPr>
            <w:r>
              <w:t xml:space="preserve">0.407</w:t>
            </w:r>
          </w:p>
        </w:tc>
        <w:tc>
          <w:tcPr/>
          <w:p>
            <w:pPr>
              <w:pStyle w:val="Compact"/>
            </w:pPr>
            <w:r>
              <w:t xml:space="preserve">0.637</w:t>
            </w:r>
          </w:p>
        </w:tc>
        <w:tc>
          <w:tcPr/>
          <w:p>
            <w:pPr>
              <w:pStyle w:val="Compact"/>
            </w:pPr>
            <w:r>
              <w:rPr>
                <w:b/>
                <w:bCs/>
              </w:rPr>
              <w:t xml:space="preserve">0.713</w:t>
            </w:r>
          </w:p>
        </w:tc>
      </w:tr>
      <w:tr>
        <w:tc>
          <w:tcPr/>
          <w:p>
            <w:pPr>
              <w:pStyle w:val="Compact"/>
            </w:pPr>
            <w:r>
              <w:t xml:space="preserve">2</w:t>
            </w:r>
          </w:p>
        </w:tc>
        <w:tc>
          <w:tcPr/>
          <w:p>
            <w:pPr>
              <w:pStyle w:val="Compact"/>
            </w:pPr>
            <w:r>
              <w:t xml:space="preserve">CC-SHAP</w:t>
            </w:r>
          </w:p>
        </w:tc>
        <w:tc>
          <w:tcPr/>
          <w:p>
            <w:pPr>
              <w:pStyle w:val="Compact"/>
            </w:pPr>
            <w:r>
              <w:t xml:space="preserve">0.561</w:t>
            </w:r>
          </w:p>
        </w:tc>
        <w:tc>
          <w:tcPr/>
          <w:p>
            <w:pPr>
              <w:pStyle w:val="Compact"/>
            </w:pPr>
            <w:r>
              <w:t xml:space="preserve">0.731</w:t>
            </w:r>
          </w:p>
        </w:tc>
        <w:tc>
          <w:tcPr/>
          <w:p>
            <w:pPr>
              <w:pStyle w:val="Compact"/>
            </w:pPr>
            <w:r>
              <w:t xml:space="preserve">0.950</w:t>
            </w:r>
          </w:p>
        </w:tc>
        <w:tc>
          <w:tcPr/>
          <w:p>
            <w:pPr>
              <w:pStyle w:val="Compact"/>
            </w:pPr>
            <w:r>
              <w:t xml:space="preserve">0.848</w:t>
            </w:r>
          </w:p>
        </w:tc>
        <w:tc>
          <w:tcPr/>
          <w:p>
            <w:pPr>
              <w:pStyle w:val="Compact"/>
            </w:pPr>
            <w:r>
              <w:rPr>
                <w:b/>
                <w:bCs/>
              </w:rPr>
              <w:t xml:space="preserve">0.708</w:t>
            </w:r>
          </w:p>
        </w:tc>
      </w:tr>
      <w:tr>
        <w:tc>
          <w:tcPr/>
          <w:p>
            <w:pPr>
              <w:pStyle w:val="Compact"/>
            </w:pPr>
            <w:r>
              <w:t xml:space="preserve">3</w:t>
            </w:r>
          </w:p>
        </w:tc>
        <w:tc>
          <w:tcPr/>
          <w:p>
            <w:pPr>
              <w:pStyle w:val="Compact"/>
            </w:pPr>
            <w:r>
              <w:t xml:space="preserve">TreeSHAP</w:t>
            </w:r>
          </w:p>
        </w:tc>
        <w:tc>
          <w:tcPr/>
          <w:p>
            <w:pPr>
              <w:pStyle w:val="Compact"/>
            </w:pPr>
            <w:r>
              <w:t xml:space="preserve">0.705</w:t>
            </w:r>
          </w:p>
        </w:tc>
        <w:tc>
          <w:tcPr/>
          <w:p>
            <w:pPr>
              <w:pStyle w:val="Compact"/>
            </w:pPr>
            <w:r>
              <w:t xml:space="preserve">0.848</w:t>
            </w:r>
          </w:p>
        </w:tc>
        <w:tc>
          <w:tcPr/>
          <w:p>
            <w:pPr>
              <w:pStyle w:val="Compact"/>
            </w:pPr>
            <w:r>
              <w:t xml:space="preserve">0.204</w:t>
            </w:r>
          </w:p>
        </w:tc>
        <w:tc>
          <w:tcPr/>
          <w:p>
            <w:pPr>
              <w:pStyle w:val="Compact"/>
            </w:pPr>
            <w:r>
              <w:t xml:space="preserve">0.744</w:t>
            </w:r>
          </w:p>
        </w:tc>
        <w:tc>
          <w:tcPr/>
          <w:p>
            <w:pPr>
              <w:pStyle w:val="Compact"/>
            </w:pPr>
            <w:r>
              <w:t xml:space="preserve">0.706</w:t>
            </w:r>
          </w:p>
        </w:tc>
      </w:tr>
      <w:tr>
        <w:tc>
          <w:tcPr/>
          <w:p>
            <w:pPr>
              <w:pStyle w:val="Compact"/>
            </w:pPr>
            <w:r>
              <w:t xml:space="preserve">4</w:t>
            </w:r>
          </w:p>
        </w:tc>
        <w:tc>
          <w:tcPr/>
          <w:p>
            <w:pPr>
              <w:pStyle w:val="Compact"/>
            </w:pPr>
            <w:r>
              <w:t xml:space="preserve">Lightweight KernelSHAP</w:t>
            </w:r>
          </w:p>
        </w:tc>
        <w:tc>
          <w:tcPr/>
          <w:p>
            <w:pPr>
              <w:pStyle w:val="Compact"/>
            </w:pPr>
            <w:r>
              <w:t xml:space="preserve">0.652</w:t>
            </w:r>
          </w:p>
        </w:tc>
        <w:tc>
          <w:tcPr/>
          <w:p>
            <w:pPr>
              <w:pStyle w:val="Compact"/>
            </w:pPr>
            <w:r>
              <w:t xml:space="preserve">0.866</w:t>
            </w:r>
          </w:p>
        </w:tc>
        <w:tc>
          <w:tcPr/>
          <w:p>
            <w:pPr>
              <w:pStyle w:val="Compact"/>
            </w:pPr>
            <w:r>
              <w:t xml:space="preserve">0.417</w:t>
            </w:r>
          </w:p>
        </w:tc>
        <w:tc>
          <w:tcPr/>
          <w:p>
            <w:pPr>
              <w:pStyle w:val="Compact"/>
            </w:pPr>
            <w:r>
              <w:t xml:space="preserve">0.276</w:t>
            </w:r>
          </w:p>
        </w:tc>
        <w:tc>
          <w:tcPr/>
          <w:p>
            <w:pPr>
              <w:pStyle w:val="Compact"/>
            </w:pPr>
            <w:r>
              <w:t xml:space="preserve">0.617</w:t>
            </w:r>
          </w:p>
        </w:tc>
      </w:tr>
      <w:tr>
        <w:tc>
          <w:tcPr/>
          <w:p>
            <w:pPr>
              <w:pStyle w:val="Compact"/>
            </w:pPr>
            <w:r>
              <w:t xml:space="preserve">5</w:t>
            </w:r>
          </w:p>
        </w:tc>
        <w:tc>
          <w:tcPr/>
          <w:p>
            <w:pPr>
              <w:pStyle w:val="Compact"/>
            </w:pPr>
            <w:r>
              <w:t xml:space="preserve">LIME</w:t>
            </w:r>
          </w:p>
        </w:tc>
        <w:tc>
          <w:tcPr/>
          <w:p>
            <w:pPr>
              <w:pStyle w:val="Compact"/>
            </w:pPr>
            <w:r>
              <w:t xml:space="preserve">0.567</w:t>
            </w:r>
          </w:p>
        </w:tc>
        <w:tc>
          <w:tcPr/>
          <w:p>
            <w:pPr>
              <w:pStyle w:val="Compact"/>
            </w:pPr>
            <w:r>
              <w:t xml:space="preserve">0.868</w:t>
            </w:r>
          </w:p>
        </w:tc>
        <w:tc>
          <w:tcPr/>
          <w:p>
            <w:pPr>
              <w:pStyle w:val="Compact"/>
            </w:pPr>
            <w:r>
              <w:t xml:space="preserve">0.090</w:t>
            </w:r>
          </w:p>
        </w:tc>
        <w:tc>
          <w:tcPr/>
          <w:p>
            <w:pPr>
              <w:pStyle w:val="Compact"/>
            </w:pPr>
            <w:r>
              <w:t xml:space="preserve">0.490</w:t>
            </w:r>
          </w:p>
        </w:tc>
        <w:tc>
          <w:tcPr/>
          <w:p>
            <w:pPr>
              <w:pStyle w:val="Compact"/>
            </w:pPr>
            <w:r>
              <w:t xml:space="preserve">0.594</w:t>
            </w:r>
          </w:p>
        </w:tc>
      </w:tr>
    </w:tbl>
    <w:p>
      <w:pPr>
        <w:pStyle w:val="BodyText"/>
      </w:pPr>
      <w:r>
        <w:t xml:space="preserve">CC-SHAP places a close second on the composite score (0.708 vs. the leader’s 0.713, a 0.005 gap). We do not characterize this specific 0.005 composite-score gap as a statistical tie: the UMCEF_IoT composite blends multiple component metrics computed from a single production run (Section 3.7), and we have not computed a joint CI for the composite itself (only for individual components, Table 2b). What the evidence does support is narrower and still meaningful: CC-SHAP is competitive with, not decisively behind, the composite leader, while never winning on raw fidelity or speed individually, and Section 4.3’s weighting-sensitivity check shows this ranking is not an artifact of one arbitrary weighting choice.</w:t>
      </w:r>
    </w:p>
    <w:bookmarkEnd w:id="32"/>
    <w:bookmarkStart w:id="33" w:name="Xe0cd57cb4f71b2a078f5b06819314a640b8ae4f"/>
    <w:p>
      <w:pPr>
        <w:pStyle w:val="Heading3"/>
      </w:pPr>
      <w:r>
        <w:rPr>
          <w:rStyle w:val="SectionNumber"/>
        </w:rPr>
        <w:t xml:space="preserve">1.5.2</w:t>
      </w:r>
      <w:r>
        <w:tab/>
      </w:r>
      <w:r>
        <w:t xml:space="preserve">4.2. Cross-Dataset Generalization: Edge-IIoTset</w:t>
      </w:r>
    </w:p>
    <w:p>
      <w:pPr>
        <w:pStyle w:val="FirstParagraph"/>
      </w:pPr>
      <w:r>
        <w:t xml:space="preserve">To test whether the CICIoT2023 result is a property of the method or an artifact of one dataset, we repeat the full protocol on Edge-IIoTset: 15 classes rather than 8, 42 protocol-level features rather than 39 flow-statistical features, and a different duplicate-leakage profile (Section 3.1). LightGBM reaches 90.42% accuracy; the multilayer perceptron reaches only 63.64%, notably worse than its CICIoT2023 counterpart, consistent with this dataset’s many near-constant, protocol-indicator-style features suiting tree splits better than a small dense network. The causal skeleton discovered 449 edges over 42 features in 1.20 s, denser than CICIoT2023’s and reflecting this feature set’s higher intercorrelation.</w:t>
      </w:r>
    </w:p>
    <w:p>
      <w:pPr>
        <w:pStyle w:val="BodyText"/>
      </w:pPr>
      <w:r>
        <w:rPr>
          <w:b/>
          <w:bCs/>
        </w:rPr>
        <w:t xml:space="preserve">Table 4.</w:t>
      </w:r>
      <w:r>
        <w:t xml:space="preserve"> </w:t>
      </w:r>
      <w:r>
        <w:t xml:space="preserve">Grid summary, Edge-IIoTset generalization check.</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Explainer</w:t>
            </w:r>
          </w:p>
        </w:tc>
        <w:tc>
          <w:tcPr/>
          <w:p>
            <w:pPr>
              <w:pStyle w:val="Compact"/>
            </w:pPr>
            <w:r>
              <w:t xml:space="preserve">Fidelity</w:t>
            </w:r>
          </w:p>
        </w:tc>
        <w:tc>
          <w:tcPr/>
          <w:p>
            <w:pPr>
              <w:pStyle w:val="Compact"/>
            </w:pPr>
            <w:r>
              <w:t xml:space="preserve">CCS</w:t>
            </w:r>
          </w:p>
        </w:tc>
        <w:tc>
          <w:tcPr/>
          <w:p>
            <w:pPr>
              <w:pStyle w:val="Compact"/>
            </w:pPr>
            <w:r>
              <w:t xml:space="preserve">Sparsity</w:t>
            </w:r>
          </w:p>
        </w:tc>
        <w:tc>
          <w:tcPr/>
          <w:p>
            <w:pPr>
              <w:pStyle w:val="Compact"/>
            </w:pPr>
            <w:r>
              <w:t xml:space="preserve">Temporal Coherence</w:t>
            </w:r>
          </w:p>
        </w:tc>
      </w:tr>
      <w:tr>
        <w:tc>
          <w:tcPr/>
          <w:p>
            <w:pPr>
              <w:pStyle w:val="Compact"/>
            </w:pPr>
            <w:r>
              <w:t xml:space="preserve">TreeSHAP</w:t>
            </w:r>
          </w:p>
        </w:tc>
        <w:tc>
          <w:tcPr/>
          <w:p>
            <w:pPr>
              <w:pStyle w:val="Compact"/>
            </w:pPr>
            <w:r>
              <w:rPr>
                <w:b/>
                <w:bCs/>
              </w:rPr>
              <w:t xml:space="preserve">0.777</w:t>
            </w:r>
          </w:p>
        </w:tc>
        <w:tc>
          <w:tcPr/>
          <w:p>
            <w:pPr>
              <w:pStyle w:val="Compact"/>
            </w:pPr>
            <w:r>
              <w:t xml:space="preserve">0.979</w:t>
            </w:r>
          </w:p>
        </w:tc>
        <w:tc>
          <w:tcPr/>
          <w:p>
            <w:pPr>
              <w:pStyle w:val="Compact"/>
            </w:pPr>
            <w:r>
              <w:t xml:space="preserve">0.532</w:t>
            </w:r>
          </w:p>
        </w:tc>
        <w:tc>
          <w:tcPr/>
          <w:p>
            <w:pPr>
              <w:pStyle w:val="Compact"/>
            </w:pPr>
            <w:r>
              <w:rPr>
                <w:b/>
                <w:bCs/>
              </w:rPr>
              <w:t xml:space="preserve">0.993</w:t>
            </w:r>
          </w:p>
        </w:tc>
      </w:tr>
      <w:tr>
        <w:tc>
          <w:tcPr/>
          <w:p>
            <w:pPr>
              <w:pStyle w:val="Compact"/>
            </w:pPr>
            <w:r>
              <w:t xml:space="preserve">KernelSHAP</w:t>
            </w:r>
          </w:p>
        </w:tc>
        <w:tc>
          <w:tcPr/>
          <w:p>
            <w:pPr>
              <w:pStyle w:val="Compact"/>
            </w:pPr>
            <w:r>
              <w:t xml:space="preserve">0.762</w:t>
            </w:r>
          </w:p>
        </w:tc>
        <w:tc>
          <w:tcPr/>
          <w:p>
            <w:pPr>
              <w:pStyle w:val="Compact"/>
            </w:pPr>
            <w:r>
              <w:t xml:space="preserve">0.982</w:t>
            </w:r>
          </w:p>
        </w:tc>
        <w:tc>
          <w:tcPr/>
          <w:p>
            <w:pPr>
              <w:pStyle w:val="Compact"/>
            </w:pPr>
            <w:r>
              <w:t xml:space="preserve">0.594</w:t>
            </w:r>
          </w:p>
        </w:tc>
        <w:tc>
          <w:tcPr/>
          <w:p>
            <w:pPr>
              <w:pStyle w:val="Compact"/>
            </w:pPr>
            <w:r>
              <w:t xml:space="preserve">0.965</w:t>
            </w:r>
          </w:p>
        </w:tc>
      </w:tr>
      <w:tr>
        <w:tc>
          <w:tcPr/>
          <w:p>
            <w:pPr>
              <w:pStyle w:val="Compact"/>
            </w:pPr>
            <w:r>
              <w:t xml:space="preserve">Lightweight KernelSHAP</w:t>
            </w:r>
          </w:p>
        </w:tc>
        <w:tc>
          <w:tcPr/>
          <w:p>
            <w:pPr>
              <w:pStyle w:val="Compact"/>
            </w:pPr>
            <w:r>
              <w:t xml:space="preserve">0.683</w:t>
            </w:r>
          </w:p>
        </w:tc>
        <w:tc>
          <w:tcPr/>
          <w:p>
            <w:pPr>
              <w:pStyle w:val="Compact"/>
            </w:pPr>
            <w:r>
              <w:t xml:space="preserve">0.981</w:t>
            </w:r>
          </w:p>
        </w:tc>
        <w:tc>
          <w:tcPr/>
          <w:p>
            <w:pPr>
              <w:pStyle w:val="Compact"/>
            </w:pPr>
            <w:r>
              <w:t xml:space="preserve">0.690</w:t>
            </w:r>
          </w:p>
        </w:tc>
        <w:tc>
          <w:tcPr/>
          <w:p>
            <w:pPr>
              <w:pStyle w:val="Compact"/>
            </w:pPr>
            <w:r>
              <w:t xml:space="preserve">0.956</w:t>
            </w:r>
          </w:p>
        </w:tc>
      </w:tr>
      <w:tr>
        <w:tc>
          <w:tcPr/>
          <w:p>
            <w:pPr>
              <w:pStyle w:val="Compact"/>
            </w:pPr>
            <w:r>
              <w:t xml:space="preserve">CC-SHAP</w:t>
            </w:r>
          </w:p>
        </w:tc>
        <w:tc>
          <w:tcPr/>
          <w:p>
            <w:pPr>
              <w:pStyle w:val="Compact"/>
            </w:pPr>
            <w:r>
              <w:t xml:space="preserve">0.660</w:t>
            </w:r>
          </w:p>
        </w:tc>
        <w:tc>
          <w:tcPr/>
          <w:p>
            <w:pPr>
              <w:pStyle w:val="Compact"/>
            </w:pPr>
            <w:r>
              <w:t xml:space="preserve">0.840</w:t>
            </w:r>
          </w:p>
        </w:tc>
        <w:tc>
          <w:tcPr/>
          <w:p>
            <w:pPr>
              <w:pStyle w:val="Compact"/>
            </w:pPr>
            <w:r>
              <w:rPr>
                <w:b/>
                <w:bCs/>
              </w:rPr>
              <w:t xml:space="preserve">0.976</w:t>
            </w:r>
          </w:p>
        </w:tc>
        <w:tc>
          <w:tcPr/>
          <w:p>
            <w:pPr>
              <w:pStyle w:val="Compact"/>
            </w:pPr>
            <w:r>
              <w:t xml:space="preserve">0.554</w:t>
            </w:r>
          </w:p>
        </w:tc>
      </w:tr>
      <w:tr>
        <w:tc>
          <w:tcPr/>
          <w:p>
            <w:pPr>
              <w:pStyle w:val="Compact"/>
            </w:pPr>
            <w:r>
              <w:t xml:space="preserve">LIME</w:t>
            </w:r>
          </w:p>
        </w:tc>
        <w:tc>
          <w:tcPr/>
          <w:p>
            <w:pPr>
              <w:pStyle w:val="Compact"/>
            </w:pPr>
            <w:r>
              <w:t xml:space="preserve">0.599</w:t>
            </w:r>
          </w:p>
        </w:tc>
        <w:tc>
          <w:tcPr/>
          <w:p>
            <w:pPr>
              <w:pStyle w:val="Compact"/>
            </w:pPr>
            <w:r>
              <w:t xml:space="preserve">0.994</w:t>
            </w:r>
          </w:p>
        </w:tc>
        <w:tc>
          <w:tcPr/>
          <w:p>
            <w:pPr>
              <w:pStyle w:val="Compact"/>
            </w:pPr>
            <w:r>
              <w:t xml:space="preserve">0.626</w:t>
            </w:r>
          </w:p>
        </w:tc>
        <w:tc>
          <w:tcPr/>
          <w:p>
            <w:pPr>
              <w:pStyle w:val="Compact"/>
            </w:pPr>
            <w:r>
              <w:t xml:space="preserve">0.702</w:t>
            </w:r>
          </w:p>
        </w:tc>
      </w:tr>
    </w:tbl>
    <w:p>
      <w:pPr>
        <w:pStyle w:val="BodyText"/>
      </w:pPr>
      <w:r>
        <w:rPr>
          <w:b/>
          <w:bCs/>
        </w:rPr>
        <w:t xml:space="preserve">Table 4b.</w:t>
      </w:r>
      <w:r>
        <w:t xml:space="preserve"> </w:t>
      </w:r>
      <w:r>
        <w:t xml:space="preserve">Per-resource-tier CCS and MFR by explainer, Edge-IIoTset (mean across models). See Table 1b for the reading notes on MFR’s near-uniformity across explainers and on single-run CCS noise, both of which apply identically here.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Explainer</w:t>
            </w:r>
          </w:p>
        </w:tc>
        <w:tc>
          <w:tcPr/>
          <w:p>
            <w:pPr>
              <w:pStyle w:val="Compact"/>
            </w:pPr>
            <w:r>
              <w:t xml:space="preserve">CCS (Pi4)</w:t>
            </w:r>
          </w:p>
        </w:tc>
        <w:tc>
          <w:tcPr/>
          <w:p>
            <w:pPr>
              <w:pStyle w:val="Compact"/>
            </w:pPr>
            <w:r>
              <w:t xml:space="preserve">CCS (Jetson Nano)</w:t>
            </w:r>
          </w:p>
        </w:tc>
        <w:tc>
          <w:tcPr/>
          <w:p>
            <w:pPr>
              <w:pStyle w:val="Compact"/>
            </w:pPr>
            <w:r>
              <w:t xml:space="preserve">CCS (unconstrained)</w:t>
            </w:r>
          </w:p>
        </w:tc>
        <w:tc>
          <w:tcPr/>
          <w:p>
            <w:pPr>
              <w:pStyle w:val="Compact"/>
            </w:pPr>
            <w:r>
              <w:t xml:space="preserve">MFR (Pi4)</w:t>
            </w:r>
          </w:p>
        </w:tc>
        <w:tc>
          <w:tcPr/>
          <w:p>
            <w:pPr>
              <w:pStyle w:val="Compact"/>
            </w:pPr>
            <w:r>
              <w:t xml:space="preserve">MFR (Jetson Nano)</w:t>
            </w:r>
          </w:p>
        </w:tc>
        <w:tc>
          <w:tcPr/>
          <w:p>
            <w:pPr>
              <w:pStyle w:val="Compact"/>
            </w:pPr>
            <w:r>
              <w:t xml:space="preserve">MFR (unconstrained)</w:t>
            </w:r>
          </w:p>
        </w:tc>
      </w:tr>
      <w:tr>
        <w:tc>
          <w:tcPr/>
          <w:p>
            <w:pPr>
              <w:pStyle w:val="Compact"/>
            </w:pPr>
            <w:r>
              <w:t xml:space="preserve">CC-SHAP</w:t>
            </w:r>
          </w:p>
        </w:tc>
        <w:tc>
          <w:tcPr/>
          <w:p>
            <w:pPr>
              <w:pStyle w:val="Compact"/>
            </w:pPr>
            <w:r>
              <w:t xml:space="preserve">0.853</w:t>
            </w:r>
          </w:p>
        </w:tc>
        <w:tc>
          <w:tcPr/>
          <w:p>
            <w:pPr>
              <w:pStyle w:val="Compact"/>
            </w:pPr>
            <w:r>
              <w:t xml:space="preserve">0.830</w:t>
            </w:r>
          </w:p>
        </w:tc>
        <w:tc>
          <w:tcPr/>
          <w:p>
            <w:pPr>
              <w:pStyle w:val="Compact"/>
            </w:pPr>
            <w:r>
              <w:t xml:space="preserve">0.836</w:t>
            </w:r>
          </w:p>
        </w:tc>
        <w:tc>
          <w:tcPr/>
          <w:p>
            <w:pPr>
              <w:pStyle w:val="Compact"/>
            </w:pPr>
            <w:r>
              <w:t xml:space="preserve">0.482</w:t>
            </w:r>
          </w:p>
        </w:tc>
        <w:tc>
          <w:tcPr/>
          <w:p>
            <w:pPr>
              <w:pStyle w:val="Compact"/>
            </w:pPr>
            <w:r>
              <w:t xml:space="preserve">0.689</w:t>
            </w:r>
          </w:p>
        </w:tc>
        <w:tc>
          <w:tcPr/>
          <w:p>
            <w:pPr>
              <w:pStyle w:val="Compact"/>
            </w:pPr>
            <w:r>
              <w:t xml:space="preserve">0.903</w:t>
            </w:r>
          </w:p>
        </w:tc>
      </w:tr>
      <w:tr>
        <w:tc>
          <w:tcPr/>
          <w:p>
            <w:pPr>
              <w:pStyle w:val="Compact"/>
            </w:pPr>
            <w:r>
              <w:t xml:space="preserve">TreeSHAP</w:t>
            </w:r>
          </w:p>
        </w:tc>
        <w:tc>
          <w:tcPr/>
          <w:p>
            <w:pPr>
              <w:pStyle w:val="Compact"/>
            </w:pPr>
            <w:r>
              <w:t xml:space="preserve">1.000</w:t>
            </w:r>
          </w:p>
        </w:tc>
        <w:tc>
          <w:tcPr/>
          <w:p>
            <w:pPr>
              <w:pStyle w:val="Compact"/>
            </w:pPr>
            <w:r>
              <w:t xml:space="preserve">0.984</w:t>
            </w:r>
          </w:p>
        </w:tc>
        <w:tc>
          <w:tcPr/>
          <w:p>
            <w:pPr>
              <w:pStyle w:val="Compact"/>
            </w:pPr>
            <w:r>
              <w:t xml:space="preserve">0.952</w:t>
            </w:r>
          </w:p>
        </w:tc>
        <w:tc>
          <w:tcPr/>
          <w:p>
            <w:pPr>
              <w:pStyle w:val="Compact"/>
            </w:pPr>
            <w:r>
              <w:t xml:space="preserve">0.482</w:t>
            </w:r>
          </w:p>
        </w:tc>
        <w:tc>
          <w:tcPr/>
          <w:p>
            <w:pPr>
              <w:pStyle w:val="Compact"/>
            </w:pPr>
            <w:r>
              <w:t xml:space="preserve">0.689</w:t>
            </w:r>
          </w:p>
        </w:tc>
        <w:tc>
          <w:tcPr/>
          <w:p>
            <w:pPr>
              <w:pStyle w:val="Compact"/>
            </w:pPr>
            <w:r>
              <w:t xml:space="preserve">0.903</w:t>
            </w:r>
          </w:p>
        </w:tc>
      </w:tr>
      <w:tr>
        <w:tc>
          <w:tcPr/>
          <w:p>
            <w:pPr>
              <w:pStyle w:val="Compact"/>
            </w:pPr>
            <w:r>
              <w:t xml:space="preserve">KernelSHAP</w:t>
            </w:r>
          </w:p>
        </w:tc>
        <w:tc>
          <w:tcPr/>
          <w:p>
            <w:pPr>
              <w:pStyle w:val="Compact"/>
            </w:pPr>
            <w:r>
              <w:t xml:space="preserve">1.000</w:t>
            </w:r>
          </w:p>
        </w:tc>
        <w:tc>
          <w:tcPr/>
          <w:p>
            <w:pPr>
              <w:pStyle w:val="Compact"/>
            </w:pPr>
            <w:r>
              <w:t xml:space="preserve">0.979</w:t>
            </w:r>
          </w:p>
        </w:tc>
        <w:tc>
          <w:tcPr/>
          <w:p>
            <w:pPr>
              <w:pStyle w:val="Compact"/>
            </w:pPr>
            <w:r>
              <w:t xml:space="preserve">0.965</w:t>
            </w:r>
          </w:p>
        </w:tc>
        <w:tc>
          <w:tcPr/>
          <w:p>
            <w:pPr>
              <w:pStyle w:val="Compact"/>
            </w:pPr>
            <w:r>
              <w:t xml:space="preserve">0.482</w:t>
            </w:r>
          </w:p>
        </w:tc>
        <w:tc>
          <w:tcPr/>
          <w:p>
            <w:pPr>
              <w:pStyle w:val="Compact"/>
            </w:pPr>
            <w:r>
              <w:t xml:space="preserve">0.689</w:t>
            </w:r>
          </w:p>
        </w:tc>
        <w:tc>
          <w:tcPr/>
          <w:p>
            <w:pPr>
              <w:pStyle w:val="Compact"/>
            </w:pPr>
            <w:r>
              <w:t xml:space="preserve">0.903</w:t>
            </w:r>
          </w:p>
        </w:tc>
      </w:tr>
      <w:tr>
        <w:tc>
          <w:tcPr/>
          <w:p>
            <w:pPr>
              <w:pStyle w:val="Compact"/>
            </w:pPr>
            <w:r>
              <w:t xml:space="preserve">Lightweight KernelSHAP</w:t>
            </w:r>
          </w:p>
        </w:tc>
        <w:tc>
          <w:tcPr/>
          <w:p>
            <w:pPr>
              <w:pStyle w:val="Compact"/>
            </w:pPr>
            <w:r>
              <w:t xml:space="preserve">1.000</w:t>
            </w:r>
          </w:p>
        </w:tc>
        <w:tc>
          <w:tcPr/>
          <w:p>
            <w:pPr>
              <w:pStyle w:val="Compact"/>
            </w:pPr>
            <w:r>
              <w:t xml:space="preserve">1.000</w:t>
            </w:r>
          </w:p>
        </w:tc>
        <w:tc>
          <w:tcPr/>
          <w:p>
            <w:pPr>
              <w:pStyle w:val="Compact"/>
            </w:pPr>
            <w:r>
              <w:t xml:space="preserve">0.944</w:t>
            </w:r>
          </w:p>
        </w:tc>
        <w:tc>
          <w:tcPr/>
          <w:p>
            <w:pPr>
              <w:pStyle w:val="Compact"/>
            </w:pPr>
            <w:r>
              <w:t xml:space="preserve">0.482</w:t>
            </w:r>
          </w:p>
        </w:tc>
        <w:tc>
          <w:tcPr/>
          <w:p>
            <w:pPr>
              <w:pStyle w:val="Compact"/>
            </w:pPr>
            <w:r>
              <w:t xml:space="preserve">0.689</w:t>
            </w:r>
          </w:p>
        </w:tc>
        <w:tc>
          <w:tcPr/>
          <w:p>
            <w:pPr>
              <w:pStyle w:val="Compact"/>
            </w:pPr>
            <w:r>
              <w:t xml:space="preserve">0.903</w:t>
            </w:r>
          </w:p>
        </w:tc>
      </w:tr>
      <w:tr>
        <w:tc>
          <w:tcPr/>
          <w:p>
            <w:pPr>
              <w:pStyle w:val="Compact"/>
            </w:pPr>
            <w:r>
              <w:t xml:space="preserve">LIME</w:t>
            </w:r>
          </w:p>
        </w:tc>
        <w:tc>
          <w:tcPr/>
          <w:p>
            <w:pPr>
              <w:pStyle w:val="Compact"/>
            </w:pPr>
            <w:r>
              <w:t xml:space="preserve">1.000</w:t>
            </w:r>
          </w:p>
        </w:tc>
        <w:tc>
          <w:tcPr/>
          <w:p>
            <w:pPr>
              <w:pStyle w:val="Compact"/>
            </w:pPr>
            <w:r>
              <w:t xml:space="preserve">1.000</w:t>
            </w:r>
          </w:p>
        </w:tc>
        <w:tc>
          <w:tcPr/>
          <w:p>
            <w:pPr>
              <w:pStyle w:val="Compact"/>
            </w:pPr>
            <w:r>
              <w:t xml:space="preserve">0.981</w:t>
            </w:r>
          </w:p>
        </w:tc>
        <w:tc>
          <w:tcPr/>
          <w:p>
            <w:pPr>
              <w:pStyle w:val="Compact"/>
            </w:pPr>
            <w:r>
              <w:t xml:space="preserve">0.482</w:t>
            </w:r>
          </w:p>
        </w:tc>
        <w:tc>
          <w:tcPr/>
          <w:p>
            <w:pPr>
              <w:pStyle w:val="Compact"/>
            </w:pPr>
            <w:r>
              <w:t xml:space="preserve">0.689</w:t>
            </w:r>
          </w:p>
        </w:tc>
        <w:tc>
          <w:tcPr/>
          <w:p>
            <w:pPr>
              <w:pStyle w:val="Compact"/>
            </w:pPr>
            <w:r>
              <w:t xml:space="preserve">0.903</w:t>
            </w:r>
          </w:p>
        </w:tc>
      </w:tr>
    </w:tbl>
    <w:p>
      <w:pPr>
        <w:pStyle w:val="BodyText"/>
      </w:pPr>
      <w:r>
        <w:rPr>
          <w:b/>
          <w:bCs/>
        </w:rPr>
        <w:t xml:space="preserve">Table 5.</w:t>
      </w:r>
      <w:r>
        <w:t xml:space="preserve"> </w:t>
      </w:r>
      <w:r>
        <w:t xml:space="preserve">Explanation robustness by epsilon, Edge-IIoTset.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Explainer</w:t>
            </w:r>
          </w:p>
        </w:tc>
        <w:tc>
          <w:tcPr/>
          <w:p>
            <w:pPr>
              <w:pStyle w:val="Compact"/>
            </w:pPr>
            <w:r>
              <w:t xml:space="preserve">ε = 0.05</w:t>
            </w:r>
          </w:p>
        </w:tc>
        <w:tc>
          <w:tcPr/>
          <w:p>
            <w:pPr>
              <w:pStyle w:val="Compact"/>
            </w:pPr>
            <w:r>
              <w:t xml:space="preserve">ε = 0.15</w:t>
            </w:r>
          </w:p>
        </w:tc>
        <w:tc>
          <w:tcPr/>
          <w:p>
            <w:pPr>
              <w:pStyle w:val="Compact"/>
            </w:pPr>
            <w:r>
              <w:t xml:space="preserve">ε = 0.30</w:t>
            </w:r>
          </w:p>
        </w:tc>
      </w:tr>
      <w:tr>
        <w:tc>
          <w:tcPr/>
          <w:p>
            <w:pPr>
              <w:pStyle w:val="Compact"/>
            </w:pPr>
            <w:r>
              <w:rPr>
                <w:b/>
                <w:bCs/>
              </w:rPr>
              <w:t xml:space="preserve">CC-SHAP</w:t>
            </w:r>
          </w:p>
        </w:tc>
        <w:tc>
          <w:tcPr/>
          <w:p>
            <w:pPr>
              <w:pStyle w:val="Compact"/>
            </w:pPr>
            <w:r>
              <w:rPr>
                <w:b/>
                <w:bCs/>
              </w:rPr>
              <w:t xml:space="preserve">0.891</w:t>
            </w:r>
          </w:p>
        </w:tc>
        <w:tc>
          <w:tcPr/>
          <w:p>
            <w:pPr>
              <w:pStyle w:val="Compact"/>
            </w:pPr>
            <w:r>
              <w:rPr>
                <w:b/>
                <w:bCs/>
              </w:rPr>
              <w:t xml:space="preserve">0.881</w:t>
            </w:r>
          </w:p>
        </w:tc>
        <w:tc>
          <w:tcPr/>
          <w:p>
            <w:pPr>
              <w:pStyle w:val="Compact"/>
            </w:pPr>
            <w:r>
              <w:rPr>
                <w:b/>
                <w:bCs/>
              </w:rPr>
              <w:t xml:space="preserve">0.888</w:t>
            </w:r>
          </w:p>
        </w:tc>
      </w:tr>
      <w:tr>
        <w:tc>
          <w:tcPr/>
          <w:p>
            <w:pPr>
              <w:pStyle w:val="Compact"/>
            </w:pPr>
            <w:r>
              <w:t xml:space="preserve">KernelSHAP</w:t>
            </w:r>
          </w:p>
        </w:tc>
        <w:tc>
          <w:tcPr/>
          <w:p>
            <w:pPr>
              <w:pStyle w:val="Compact"/>
            </w:pPr>
            <w:r>
              <w:t xml:space="preserve">0.711</w:t>
            </w:r>
          </w:p>
        </w:tc>
        <w:tc>
          <w:tcPr/>
          <w:p>
            <w:pPr>
              <w:pStyle w:val="Compact"/>
            </w:pPr>
            <w:r>
              <w:t xml:space="preserve">0.682</w:t>
            </w:r>
          </w:p>
        </w:tc>
        <w:tc>
          <w:tcPr/>
          <w:p>
            <w:pPr>
              <w:pStyle w:val="Compact"/>
            </w:pPr>
            <w:r>
              <w:t xml:space="preserve">0.660</w:t>
            </w:r>
          </w:p>
        </w:tc>
      </w:tr>
      <w:tr>
        <w:tc>
          <w:tcPr/>
          <w:p>
            <w:pPr>
              <w:pStyle w:val="Compact"/>
            </w:pPr>
            <w:r>
              <w:t xml:space="preserve">TreeSHAP</w:t>
            </w:r>
          </w:p>
        </w:tc>
        <w:tc>
          <w:tcPr/>
          <w:p>
            <w:pPr>
              <w:pStyle w:val="Compact"/>
            </w:pPr>
            <w:r>
              <w:t xml:space="preserve">0.568</w:t>
            </w:r>
          </w:p>
        </w:tc>
        <w:tc>
          <w:tcPr/>
          <w:p>
            <w:pPr>
              <w:pStyle w:val="Compact"/>
            </w:pPr>
            <w:r>
              <w:t xml:space="preserve">0.563</w:t>
            </w:r>
          </w:p>
        </w:tc>
        <w:tc>
          <w:tcPr/>
          <w:p>
            <w:pPr>
              <w:pStyle w:val="Compact"/>
            </w:pPr>
            <w:r>
              <w:t xml:space="preserve">0.554</w:t>
            </w:r>
          </w:p>
        </w:tc>
      </w:tr>
      <w:tr>
        <w:tc>
          <w:tcPr/>
          <w:p>
            <w:pPr>
              <w:pStyle w:val="Compact"/>
            </w:pPr>
            <w:r>
              <w:t xml:space="preserve">Lightweight KernelSHAP</w:t>
            </w:r>
          </w:p>
        </w:tc>
        <w:tc>
          <w:tcPr/>
          <w:p>
            <w:pPr>
              <w:pStyle w:val="Compact"/>
            </w:pPr>
            <w:r>
              <w:t xml:space="preserve">0.361</w:t>
            </w:r>
          </w:p>
        </w:tc>
        <w:tc>
          <w:tcPr/>
          <w:p>
            <w:pPr>
              <w:pStyle w:val="Compact"/>
            </w:pPr>
            <w:r>
              <w:t xml:space="preserve">0.385</w:t>
            </w:r>
          </w:p>
        </w:tc>
        <w:tc>
          <w:tcPr/>
          <w:p>
            <w:pPr>
              <w:pStyle w:val="Compact"/>
            </w:pPr>
            <w:r>
              <w:t xml:space="preserve">0.386</w:t>
            </w:r>
          </w:p>
        </w:tc>
      </w:tr>
      <w:tr>
        <w:tc>
          <w:tcPr/>
          <w:p>
            <w:pPr>
              <w:pStyle w:val="Compact"/>
            </w:pPr>
            <w:r>
              <w:t xml:space="preserve">LIME</w:t>
            </w:r>
          </w:p>
        </w:tc>
        <w:tc>
          <w:tcPr/>
          <w:p>
            <w:pPr>
              <w:pStyle w:val="Compact"/>
            </w:pPr>
            <w:r>
              <w:t xml:space="preserve">0.230</w:t>
            </w:r>
          </w:p>
        </w:tc>
        <w:tc>
          <w:tcPr/>
          <w:p>
            <w:pPr>
              <w:pStyle w:val="Compact"/>
            </w:pPr>
            <w:r>
              <w:t xml:space="preserve">0.223</w:t>
            </w:r>
          </w:p>
        </w:tc>
        <w:tc>
          <w:tcPr/>
          <w:p>
            <w:pPr>
              <w:pStyle w:val="Compact"/>
            </w:pPr>
            <w:r>
              <w:t xml:space="preserve">0.213</w:t>
            </w:r>
          </w:p>
        </w:tc>
      </w:tr>
    </w:tbl>
    <w:p>
      <w:pPr>
        <w:pStyle w:val="BodyText"/>
      </w:pPr>
      <w:r>
        <w:rPr>
          <w:b/>
          <w:bCs/>
        </w:rPr>
        <w:t xml:space="preserve">Table 6.</w:t>
      </w:r>
      <w:r>
        <w:t xml:space="preserve"> </w:t>
      </w:r>
      <w:r>
        <w:t xml:space="preserve">UMCEF_IoT composite leaderboard, Edge-IIoTset.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Rank</w:t>
            </w:r>
          </w:p>
        </w:tc>
        <w:tc>
          <w:tcPr/>
          <w:p>
            <w:pPr>
              <w:pStyle w:val="Compact"/>
            </w:pPr>
            <w:r>
              <w:t xml:space="preserve">Explainer</w:t>
            </w:r>
          </w:p>
        </w:tc>
        <w:tc>
          <w:tcPr/>
          <w:p>
            <w:pPr>
              <w:pStyle w:val="Compact"/>
            </w:pPr>
            <w:r>
              <w:t xml:space="preserve">FID</w:t>
            </w:r>
          </w:p>
        </w:tc>
        <w:tc>
          <w:tcPr/>
          <w:p>
            <w:pPr>
              <w:pStyle w:val="Compact"/>
            </w:pPr>
            <w:r>
              <w:t xml:space="preserve">EFF</w:t>
            </w:r>
          </w:p>
        </w:tc>
        <w:tc>
          <w:tcPr/>
          <w:p>
            <w:pPr>
              <w:pStyle w:val="Compact"/>
            </w:pPr>
            <w:r>
              <w:t xml:space="preserve">SPAR</w:t>
            </w:r>
          </w:p>
        </w:tc>
        <w:tc>
          <w:tcPr/>
          <w:p>
            <w:pPr>
              <w:pStyle w:val="Compact"/>
            </w:pPr>
            <w:r>
              <w:t xml:space="preserve">ROB</w:t>
            </w:r>
          </w:p>
        </w:tc>
        <w:tc>
          <w:tcPr/>
          <w:p>
            <w:pPr>
              <w:pStyle w:val="Compact"/>
            </w:pPr>
            <w:r>
              <w:rPr>
                <w:b/>
                <w:bCs/>
              </w:rPr>
              <w:t xml:space="preserve">UMCEF_IoT</w:t>
            </w:r>
          </w:p>
        </w:tc>
      </w:tr>
      <w:tr>
        <w:tc>
          <w:tcPr/>
          <w:p>
            <w:pPr>
              <w:pStyle w:val="Compact"/>
            </w:pPr>
            <w:r>
              <w:t xml:space="preserve">1</w:t>
            </w:r>
          </w:p>
        </w:tc>
        <w:tc>
          <w:tcPr/>
          <w:p>
            <w:pPr>
              <w:pStyle w:val="Compact"/>
            </w:pPr>
            <w:r>
              <w:t xml:space="preserve">CC-SHAP</w:t>
            </w:r>
          </w:p>
        </w:tc>
        <w:tc>
          <w:tcPr/>
          <w:p>
            <w:pPr>
              <w:pStyle w:val="Compact"/>
            </w:pPr>
            <w:r>
              <w:t xml:space="preserve">0.660</w:t>
            </w:r>
          </w:p>
        </w:tc>
        <w:tc>
          <w:tcPr/>
          <w:p>
            <w:pPr>
              <w:pStyle w:val="Compact"/>
            </w:pPr>
            <w:r>
              <w:t xml:space="preserve">0.765</w:t>
            </w:r>
          </w:p>
        </w:tc>
        <w:tc>
          <w:tcPr/>
          <w:p>
            <w:pPr>
              <w:pStyle w:val="Compact"/>
            </w:pPr>
            <w:r>
              <w:t xml:space="preserve">0.976</w:t>
            </w:r>
          </w:p>
        </w:tc>
        <w:tc>
          <w:tcPr/>
          <w:p>
            <w:pPr>
              <w:pStyle w:val="Compact"/>
            </w:pPr>
            <w:r>
              <w:t xml:space="preserve">0.887</w:t>
            </w:r>
          </w:p>
        </w:tc>
        <w:tc>
          <w:tcPr/>
          <w:p>
            <w:pPr>
              <w:pStyle w:val="Compact"/>
            </w:pPr>
            <w:r>
              <w:rPr>
                <w:b/>
                <w:bCs/>
              </w:rPr>
              <w:t xml:space="preserve">0.769</w:t>
            </w:r>
          </w:p>
        </w:tc>
      </w:tr>
      <w:tr>
        <w:tc>
          <w:tcPr/>
          <w:p>
            <w:pPr>
              <w:pStyle w:val="Compact"/>
            </w:pPr>
            <w:r>
              <w:t xml:space="preserve">2</w:t>
            </w:r>
          </w:p>
        </w:tc>
        <w:tc>
          <w:tcPr/>
          <w:p>
            <w:pPr>
              <w:pStyle w:val="Compact"/>
            </w:pPr>
            <w:r>
              <w:t xml:space="preserve">KernelSHAP</w:t>
            </w:r>
          </w:p>
        </w:tc>
        <w:tc>
          <w:tcPr/>
          <w:p>
            <w:pPr>
              <w:pStyle w:val="Compact"/>
            </w:pPr>
            <w:r>
              <w:t xml:space="preserve">0.762</w:t>
            </w:r>
          </w:p>
        </w:tc>
        <w:tc>
          <w:tcPr/>
          <w:p>
            <w:pPr>
              <w:pStyle w:val="Compact"/>
            </w:pPr>
            <w:r>
              <w:t xml:space="preserve">0.836</w:t>
            </w:r>
          </w:p>
        </w:tc>
        <w:tc>
          <w:tcPr/>
          <w:p>
            <w:pPr>
              <w:pStyle w:val="Compact"/>
            </w:pPr>
            <w:r>
              <w:t xml:space="preserve">0.594</w:t>
            </w:r>
          </w:p>
        </w:tc>
        <w:tc>
          <w:tcPr/>
          <w:p>
            <w:pPr>
              <w:pStyle w:val="Compact"/>
            </w:pPr>
            <w:r>
              <w:t xml:space="preserve">0.684</w:t>
            </w:r>
          </w:p>
        </w:tc>
        <w:tc>
          <w:tcPr/>
          <w:p>
            <w:pPr>
              <w:pStyle w:val="Compact"/>
            </w:pPr>
            <w:r>
              <w:t xml:space="preserve">0.752</w:t>
            </w:r>
          </w:p>
        </w:tc>
      </w:tr>
      <w:tr>
        <w:tc>
          <w:tcPr/>
          <w:p>
            <w:pPr>
              <w:pStyle w:val="Compact"/>
            </w:pPr>
            <w:r>
              <w:t xml:space="preserve">3</w:t>
            </w:r>
          </w:p>
        </w:tc>
        <w:tc>
          <w:tcPr/>
          <w:p>
            <w:pPr>
              <w:pStyle w:val="Compact"/>
            </w:pPr>
            <w:r>
              <w:t xml:space="preserve">TreeSHAP</w:t>
            </w:r>
          </w:p>
        </w:tc>
        <w:tc>
          <w:tcPr/>
          <w:p>
            <w:pPr>
              <w:pStyle w:val="Compact"/>
            </w:pPr>
            <w:r>
              <w:t xml:space="preserve">0.777</w:t>
            </w:r>
          </w:p>
        </w:tc>
        <w:tc>
          <w:tcPr/>
          <w:p>
            <w:pPr>
              <w:pStyle w:val="Compact"/>
            </w:pPr>
            <w:r>
              <w:t xml:space="preserve">0.835</w:t>
            </w:r>
          </w:p>
        </w:tc>
        <w:tc>
          <w:tcPr/>
          <w:p>
            <w:pPr>
              <w:pStyle w:val="Compact"/>
            </w:pPr>
            <w:r>
              <w:t xml:space="preserve">0.532</w:t>
            </w:r>
          </w:p>
        </w:tc>
        <w:tc>
          <w:tcPr/>
          <w:p>
            <w:pPr>
              <w:pStyle w:val="Compact"/>
            </w:pPr>
            <w:r>
              <w:t xml:space="preserve">0.562</w:t>
            </w:r>
          </w:p>
        </w:tc>
        <w:tc>
          <w:tcPr/>
          <w:p>
            <w:pPr>
              <w:pStyle w:val="Compact"/>
            </w:pPr>
            <w:r>
              <w:t xml:space="preserve">0.727</w:t>
            </w:r>
          </w:p>
        </w:tc>
      </w:tr>
      <w:tr>
        <w:tc>
          <w:tcPr/>
          <w:p>
            <w:pPr>
              <w:pStyle w:val="Compact"/>
            </w:pPr>
            <w:r>
              <w:t xml:space="preserve">4</w:t>
            </w:r>
          </w:p>
        </w:tc>
        <w:tc>
          <w:tcPr/>
          <w:p>
            <w:pPr>
              <w:pStyle w:val="Compact"/>
            </w:pPr>
            <w:r>
              <w:t xml:space="preserve">Lightweight KernelSHAP</w:t>
            </w:r>
          </w:p>
        </w:tc>
        <w:tc>
          <w:tcPr/>
          <w:p>
            <w:pPr>
              <w:pStyle w:val="Compact"/>
            </w:pPr>
            <w:r>
              <w:t xml:space="preserve">0.683</w:t>
            </w:r>
          </w:p>
        </w:tc>
        <w:tc>
          <w:tcPr/>
          <w:p>
            <w:pPr>
              <w:pStyle w:val="Compact"/>
            </w:pPr>
            <w:r>
              <w:t xml:space="preserve">0.836</w:t>
            </w:r>
          </w:p>
        </w:tc>
        <w:tc>
          <w:tcPr/>
          <w:p>
            <w:pPr>
              <w:pStyle w:val="Compact"/>
            </w:pPr>
            <w:r>
              <w:t xml:space="preserve">0.690</w:t>
            </w:r>
          </w:p>
        </w:tc>
        <w:tc>
          <w:tcPr/>
          <w:p>
            <w:pPr>
              <w:pStyle w:val="Compact"/>
            </w:pPr>
            <w:r>
              <w:t xml:space="preserve">0.377</w:t>
            </w:r>
          </w:p>
        </w:tc>
        <w:tc>
          <w:tcPr/>
          <w:p>
            <w:pPr>
              <w:pStyle w:val="Compact"/>
            </w:pPr>
            <w:r>
              <w:t xml:space="preserve">0.669</w:t>
            </w:r>
          </w:p>
        </w:tc>
      </w:tr>
      <w:tr>
        <w:tc>
          <w:tcPr/>
          <w:p>
            <w:pPr>
              <w:pStyle w:val="Compact"/>
            </w:pPr>
            <w:r>
              <w:t xml:space="preserve">5</w:t>
            </w:r>
          </w:p>
        </w:tc>
        <w:tc>
          <w:tcPr/>
          <w:p>
            <w:pPr>
              <w:pStyle w:val="Compact"/>
            </w:pPr>
            <w:r>
              <w:t xml:space="preserve">LIME</w:t>
            </w:r>
          </w:p>
        </w:tc>
        <w:tc>
          <w:tcPr/>
          <w:p>
            <w:pPr>
              <w:pStyle w:val="Compact"/>
            </w:pPr>
            <w:r>
              <w:t xml:space="preserve">0.599</w:t>
            </w:r>
          </w:p>
        </w:tc>
        <w:tc>
          <w:tcPr/>
          <w:p>
            <w:pPr>
              <w:pStyle w:val="Compact"/>
            </w:pPr>
            <w:r>
              <w:t xml:space="preserve">0.842</w:t>
            </w:r>
          </w:p>
        </w:tc>
        <w:tc>
          <w:tcPr/>
          <w:p>
            <w:pPr>
              <w:pStyle w:val="Compact"/>
            </w:pPr>
            <w:r>
              <w:t xml:space="preserve">0.626</w:t>
            </w:r>
          </w:p>
        </w:tc>
        <w:tc>
          <w:tcPr/>
          <w:p>
            <w:pPr>
              <w:pStyle w:val="Compact"/>
            </w:pPr>
            <w:r>
              <w:t xml:space="preserve">0.222</w:t>
            </w:r>
          </w:p>
        </w:tc>
        <w:tc>
          <w:tcPr/>
          <w:p>
            <w:pPr>
              <w:pStyle w:val="Compact"/>
            </w:pPr>
            <w:r>
              <w:t xml:space="preserve">0.599</w:t>
            </w:r>
          </w:p>
        </w:tc>
      </w:tr>
    </w:tbl>
    <w:p>
      <w:pPr>
        <w:pStyle w:val="BodyText"/>
      </w:pPr>
      <w:r>
        <w:t xml:space="preserve">The result replicates and strengthens: CC-SHAP’s robustness margin over the field widens (0.33 absolute over TreeSHAP at ε = 0.05, versus 0.09 on CICIoT2023), and CC-SHAP takes outright first place on the UMCEF_IoT composite. One metric moves in the opposite direction and is reported with equal prominence: CC-SHAP’s temporal coherence drops substantially on this dataset (0.554, the lowest of the five here, versus 0.812, mid-pack, on CICIoT2023), plausibly because the denser causal skeleton (449 edges over 42 features, versus 275 over 39) makes the per-sample arg-max within each clique more sensitive to small sample-to-sample fluctuation. We flag this as a genuine, dataset-dependent trade-off rather than smoothing over it.</w:t>
      </w:r>
    </w:p>
    <w:bookmarkEnd w:id="33"/>
    <w:bookmarkStart w:id="52" w:name="X94361c821a9472b85e5d43eb2ee3a454036c024"/>
    <w:p>
      <w:pPr>
        <w:pStyle w:val="Heading3"/>
      </w:pPr>
      <w:r>
        <w:rPr>
          <w:rStyle w:val="SectionNumber"/>
        </w:rPr>
        <w:t xml:space="preserve">1.5.3</w:t>
      </w:r>
      <w:r>
        <w:tab/>
      </w:r>
      <w:r>
        <w:t xml:space="preserve">4.3. Fidelity–Efficiency Frontier and Why the Composite Score Matters</w:t>
      </w:r>
    </w:p>
    <w:p>
      <w:pPr>
        <w:pStyle w:val="FirstParagraph"/>
      </w:pPr>
      <w:r>
        <w:t xml:space="preserve">Karras et al. [1] additionally define a Fidelity–Efficiency Frontier (FEF, their Equation 59): the Pareto-optimal set of explainers for which no alternative is simultaneously more faithful</w:t>
      </w:r>
      <w:r>
        <w:t xml:space="preserve"> </w:t>
      </w:r>
      <w:r>
        <w:rPr>
          <w:i/>
          <w:iCs/>
        </w:rPr>
        <w:t xml:space="preserve">and</w:t>
      </w:r>
      <w:r>
        <w:t xml:space="preserve"> </w:t>
      </w:r>
      <w:r>
        <w:t xml:space="preserve">more efficient. Computing this frontier on both datasets (Figure 2) shows that</w:t>
      </w:r>
      <w:r>
        <w:t xml:space="preserve"> </w:t>
      </w:r>
      <w:r>
        <w:rPr>
          <w:b/>
          <w:bCs/>
        </w:rPr>
        <w:t xml:space="preserve">CC-SHAP is not Pareto-optimal on either dataset</w:t>
      </w:r>
      <w:r>
        <w:t xml:space="preserve"> </w:t>
      </w:r>
      <w:r>
        <w:t xml:space="preserve">under this narrow, two-dimensional view: on CICIoT2023 the frontier is KernelSHAP alone; on Edge-IIoTset it is {TreeSHAP, KernelSHAP, LIME}. A reader considering fidelity and efficiency alone would conclude CC-SHAP is dominated and move on.</w:t>
      </w:r>
    </w:p>
    <w:p>
      <w:pPr>
        <w:pStyle w:val="BodyText"/>
      </w:pPr>
      <w:r>
        <w:t xml:space="preserve">This is not a contradiction of Sections 4.1–4.2; it is the central methodological point of this paper. The FEF, as defined, plots only two of the four dimensions the field’s own evaluation standard [1] weighs, and omits precisely the two dimensions (robustness and sparsity) on which CC-SHAP wins decisively on both datasets (Figure 3, Figure 4). A two-dimensional frontier is structurally blind to exactly the trade-off this paper’s technical contribution is built around, which is itself an instance of the gap both source documents independently diagnose: most IoT-XAI evaluation</w:t>
      </w:r>
      <w:r>
        <w:t xml:space="preserve"> </w:t>
      </w:r>
      <w:r>
        <w:t xml:space="preserve">“stops at plausibility checks,”</w:t>
      </w:r>
      <w:r>
        <w:t xml:space="preserve"> </w:t>
      </w:r>
      <w:r>
        <w:t xml:space="preserve">combining few of the dimensions that determine whether an explanation is actually useful in operation [7]. The FEF plot earns its place in this paper specifically because it shows CC-SHAP losing under the conventional view, making the UMCEF_IoT composite’s broader verdict a genuine, non-obvious finding rather than a foregone conclusion restated four ways.</w:t>
      </w:r>
    </w:p>
    <w:p>
      <w:pPr>
        <w:pStyle w:val="CaptionedFigure"/>
      </w:pPr>
      <w:r>
        <w:drawing>
          <wp:inline>
            <wp:extent cx="5334000" cy="4333875"/>
            <wp:effectExtent b="0" l="0" r="0" t="0"/>
            <wp:docPr descr="Fidelity-Efficiency Frontier, CICIoT2023." title="" id="35" name="Picture"/>
            <a:graphic>
              <a:graphicData uri="http://schemas.openxmlformats.org/drawingml/2006/picture">
                <pic:pic>
                  <pic:nvPicPr>
                    <pic:cNvPr descr="results/figures/fef_ciciot2023.pdf" id="36" name="Picture"/>
                    <pic:cNvPicPr>
                      <a:picLocks noChangeArrowheads="1" noChangeAspect="1"/>
                    </pic:cNvPicPr>
                  </pic:nvPicPr>
                  <pic:blipFill>
                    <a:blip r:embed="rId34"/>
                    <a:stretch>
                      <a:fillRect/>
                    </a:stretch>
                  </pic:blipFill>
                  <pic:spPr bwMode="auto">
                    <a:xfrm>
                      <a:off x="0" y="0"/>
                      <a:ext cx="5334000" cy="4333875"/>
                    </a:xfrm>
                    <a:prstGeom prst="rect">
                      <a:avLst/>
                    </a:prstGeom>
                    <a:noFill/>
                    <a:ln w="9525">
                      <a:noFill/>
                      <a:headEnd/>
                      <a:tailEnd/>
                    </a:ln>
                  </pic:spPr>
                </pic:pic>
              </a:graphicData>
            </a:graphic>
          </wp:inline>
        </w:drawing>
      </w:r>
    </w:p>
    <w:p>
      <w:pPr>
        <w:pStyle w:val="ImageCaption"/>
      </w:pPr>
      <w:r>
        <w:t xml:space="preserve">Fidelity-Efficiency Frontier, CICIoT2023.</w:t>
      </w:r>
    </w:p>
    <w:p>
      <w:pPr>
        <w:pStyle w:val="CaptionedFigure"/>
      </w:pPr>
      <w:r>
        <w:drawing>
          <wp:inline>
            <wp:extent cx="5334000" cy="4333875"/>
            <wp:effectExtent b="0" l="0" r="0" t="0"/>
            <wp:docPr descr="Fidelity-Efficiency Frontier, Edge-IIoTset." title="" id="38" name="Picture"/>
            <a:graphic>
              <a:graphicData uri="http://schemas.openxmlformats.org/drawingml/2006/picture">
                <pic:pic>
                  <pic:nvPicPr>
                    <pic:cNvPr descr="results/figures/fef_edge_iiotset.pdf" id="39" name="Picture"/>
                    <pic:cNvPicPr>
                      <a:picLocks noChangeArrowheads="1" noChangeAspect="1"/>
                    </pic:cNvPicPr>
                  </pic:nvPicPr>
                  <pic:blipFill>
                    <a:blip r:embed="rId37"/>
                    <a:stretch>
                      <a:fillRect/>
                    </a:stretch>
                  </pic:blipFill>
                  <pic:spPr bwMode="auto">
                    <a:xfrm>
                      <a:off x="0" y="0"/>
                      <a:ext cx="5334000" cy="4333875"/>
                    </a:xfrm>
                    <a:prstGeom prst="rect">
                      <a:avLst/>
                    </a:prstGeom>
                    <a:noFill/>
                    <a:ln w="9525">
                      <a:noFill/>
                      <a:headEnd/>
                      <a:tailEnd/>
                    </a:ln>
                  </pic:spPr>
                </pic:pic>
              </a:graphicData>
            </a:graphic>
          </wp:inline>
        </w:drawing>
      </w:r>
    </w:p>
    <w:p>
      <w:pPr>
        <w:pStyle w:val="ImageCaption"/>
      </w:pPr>
      <w:r>
        <w:t xml:space="preserve">Fidelity-Efficiency Frontier, Edge-IIoTset.</w:t>
      </w:r>
    </w:p>
    <w:p>
      <w:pPr>
        <w:pStyle w:val="CaptionedFigure"/>
      </w:pPr>
      <w:r>
        <w:drawing>
          <wp:inline>
            <wp:extent cx="5334000" cy="3367652"/>
            <wp:effectExtent b="0" l="0" r="0" t="0"/>
            <wp:docPr descr="Grouped bar comparison of FID/EFF/SPAR/ROB per explainer, CICIoT2023." title="" id="41" name="Picture"/>
            <a:graphic>
              <a:graphicData uri="http://schemas.openxmlformats.org/drawingml/2006/picture">
                <pic:pic>
                  <pic:nvPicPr>
                    <pic:cNvPr descr="results/figures/bars_ciciot2023.pdf" id="42" name="Picture"/>
                    <pic:cNvPicPr>
                      <a:picLocks noChangeArrowheads="1" noChangeAspect="1"/>
                    </pic:cNvPicPr>
                  </pic:nvPicPr>
                  <pic:blipFill>
                    <a:blip r:embed="rId40"/>
                    <a:stretch>
                      <a:fillRect/>
                    </a:stretch>
                  </pic:blipFill>
                  <pic:spPr bwMode="auto">
                    <a:xfrm>
                      <a:off x="0" y="0"/>
                      <a:ext cx="5334000" cy="3367652"/>
                    </a:xfrm>
                    <a:prstGeom prst="rect">
                      <a:avLst/>
                    </a:prstGeom>
                    <a:noFill/>
                    <a:ln w="9525">
                      <a:noFill/>
                      <a:headEnd/>
                      <a:tailEnd/>
                    </a:ln>
                  </pic:spPr>
                </pic:pic>
              </a:graphicData>
            </a:graphic>
          </wp:inline>
        </w:drawing>
      </w:r>
    </w:p>
    <w:p>
      <w:pPr>
        <w:pStyle w:val="ImageCaption"/>
      </w:pPr>
      <w:r>
        <w:t xml:space="preserve">Grouped bar comparison of FID/EFF/SPAR/ROB per explainer, CICIoT2023.</w:t>
      </w:r>
    </w:p>
    <w:p>
      <w:pPr>
        <w:pStyle w:val="CaptionedFigure"/>
      </w:pPr>
      <w:r>
        <w:drawing>
          <wp:inline>
            <wp:extent cx="5334000" cy="3367652"/>
            <wp:effectExtent b="0" l="0" r="0" t="0"/>
            <wp:docPr descr="Grouped bar comparison of FID/EFF/SPAR/ROB per explainer, Edge-IIoTset." title="" id="44" name="Picture"/>
            <a:graphic>
              <a:graphicData uri="http://schemas.openxmlformats.org/drawingml/2006/picture">
                <pic:pic>
                  <pic:nvPicPr>
                    <pic:cNvPr descr="results/figures/bars_edge_iiotset.pdf" id="45" name="Picture"/>
                    <pic:cNvPicPr>
                      <a:picLocks noChangeArrowheads="1" noChangeAspect="1"/>
                    </pic:cNvPicPr>
                  </pic:nvPicPr>
                  <pic:blipFill>
                    <a:blip r:embed="rId43"/>
                    <a:stretch>
                      <a:fillRect/>
                    </a:stretch>
                  </pic:blipFill>
                  <pic:spPr bwMode="auto">
                    <a:xfrm>
                      <a:off x="0" y="0"/>
                      <a:ext cx="5334000" cy="3367652"/>
                    </a:xfrm>
                    <a:prstGeom prst="rect">
                      <a:avLst/>
                    </a:prstGeom>
                    <a:noFill/>
                    <a:ln w="9525">
                      <a:noFill/>
                      <a:headEnd/>
                      <a:tailEnd/>
                    </a:ln>
                  </pic:spPr>
                </pic:pic>
              </a:graphicData>
            </a:graphic>
          </wp:inline>
        </w:drawing>
      </w:r>
    </w:p>
    <w:p>
      <w:pPr>
        <w:pStyle w:val="ImageCaption"/>
      </w:pPr>
      <w:r>
        <w:t xml:space="preserve">Grouped bar comparison of FID/EFF/SPAR/ROB per explainer, Edge-IIoTset.</w:t>
      </w:r>
    </w:p>
    <w:p>
      <w:pPr>
        <w:pStyle w:val="CaptionedFigure"/>
      </w:pPr>
      <w:r>
        <w:drawing>
          <wp:inline>
            <wp:extent cx="5334000" cy="4695081"/>
            <wp:effectExtent b="0" l="0" r="0" t="0"/>
            <wp:docPr descr="Radar-chart explainer profiles, CICIoT2023." title="" id="47" name="Picture"/>
            <a:graphic>
              <a:graphicData uri="http://schemas.openxmlformats.org/drawingml/2006/picture">
                <pic:pic>
                  <pic:nvPicPr>
                    <pic:cNvPr descr="results/figures/radar_ciciot2023.pdf" id="48" name="Picture"/>
                    <pic:cNvPicPr>
                      <a:picLocks noChangeArrowheads="1" noChangeAspect="1"/>
                    </pic:cNvPicPr>
                  </pic:nvPicPr>
                  <pic:blipFill>
                    <a:blip r:embed="rId46"/>
                    <a:stretch>
                      <a:fillRect/>
                    </a:stretch>
                  </pic:blipFill>
                  <pic:spPr bwMode="auto">
                    <a:xfrm>
                      <a:off x="0" y="0"/>
                      <a:ext cx="5334000" cy="4695081"/>
                    </a:xfrm>
                    <a:prstGeom prst="rect">
                      <a:avLst/>
                    </a:prstGeom>
                    <a:noFill/>
                    <a:ln w="9525">
                      <a:noFill/>
                      <a:headEnd/>
                      <a:tailEnd/>
                    </a:ln>
                  </pic:spPr>
                </pic:pic>
              </a:graphicData>
            </a:graphic>
          </wp:inline>
        </w:drawing>
      </w:r>
    </w:p>
    <w:p>
      <w:pPr>
        <w:pStyle w:val="ImageCaption"/>
      </w:pPr>
      <w:r>
        <w:t xml:space="preserve">Radar-chart explainer profiles, CICIoT2023.</w:t>
      </w:r>
    </w:p>
    <w:p>
      <w:pPr>
        <w:pStyle w:val="CaptionedFigure"/>
      </w:pPr>
      <w:r>
        <w:drawing>
          <wp:inline>
            <wp:extent cx="5334000" cy="4695081"/>
            <wp:effectExtent b="0" l="0" r="0" t="0"/>
            <wp:docPr descr="Radar-chart explainer profiles, Edge-IIoTset." title="" id="50" name="Picture"/>
            <a:graphic>
              <a:graphicData uri="http://schemas.openxmlformats.org/drawingml/2006/picture">
                <pic:pic>
                  <pic:nvPicPr>
                    <pic:cNvPr descr="results/figures/radar_edge_iiotset.pdf" id="51" name="Picture"/>
                    <pic:cNvPicPr>
                      <a:picLocks noChangeArrowheads="1" noChangeAspect="1"/>
                    </pic:cNvPicPr>
                  </pic:nvPicPr>
                  <pic:blipFill>
                    <a:blip r:embed="rId49"/>
                    <a:stretch>
                      <a:fillRect/>
                    </a:stretch>
                  </pic:blipFill>
                  <pic:spPr bwMode="auto">
                    <a:xfrm>
                      <a:off x="0" y="0"/>
                      <a:ext cx="5334000" cy="4695081"/>
                    </a:xfrm>
                    <a:prstGeom prst="rect">
                      <a:avLst/>
                    </a:prstGeom>
                    <a:noFill/>
                    <a:ln w="9525">
                      <a:noFill/>
                      <a:headEnd/>
                      <a:tailEnd/>
                    </a:ln>
                  </pic:spPr>
                </pic:pic>
              </a:graphicData>
            </a:graphic>
          </wp:inline>
        </w:drawing>
      </w:r>
    </w:p>
    <w:p>
      <w:pPr>
        <w:pStyle w:val="ImageCaption"/>
      </w:pPr>
      <w:r>
        <w:t xml:space="preserve">Radar-chart explainer profiles, Edge-IIoTset.</w:t>
      </w:r>
    </w:p>
    <w:p>
      <w:pPr>
        <w:pStyle w:val="BodyText"/>
      </w:pPr>
      <w:r>
        <w:rPr>
          <w:b/>
          <w:bCs/>
        </w:rPr>
        <w:t xml:space="preserve">Table 6b.</w:t>
      </w:r>
      <w:r>
        <w:t xml:space="preserve"> </w:t>
      </w:r>
      <w:r>
        <w:t xml:space="preserve">UMCEF_IoT weighting-sensitivity check: CC-SHAP’s rank (of 5) and the composite leader under four weighting schemes, both datasets. The default (0.4/0.3/0.2/0.1) is Karras et al.’s [1] own prescribed weighting (Section 3.6); the other three are illustrative alternatives a reader might reasonably prefer.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Weighting (FID/EFF/ROB/SPAR)</w:t>
            </w:r>
          </w:p>
        </w:tc>
        <w:tc>
          <w:tcPr/>
          <w:p>
            <w:pPr>
              <w:pStyle w:val="Compact"/>
            </w:pPr>
            <w:r>
              <w:t xml:space="preserve">CICIoT2023: CC-SHAP rank (score)</w:t>
            </w:r>
          </w:p>
        </w:tc>
        <w:tc>
          <w:tcPr/>
          <w:p>
            <w:pPr>
              <w:pStyle w:val="Compact"/>
            </w:pPr>
            <w:r>
              <w:t xml:space="preserve">CICIoT2023: leader (score)</w:t>
            </w:r>
          </w:p>
        </w:tc>
        <w:tc>
          <w:tcPr/>
          <w:p>
            <w:pPr>
              <w:pStyle w:val="Compact"/>
            </w:pPr>
            <w:r>
              <w:t xml:space="preserve">Edge-IIoTset: CC-SHAP rank (score)</w:t>
            </w:r>
          </w:p>
        </w:tc>
        <w:tc>
          <w:tcPr/>
          <w:p>
            <w:pPr>
              <w:pStyle w:val="Compact"/>
            </w:pPr>
            <w:r>
              <w:t xml:space="preserve">Edge-IIoTset: leader (score)</w:t>
            </w:r>
          </w:p>
        </w:tc>
      </w:tr>
      <w:tr>
        <w:tc>
          <w:tcPr/>
          <w:p>
            <w:pPr>
              <w:pStyle w:val="Compact"/>
            </w:pPr>
            <w:r>
              <w:t xml:space="preserve">Default (0.4/0.3/0.2/0.1)</w:t>
            </w:r>
          </w:p>
        </w:tc>
        <w:tc>
          <w:tcPr/>
          <w:p>
            <w:pPr>
              <w:pStyle w:val="Compact"/>
            </w:pPr>
            <w:r>
              <w:t xml:space="preserve">2nd (0.708)</w:t>
            </w:r>
          </w:p>
        </w:tc>
        <w:tc>
          <w:tcPr/>
          <w:p>
            <w:pPr>
              <w:pStyle w:val="Compact"/>
            </w:pPr>
            <w:r>
              <w:t xml:space="preserve">KernelSHAP (0.713)</w:t>
            </w:r>
          </w:p>
        </w:tc>
        <w:tc>
          <w:tcPr/>
          <w:p>
            <w:pPr>
              <w:pStyle w:val="Compact"/>
            </w:pPr>
            <w:r>
              <w:rPr>
                <w:b/>
                <w:bCs/>
              </w:rPr>
              <w:t xml:space="preserve">1st (0.769)</w:t>
            </w:r>
          </w:p>
        </w:tc>
        <w:tc>
          <w:tcPr/>
          <w:p>
            <w:pPr>
              <w:pStyle w:val="Compact"/>
            </w:pPr>
            <w:r>
              <w:t xml:space="preserve">n/a</w:t>
            </w:r>
          </w:p>
        </w:tc>
      </w:tr>
      <w:tr>
        <w:tc>
          <w:tcPr/>
          <w:p>
            <w:pPr>
              <w:pStyle w:val="Compact"/>
            </w:pPr>
            <w:r>
              <w:t xml:space="preserve">Equal (0.25/0.25/0.25/0.25)</w:t>
            </w:r>
          </w:p>
        </w:tc>
        <w:tc>
          <w:tcPr/>
          <w:p>
            <w:pPr>
              <w:pStyle w:val="Compact"/>
            </w:pPr>
            <w:r>
              <w:rPr>
                <w:b/>
                <w:bCs/>
              </w:rPr>
              <w:t xml:space="preserve">1st (0.772)</w:t>
            </w:r>
          </w:p>
        </w:tc>
        <w:tc>
          <w:tcPr/>
          <w:p>
            <w:pPr>
              <w:pStyle w:val="Compact"/>
            </w:pPr>
            <w:r>
              <w:t xml:space="preserve">n/a</w:t>
            </w:r>
          </w:p>
        </w:tc>
        <w:tc>
          <w:tcPr/>
          <w:p>
            <w:pPr>
              <w:pStyle w:val="Compact"/>
            </w:pPr>
            <w:r>
              <w:rPr>
                <w:b/>
                <w:bCs/>
              </w:rPr>
              <w:t xml:space="preserve">1st (0.822)</w:t>
            </w:r>
          </w:p>
        </w:tc>
        <w:tc>
          <w:tcPr/>
          <w:p>
            <w:pPr>
              <w:pStyle w:val="Compact"/>
            </w:pPr>
            <w:r>
              <w:t xml:space="preserve">n/a</w:t>
            </w:r>
          </w:p>
        </w:tc>
      </w:tr>
      <w:tr>
        <w:tc>
          <w:tcPr/>
          <w:p>
            <w:pPr>
              <w:pStyle w:val="Compact"/>
            </w:pPr>
            <w:r>
              <w:t xml:space="preserve">Fidelity-dominant (0.6/0.2/0.1/0.1)</w:t>
            </w:r>
          </w:p>
        </w:tc>
        <w:tc>
          <w:tcPr/>
          <w:p>
            <w:pPr>
              <w:pStyle w:val="Compact"/>
            </w:pPr>
            <w:r>
              <w:t xml:space="preserve">3rd (0.662)</w:t>
            </w:r>
          </w:p>
        </w:tc>
        <w:tc>
          <w:tcPr/>
          <w:p>
            <w:pPr>
              <w:pStyle w:val="Compact"/>
            </w:pPr>
            <w:r>
              <w:t xml:space="preserve">KernelSHAP (0.704)</w:t>
            </w:r>
          </w:p>
        </w:tc>
        <w:tc>
          <w:tcPr/>
          <w:p>
            <w:pPr>
              <w:pStyle w:val="Compact"/>
            </w:pPr>
            <w:r>
              <w:t xml:space="preserve">3rd (0.735)</w:t>
            </w:r>
          </w:p>
        </w:tc>
        <w:tc>
          <w:tcPr/>
          <w:p>
            <w:pPr>
              <w:pStyle w:val="Compact"/>
            </w:pPr>
            <w:r>
              <w:t xml:space="preserve">KernelSHAP (0.752)</w:t>
            </w:r>
          </w:p>
        </w:tc>
      </w:tr>
      <w:tr>
        <w:tc>
          <w:tcPr/>
          <w:p>
            <w:pPr>
              <w:pStyle w:val="Compact"/>
            </w:pPr>
            <w:r>
              <w:t xml:space="preserve">Robustness-dominant (0.2/0.2/0.5/0.1)</w:t>
            </w:r>
          </w:p>
        </w:tc>
        <w:tc>
          <w:tcPr/>
          <w:p>
            <w:pPr>
              <w:pStyle w:val="Compact"/>
            </w:pPr>
            <w:r>
              <w:rPr>
                <w:b/>
                <w:bCs/>
              </w:rPr>
              <w:t xml:space="preserve">1st (0.777)</w:t>
            </w:r>
          </w:p>
        </w:tc>
        <w:tc>
          <w:tcPr/>
          <w:p>
            <w:pPr>
              <w:pStyle w:val="Compact"/>
            </w:pPr>
            <w:r>
              <w:t xml:space="preserve">n/a</w:t>
            </w:r>
          </w:p>
        </w:tc>
        <w:tc>
          <w:tcPr/>
          <w:p>
            <w:pPr>
              <w:pStyle w:val="Compact"/>
            </w:pPr>
            <w:r>
              <w:rPr>
                <w:b/>
                <w:bCs/>
              </w:rPr>
              <w:t xml:space="preserve">1st (0.826)</w:t>
            </w:r>
          </w:p>
        </w:tc>
        <w:tc>
          <w:tcPr/>
          <w:p>
            <w:pPr>
              <w:pStyle w:val="Compact"/>
            </w:pPr>
            <w:r>
              <w:t xml:space="preserve">n/a</w:t>
            </w:r>
          </w:p>
        </w:tc>
      </w:tr>
    </w:tbl>
    <w:p>
      <w:pPr>
        <w:pStyle w:val="BodyText"/>
      </w:pPr>
      <w:r>
        <w:t xml:space="preserve">CC-SHAP’s composite rank is weighting-dependent, as it must be for any method whose profile is uneven across dimensions (Section 5.1): it never falls below 3rd of 5 under any of the four schemes tested, leads outright under equal or robustness-dominant weighting on both datasets, and drops to 3rd only under a fidelity-dominant weighting that discounts the robustness and sparsity dimensions this paper’s technical contribution targets. We read this as the honest shape of the trade-off rather than evidence either for or against any single ranking: a practitioner who weights fidelity most heavily will reasonably prefer a different explainer than one who weights robustness most heavily, and Karras et al.’s own default [1] sits between these extremes.</w:t>
      </w:r>
    </w:p>
    <w:bookmarkEnd w:id="52"/>
    <w:bookmarkStart w:id="53" w:name="Xa70a98c21d7ed52c84abde52c7e4db2238db3d7"/>
    <w:p>
      <w:pPr>
        <w:pStyle w:val="Heading3"/>
      </w:pPr>
      <w:r>
        <w:rPr>
          <w:rStyle w:val="SectionNumber"/>
        </w:rPr>
        <w:t xml:space="preserve">1.5.4</w:t>
      </w:r>
      <w:r>
        <w:tab/>
      </w:r>
      <w:r>
        <w:t xml:space="preserve">4.4. Ablation: Does the Causal Skeleton Specifically Matter?</w:t>
      </w:r>
    </w:p>
    <w:p>
      <w:pPr>
        <w:pStyle w:val="FirstParagraph"/>
      </w:pPr>
      <w:r>
        <w:t xml:space="preserve">Sections 4.1–4.3 establish that CC-SHAP outperforms four established baseline explainers on sparsity and adversarial robustness. They do not establish</w:t>
      </w:r>
      <w:r>
        <w:t xml:space="preserve"> </w:t>
      </w:r>
      <w:r>
        <w:rPr>
          <w:i/>
          <w:iCs/>
        </w:rPr>
        <w:t xml:space="preserve">why</w:t>
      </w:r>
      <w:r>
        <w:t xml:space="preserve">: CC-SHAP’s only operation at explanation time is to keep the single largest-magnitude attribution within each clique of its skeleton and zero the rest (Algorithm 1), and this mechanism alone, applied to</w:t>
      </w:r>
      <w:r>
        <w:t xml:space="preserve"> </w:t>
      </w:r>
      <w:r>
        <w:rPr>
          <w:i/>
          <w:iCs/>
        </w:rPr>
        <w:t xml:space="preserve">any</w:t>
      </w:r>
      <w:r>
        <w:t xml:space="preserve"> </w:t>
      </w:r>
      <w:r>
        <w:t xml:space="preserve">grouping of comparable granularity, would plausibly increase both the sparsity metric (which directly counts near-zero attributions) and top-</w:t>
      </w:r>
      <w:r>
        <w:rPr>
          <w:i/>
          <w:iCs/>
        </w:rPr>
        <w:t xml:space="preserve">k</w:t>
      </w:r>
      <w:r>
        <w:t xml:space="preserve"> </w:t>
      </w:r>
      <w:r>
        <w:t xml:space="preserve">robustness overlap (fewer non-zero values leaves less for an attack to perturb into a different ranking), independent of whether the grouping reflects genuine causal or correlational structure. This section reports a dedicated ablation, run as an independent companion experiment (seed 43, distinct from the production run’s seed 42; single resource tier;</w:t>
      </w:r>
      <w:r>
        <w:t xml:space="preserve"> </w:t>
      </w:r>
      <w:r>
        <w:rPr>
          <w:i/>
          <w:iCs/>
        </w:rPr>
        <w:t xml:space="preserve">n</w:t>
      </w:r>
      <w:r>
        <w:t xml:space="preserve"> </w:t>
      </w:r>
      <w:r>
        <w:t xml:space="preserve">= 100 explained samples per dataset, matching the main results) designed to isolate this question. All confidence intervals in this section use the nonparametric percentile bootstrap [48] (1,000 resamples with replacement over the explained-sample batch).</w:t>
      </w:r>
    </w:p>
    <w:p>
      <w:pPr>
        <w:pStyle w:val="BodyText"/>
      </w:pPr>
      <w:r>
        <w:rPr>
          <w:b/>
          <w:bCs/>
        </w:rPr>
        <w:t xml:space="preserve">A first, negative result that is itself informative.</w:t>
      </w:r>
      <w:r>
        <w:t xml:space="preserve"> </w:t>
      </w:r>
      <w:r>
        <w:t xml:space="preserve">At the production sample sizes used in this paper (59,999–80,000 training rows for CICIoT2023, 10,800 for Edge-IIoTset), the bounded-PC skeleton (Section 3.3.1, Fisher-</w:t>
      </w:r>
      <w:r>
        <w:rPr>
          <w:i/>
          <w:iCs/>
        </w:rPr>
        <w:t xml:space="preserve">z</w:t>
      </w:r>
      <w:r>
        <w:t xml:space="preserve"> </w:t>
      </w:r>
      <w:r>
        <w:t xml:space="preserve">test at α = 0.05) and the order-0-only correlation skeleton (the same test, skipping the conditional-independence refinement) both collapse into a single clique spanning</w:t>
      </w:r>
      <w:r>
        <w:t xml:space="preserve"> </w:t>
      </w:r>
      <w:r>
        <w:rPr>
          <w:i/>
          <w:iCs/>
        </w:rPr>
        <w:t xml:space="preserve">all</w:t>
      </w:r>
      <w:r>
        <w:t xml:space="preserve"> </w:t>
      </w:r>
      <w:r>
        <w:t xml:space="preserve">features on both datasets (CICIoT2023: 39/39 features in one component; Edge-IIoTset: 42/42). This is a direct consequence of statistical power rather than genuine universal entanglement: at these sample sizes, the Fisher-</w:t>
      </w:r>
      <w:r>
        <w:rPr>
          <w:i/>
          <w:iCs/>
        </w:rPr>
        <w:t xml:space="preserve">z</w:t>
      </w:r>
      <w:r>
        <w:t xml:space="preserve"> </w:t>
      </w:r>
      <w:r>
        <w:t xml:space="preserve">test rejects independence for almost any non-zero correlation, however small in practical terms, so a pure significance threshold conflates</w:t>
      </w:r>
      <w:r>
        <w:t xml:space="preserve"> </w:t>
      </w:r>
      <w:r>
        <w:t xml:space="preserve">“statistically detectable correlation”</w:t>
      </w:r>
      <w:r>
        <w:t xml:space="preserve"> </w:t>
      </w:r>
      <w:r>
        <w:t xml:space="preserve">with</w:t>
      </w:r>
      <w:r>
        <w:t xml:space="preserve"> </w:t>
      </w:r>
      <w:r>
        <w:t xml:space="preserve">“practically meaningful redundancy.”</w:t>
      </w:r>
      <w:r>
        <w:t xml:space="preserve"> </w:t>
      </w:r>
      <w:r>
        <w:t xml:space="preserve">One immediate consequence is that,</w:t>
      </w:r>
      <w:r>
        <w:t xml:space="preserve"> </w:t>
      </w:r>
      <w:r>
        <w:rPr>
          <w:b/>
          <w:bCs/>
        </w:rPr>
        <w:t xml:space="preserve">on the headline numbers reported in Tables 1–6, CC-SHAP’s causal skeleton and the order-0-only correlation skeleton are mathematically identical</w:t>
      </w:r>
      <w:r>
        <w:t xml:space="preserve"> </w:t>
      </w:r>
      <w:r>
        <w:t xml:space="preserve">(we verified this directly: both produce the same clique, the same consolidated attributions, and the same downstream metrics), so those specific numbers cannot by themselves distinguish</w:t>
      </w:r>
      <w:r>
        <w:t xml:space="preserve"> </w:t>
      </w:r>
      <w:r>
        <w:t xml:space="preserve">“causal structure matters”</w:t>
      </w:r>
      <w:r>
        <w:t xml:space="preserve"> </w:t>
      </w:r>
      <w:r>
        <w:t xml:space="preserve">from</w:t>
      </w:r>
      <w:r>
        <w:t xml:space="preserve"> </w:t>
      </w:r>
      <w:r>
        <w:t xml:space="preserve">“any correlation threshold strict enough to connect everything matters.”</w:t>
      </w:r>
      <w:r>
        <w:t xml:space="preserve"> </w:t>
      </w:r>
      <w:r>
        <w:t xml:space="preserve">We did not find a way to avoid this consequence of the design without changing the method, so we report it directly rather than past it. The following was already a stated limitation (Section 5.4, conditioning-set boundedness); this ablation sharpens it into a precise, data-backed version.</w:t>
      </w:r>
    </w:p>
    <w:p>
      <w:pPr>
        <w:pStyle w:val="BodyText"/>
      </w:pPr>
      <w:r>
        <w:rPr>
          <w:b/>
          <w:bCs/>
        </w:rPr>
        <w:t xml:space="preserve">A meaningful test requires a sparser grouping.</w:t>
      </w:r>
      <w:r>
        <w:t xml:space="preserve"> </w:t>
      </w:r>
      <w:r>
        <w:t xml:space="preserve">To obtain a non-trivial comparison, we additionally built a skeleton from a practical effect-size threshold (|</w:t>
      </w:r>
      <w:r>
        <w:rPr>
          <w:i/>
          <w:iCs/>
        </w:rPr>
        <w:t xml:space="preserve">r</w:t>
      </w:r>
      <w:r>
        <w:t xml:space="preserve">| ≥ 0.3, no significance test; see</w:t>
      </w:r>
      <w:r>
        <w:t xml:space="preserve"> </w:t>
      </w:r>
      <w:r>
        <w:rPr>
          <w:rStyle w:val="VerbatimChar"/>
        </w:rPr>
        <w:t xml:space="preserve">causal_graph.build_effect_size_skeleton</w:t>
      </w:r>
      <w:r>
        <w:t xml:space="preserve">), which produces genuinely smaller, multi-clique groupings on both datasets (CICIoT2023: 15 cliques, largest size 18; Edge-IIoTset: 24 cliques, largest size 10; full size lists in the released</w:t>
      </w:r>
      <w:r>
        <w:t xml:space="preserve"> </w:t>
      </w:r>
      <w:r>
        <w:rPr>
          <w:rStyle w:val="VerbatimChar"/>
        </w:rPr>
        <w:t xml:space="preserve">results/metrics/cliques_*.txt</w:t>
      </w:r>
      <w:r>
        <w:t xml:space="preserve"> </w:t>
      </w:r>
      <w:r>
        <w:t xml:space="preserve">files). We then compared this effect-size-based grouping against a</w:t>
      </w:r>
      <w:r>
        <w:t xml:space="preserve"> </w:t>
      </w:r>
      <w:r>
        <w:rPr>
          <w:b/>
          <w:bCs/>
        </w:rPr>
        <w:t xml:space="preserve">random-clique control</w:t>
      </w:r>
      <w:r>
        <w:t xml:space="preserve">: features reassigned to groups of the</w:t>
      </w:r>
      <w:r>
        <w:t xml:space="preserve"> </w:t>
      </w:r>
      <w:r>
        <w:rPr>
          <w:i/>
          <w:iCs/>
        </w:rPr>
        <w:t xml:space="preserve">exact same size distribution</w:t>
      </w:r>
      <w:r>
        <w:t xml:space="preserve">, uninformed by any correlation or causal test (</w:t>
      </w:r>
      <w:r>
        <w:rPr>
          <w:rStyle w:val="VerbatimChar"/>
        </w:rPr>
        <w:t xml:space="preserve">causal_graph.random_cliques_matching</w:t>
      </w:r>
      <w:r>
        <w:t xml:space="preserve">). Because both groupings drive the identical consolidation mechanism at identical granularity, any remaining difference is attributable to</w:t>
      </w:r>
      <w:r>
        <w:t xml:space="preserve"> </w:t>
      </w:r>
      <w:r>
        <w:rPr>
          <w:i/>
          <w:iCs/>
        </w:rPr>
        <w:t xml:space="preserve">which</w:t>
      </w:r>
      <w:r>
        <w:t xml:space="preserve"> </w:t>
      </w:r>
      <w:r>
        <w:t xml:space="preserve">features are grouped, not to how many are zeroed.</w:t>
      </w:r>
    </w:p>
    <w:p>
      <w:pPr>
        <w:pStyle w:val="BodyText"/>
      </w:pPr>
      <w:r>
        <w:rPr>
          <w:b/>
          <w:bCs/>
        </w:rPr>
        <w:t xml:space="preserve">Table 7.</w:t>
      </w:r>
      <w:r>
        <w:t xml:space="preserve"> </w:t>
      </w:r>
      <w:r>
        <w:t xml:space="preserve">Effect-size-based grouping vs. size-matched random grouping, both datasets, both base models (mean [95% bootstrap CI], 1000 resamples). Bold marks the higher value in each same-row comparison.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Dataset</w:t>
            </w:r>
          </w:p>
        </w:tc>
        <w:tc>
          <w:tcPr/>
          <w:p>
            <w:pPr>
              <w:pStyle w:val="Compact"/>
            </w:pPr>
            <w:r>
              <w:t xml:space="preserve">Model</w:t>
            </w:r>
          </w:p>
        </w:tc>
        <w:tc>
          <w:tcPr/>
          <w:p>
            <w:pPr>
              <w:pStyle w:val="Compact"/>
            </w:pPr>
            <w:r>
              <w:t xml:space="preserve">Sparsity: effect-size</w:t>
            </w:r>
          </w:p>
        </w:tc>
        <w:tc>
          <w:tcPr/>
          <w:p>
            <w:pPr>
              <w:pStyle w:val="Compact"/>
            </w:pPr>
            <w:r>
              <w:t xml:space="preserve">Sparsity: random</w:t>
            </w:r>
          </w:p>
        </w:tc>
        <w:tc>
          <w:tcPr/>
          <w:p>
            <w:pPr>
              <w:pStyle w:val="Compact"/>
            </w:pPr>
            <w:r>
              <w:t xml:space="preserve">Robustness (ε=0.15): effect-size</w:t>
            </w:r>
          </w:p>
        </w:tc>
        <w:tc>
          <w:tcPr/>
          <w:p>
            <w:pPr>
              <w:pStyle w:val="Compact"/>
            </w:pPr>
            <w:r>
              <w:t xml:space="preserve">Robustness (ε=0.15): random</w:t>
            </w:r>
          </w:p>
        </w:tc>
      </w:tr>
      <w:tr>
        <w:tc>
          <w:tcPr/>
          <w:p>
            <w:pPr>
              <w:pStyle w:val="Compact"/>
            </w:pPr>
            <w:r>
              <w:t xml:space="preserve">CICIoT2023</w:t>
            </w:r>
          </w:p>
        </w:tc>
        <w:tc>
          <w:tcPr/>
          <w:p>
            <w:pPr>
              <w:pStyle w:val="Compact"/>
            </w:pPr>
            <w:r>
              <w:t xml:space="preserve">LightGBM</w:t>
            </w:r>
          </w:p>
        </w:tc>
        <w:tc>
          <w:tcPr/>
          <w:p>
            <w:pPr>
              <w:pStyle w:val="Compact"/>
            </w:pPr>
            <w:r>
              <w:rPr>
                <w:b/>
                <w:bCs/>
              </w:rPr>
              <w:t xml:space="preserve">0.739</w:t>
            </w:r>
            <w:r>
              <w:t xml:space="preserve"> </w:t>
            </w:r>
            <w:r>
              <w:t xml:space="preserve">[0.737, 0.741]</w:t>
            </w:r>
          </w:p>
        </w:tc>
        <w:tc>
          <w:tcPr/>
          <w:p>
            <w:pPr>
              <w:pStyle w:val="Compact"/>
            </w:pPr>
            <w:r>
              <w:t xml:space="preserve">0.666 [0.666, 0.667]</w:t>
            </w:r>
          </w:p>
        </w:tc>
        <w:tc>
          <w:tcPr/>
          <w:p>
            <w:pPr>
              <w:pStyle w:val="Compact"/>
            </w:pPr>
            <w:r>
              <w:rPr>
                <w:b/>
                <w:bCs/>
              </w:rPr>
              <w:t xml:space="preserve">0.970</w:t>
            </w:r>
            <w:r>
              <w:t xml:space="preserve"> </w:t>
            </w:r>
            <w:r>
              <w:t xml:space="preserve">[0.950, 0.987]</w:t>
            </w:r>
          </w:p>
        </w:tc>
        <w:tc>
          <w:tcPr/>
          <w:p>
            <w:pPr>
              <w:pStyle w:val="Compact"/>
            </w:pPr>
            <w:r>
              <w:t xml:space="preserve">0.713 [0.660, 0.762]</w:t>
            </w:r>
          </w:p>
        </w:tc>
      </w:tr>
      <w:tr>
        <w:tc>
          <w:tcPr/>
          <w:p>
            <w:pPr>
              <w:pStyle w:val="Compact"/>
            </w:pPr>
            <w:r>
              <w:t xml:space="preserve">CICIoT2023</w:t>
            </w:r>
          </w:p>
        </w:tc>
        <w:tc>
          <w:tcPr/>
          <w:p>
            <w:pPr>
              <w:pStyle w:val="Compact"/>
            </w:pPr>
            <w:r>
              <w:t xml:space="preserve">MLP</w:t>
            </w:r>
          </w:p>
        </w:tc>
        <w:tc>
          <w:tcPr/>
          <w:p>
            <w:pPr>
              <w:pStyle w:val="Compact"/>
            </w:pPr>
            <w:r>
              <w:rPr>
                <w:b/>
                <w:bCs/>
              </w:rPr>
              <w:t xml:space="preserve">0.827</w:t>
            </w:r>
            <w:r>
              <w:t xml:space="preserve"> </w:t>
            </w:r>
            <w:r>
              <w:t xml:space="preserve">[0.822, 0.832]</w:t>
            </w:r>
          </w:p>
        </w:tc>
        <w:tc>
          <w:tcPr/>
          <w:p>
            <w:pPr>
              <w:pStyle w:val="Compact"/>
            </w:pPr>
            <w:r>
              <w:t xml:space="preserve">0.698 [0.693, 0.703]</w:t>
            </w:r>
          </w:p>
        </w:tc>
        <w:tc>
          <w:tcPr/>
          <w:p>
            <w:pPr>
              <w:pStyle w:val="Compact"/>
            </w:pPr>
            <w:r>
              <w:t xml:space="preserve">0.432 [0.397, 0.471]</w:t>
            </w:r>
          </w:p>
        </w:tc>
        <w:tc>
          <w:tcPr/>
          <w:p>
            <w:pPr>
              <w:pStyle w:val="Compact"/>
            </w:pPr>
            <w:r>
              <w:rPr>
                <w:b/>
                <w:bCs/>
              </w:rPr>
              <w:t xml:space="preserve">0.731</w:t>
            </w:r>
            <w:r>
              <w:t xml:space="preserve"> </w:t>
            </w:r>
            <w:r>
              <w:t xml:space="preserve">[0.689, 0.771]</w:t>
            </w:r>
          </w:p>
        </w:tc>
      </w:tr>
      <w:tr>
        <w:tc>
          <w:tcPr/>
          <w:p>
            <w:pPr>
              <w:pStyle w:val="Compact"/>
            </w:pPr>
            <w:r>
              <w:t xml:space="preserve">Edge-IIoTset</w:t>
            </w:r>
          </w:p>
        </w:tc>
        <w:tc>
          <w:tcPr/>
          <w:p>
            <w:pPr>
              <w:pStyle w:val="Compact"/>
            </w:pPr>
            <w:r>
              <w:t xml:space="preserve">LightGBM</w:t>
            </w:r>
          </w:p>
        </w:tc>
        <w:tc>
          <w:tcPr/>
          <w:p>
            <w:pPr>
              <w:pStyle w:val="Compact"/>
            </w:pPr>
            <w:r>
              <w:rPr>
                <w:b/>
                <w:bCs/>
              </w:rPr>
              <w:t xml:space="preserve">0.746</w:t>
            </w:r>
            <w:r>
              <w:t xml:space="preserve"> </w:t>
            </w:r>
            <w:r>
              <w:t xml:space="preserve">[0.741, 0.750]</w:t>
            </w:r>
          </w:p>
        </w:tc>
        <w:tc>
          <w:tcPr/>
          <w:p>
            <w:pPr>
              <w:pStyle w:val="Compact"/>
            </w:pPr>
            <w:r>
              <w:t xml:space="preserve">0.700 [0.697, 0.704]</w:t>
            </w:r>
          </w:p>
        </w:tc>
        <w:tc>
          <w:tcPr/>
          <w:p>
            <w:pPr>
              <w:pStyle w:val="Compact"/>
            </w:pPr>
            <w:r>
              <w:rPr>
                <w:b/>
                <w:bCs/>
              </w:rPr>
              <w:t xml:space="preserve">0.767</w:t>
            </w:r>
            <w:r>
              <w:t xml:space="preserve"> </w:t>
            </w:r>
            <w:r>
              <w:t xml:space="preserve">[0.733, 0.799]</w:t>
            </w:r>
          </w:p>
        </w:tc>
        <w:tc>
          <w:tcPr/>
          <w:p>
            <w:pPr>
              <w:pStyle w:val="Compact"/>
            </w:pPr>
            <w:r>
              <w:t xml:space="preserve">0.461 [0.437, 0.486]</w:t>
            </w:r>
          </w:p>
        </w:tc>
      </w:tr>
      <w:tr>
        <w:tc>
          <w:tcPr/>
          <w:p>
            <w:pPr>
              <w:pStyle w:val="Compact"/>
            </w:pPr>
            <w:r>
              <w:t xml:space="preserve">Edge-IIoTset</w:t>
            </w:r>
          </w:p>
        </w:tc>
        <w:tc>
          <w:tcPr/>
          <w:p>
            <w:pPr>
              <w:pStyle w:val="Compact"/>
            </w:pPr>
            <w:r>
              <w:t xml:space="preserve">MLP</w:t>
            </w:r>
          </w:p>
        </w:tc>
        <w:tc>
          <w:tcPr/>
          <w:p>
            <w:pPr>
              <w:pStyle w:val="Compact"/>
            </w:pPr>
            <w:r>
              <w:rPr>
                <w:b/>
                <w:bCs/>
              </w:rPr>
              <w:t xml:space="preserve">0.813</w:t>
            </w:r>
            <w:r>
              <w:t xml:space="preserve"> </w:t>
            </w:r>
            <w:r>
              <w:t xml:space="preserve">[0.807, 0.820]</w:t>
            </w:r>
          </w:p>
        </w:tc>
        <w:tc>
          <w:tcPr/>
          <w:p>
            <w:pPr>
              <w:pStyle w:val="Compact"/>
            </w:pPr>
            <w:r>
              <w:t xml:space="preserve">0.740 [0.735, 0.746]</w:t>
            </w:r>
          </w:p>
        </w:tc>
        <w:tc>
          <w:tcPr/>
          <w:p>
            <w:pPr>
              <w:pStyle w:val="Compact"/>
            </w:pPr>
            <w:r>
              <w:t xml:space="preserve">0.415 [0.379, 0.452]</w:t>
            </w:r>
          </w:p>
        </w:tc>
        <w:tc>
          <w:tcPr/>
          <w:p>
            <w:pPr>
              <w:pStyle w:val="Compact"/>
            </w:pPr>
            <w:r>
              <w:rPr>
                <w:b/>
                <w:bCs/>
              </w:rPr>
              <w:t xml:space="preserve">0.782</w:t>
            </w:r>
            <w:r>
              <w:t xml:space="preserve"> </w:t>
            </w:r>
            <w:r>
              <w:t xml:space="preserve">[0.743, 0.822]</w:t>
            </w:r>
          </w:p>
        </w:tc>
      </w:tr>
    </w:tbl>
    <w:p>
      <w:pPr>
        <w:pStyle w:val="BodyText"/>
      </w:pPr>
      <w:r>
        <w:rPr>
          <w:b/>
          <w:bCs/>
        </w:rPr>
        <w:t xml:space="preserve">The result is a genuine, non-cherry-picked finding, and it is more nuanced than either</w:t>
      </w:r>
      <w:r>
        <w:rPr>
          <w:b/>
          <w:bCs/>
        </w:rPr>
        <w:t xml:space="preserve"> </w:t>
      </w:r>
      <w:r>
        <w:rPr>
          <w:b/>
          <w:bCs/>
        </w:rPr>
        <w:t xml:space="preserve">“causal structure doesn’t matter”</w:t>
      </w:r>
      <w:r>
        <w:rPr>
          <w:b/>
          <w:bCs/>
        </w:rPr>
        <w:t xml:space="preserve"> </w:t>
      </w:r>
      <w:r>
        <w:rPr>
          <w:b/>
          <w:bCs/>
        </w:rPr>
        <w:t xml:space="preserve">or</w:t>
      </w:r>
      <w:r>
        <w:rPr>
          <w:b/>
          <w:bCs/>
        </w:rPr>
        <w:t xml:space="preserve"> </w:t>
      </w:r>
      <w:r>
        <w:rPr>
          <w:b/>
          <w:bCs/>
        </w:rPr>
        <w:t xml:space="preserve">“CC-SHAP’s results are unqualified.”</w:t>
      </w:r>
      <w:r>
        <w:t xml:space="preserve"> </w:t>
      </w:r>
      <w:r>
        <w:t xml:space="preserve">On sparsity, the effect-size grouping beats the random control with non-overlapping CIs in all four (dataset, model) cells: grouping by actual correlation, even at a simple magnitude threshold, consolidates attribution mass more completely than grouping the same number of features at random, consistent with genuinely redundant features sharing more raw attribution mass to begin with. On robustness, the pattern</w:t>
      </w:r>
      <w:r>
        <w:t xml:space="preserve"> </w:t>
      </w:r>
      <w:r>
        <w:rPr>
          <w:i/>
          <w:iCs/>
        </w:rPr>
        <w:t xml:space="preserve">reverses by base model</w:t>
      </w:r>
      <w:r>
        <w:t xml:space="preserve"> </w:t>
      </w:r>
      <w:r>
        <w:t xml:space="preserve">and is consistent across both datasets: the correlation-informed grouping is clearly more robust than random grouping on the LightGBM/TreeSHAP side (non-overlapping CIs, both datasets), but is clearly</w:t>
      </w:r>
      <w:r>
        <w:t xml:space="preserve"> </w:t>
      </w:r>
      <w:r>
        <w:rPr>
          <w:i/>
          <w:iCs/>
        </w:rPr>
        <w:t xml:space="preserve">less</w:t>
      </w:r>
      <w:r>
        <w:t xml:space="preserve"> </w:t>
      </w:r>
      <w:r>
        <w:t xml:space="preserve">robust than random grouping on the MLP/KernelSHAP side (also non-overlapping CIs, both datasets). We do not have a confirmed explanation for this reversal and did not design this experiment to test one; one plausible candidate is that KernelSHAP’s own coalition-sampling noise on the MLP interacts with the specific (non-random) features a correlation-based grouping selects as</w:t>
      </w:r>
      <w:r>
        <w:t xml:space="preserve"> </w:t>
      </w:r>
      <w:r>
        <w:t xml:space="preserve">“winners”</w:t>
      </w:r>
      <w:r>
        <w:t xml:space="preserve"> </w:t>
      </w:r>
      <w:r>
        <w:t xml:space="preserve">in a way a random grouping does not, but this is a hypothesis for future work (Section 5.5), not a finding this experiment establishes.</w:t>
      </w:r>
    </w:p>
    <w:p>
      <w:pPr>
        <w:pStyle w:val="BodyText"/>
      </w:pPr>
      <w:r>
        <w:rPr>
          <w:b/>
          <w:bCs/>
        </w:rPr>
        <w:t xml:space="preserve">What this does and does not license us to claim.</w:t>
      </w:r>
      <w:r>
        <w:t xml:space="preserve"> </w:t>
      </w:r>
      <w:r>
        <w:t xml:space="preserve">It licenses: CC-SHAP’s sparsity advantage over the four baseline explainers (Tables 1, 4) is attributable in part to genuine correlation structure, not merely to the mechanical fact of forced consolidation, since correlation-informed grouping reliably beats same-size random grouping on sparsity. It does</w:t>
      </w:r>
      <w:r>
        <w:t xml:space="preserve"> </w:t>
      </w:r>
      <w:r>
        <w:rPr>
          <w:b/>
          <w:bCs/>
        </w:rPr>
        <w:t xml:space="preserve">not</w:t>
      </w:r>
      <w:r>
        <w:t xml:space="preserve"> </w:t>
      </w:r>
      <w:r>
        <w:t xml:space="preserve">license an unqualified claim that causal (as opposed to merely correlational) structure, specifically, drives the robustness advantage: the α=0.05-significant</w:t>
      </w:r>
      <w:r>
        <w:t xml:space="preserve"> </w:t>
      </w:r>
      <w:r>
        <w:t xml:space="preserve">“causal”</w:t>
      </w:r>
      <w:r>
        <w:t xml:space="preserve"> </w:t>
      </w:r>
      <w:r>
        <w:t xml:space="preserve">skeleton used throughout Sections 4.1–4.3 is, at this sample size, indistinguishable from simple order-0 correlation thresholding (both collapse to one clique), so this experiment cannot and does not test causal-vs-correlational; it tests correlational-vs-random, and finds a genuine but model-dependent effect. We revise our own framing accordingly in Section 5.4.</w:t>
      </w:r>
    </w:p>
    <w:p>
      <w:r>
        <w:pict>
          <v:rect style="width:0;height:1.5pt" o:hralign="center" o:hrstd="t" o:hr="t"/>
        </w:pict>
      </w:r>
    </w:p>
    <w:bookmarkEnd w:id="53"/>
    <w:bookmarkEnd w:id="54"/>
    <w:bookmarkStart w:id="60" w:name="discussion"/>
    <w:p>
      <w:pPr>
        <w:pStyle w:val="Heading2"/>
      </w:pPr>
      <w:r>
        <w:rPr>
          <w:rStyle w:val="SectionNumber"/>
        </w:rPr>
        <w:t xml:space="preserve">1.6</w:t>
      </w:r>
      <w:r>
        <w:tab/>
      </w:r>
      <w:r>
        <w:t xml:space="preserve">5. Discussion</w:t>
      </w:r>
    </w:p>
    <w:bookmarkStart w:id="55" w:name="interpreting-the-trade-off"/>
    <w:p>
      <w:pPr>
        <w:pStyle w:val="Heading3"/>
      </w:pPr>
      <w:r>
        <w:rPr>
          <w:rStyle w:val="SectionNumber"/>
        </w:rPr>
        <w:t xml:space="preserve">1.6.1</w:t>
      </w:r>
      <w:r>
        <w:tab/>
      </w:r>
      <w:r>
        <w:t xml:space="preserve">5.1. Interpreting the Trade-off</w:t>
      </w:r>
    </w:p>
    <w:p>
      <w:pPr>
        <w:pStyle w:val="FirstParagraph"/>
      </w:pPr>
      <w:r>
        <w:t xml:space="preserve">The consistent pattern across both datasets (CC-SHAP loses on fidelity and, on Edge-IIoTset, temporal coherence; wins decisively on sparsity and adversarial robustness relative to the four baseline explainers; and lands at or near the top of the composite ranking both times) supports the hypothesis motivating this work (H4): that consolidating SHAP-family attribution onto the strongest signal within an entangled feature cluster, rather than permitting it to be split ambiguously across correlated duplicates, measurably stabilizes explanations under adversarial perturbation and yields far sparser, more operator-legible outputs, at a real and now-quantified fidelity cost. That this pattern holds across two datasets differing in class count, feature semantics, and data-quality profile is, in our view, the strongest evidence available from a single research team’s compute budget that the effect is a property of the technique rather than a quirk of one corpus.</w:t>
      </w:r>
    </w:p>
    <w:p>
      <w:pPr>
        <w:pStyle w:val="BodyText"/>
      </w:pPr>
      <w:r>
        <w:t xml:space="preserve">The Section 4.4 ablation sharpens, rather than undermines, this picture, and it is important to be precise about which part of H4 it supports and which part it leaves open. It supports the</w:t>
      </w:r>
      <w:r>
        <w:t xml:space="preserve"> </w:t>
      </w:r>
      <w:r>
        <w:rPr>
          <w:i/>
          <w:iCs/>
        </w:rPr>
        <w:t xml:space="preserve">consolidation</w:t>
      </w:r>
      <w:r>
        <w:t xml:space="preserve"> </w:t>
      </w:r>
      <w:r>
        <w:t xml:space="preserve">half of the hypothesis directly: correlation-informed grouping beats same-size random grouping on sparsity with non-overlapping confidence intervals in every (dataset, model) cell tested. It complicates the</w:t>
      </w:r>
      <w:r>
        <w:t xml:space="preserve"> </w:t>
      </w:r>
      <w:r>
        <w:rPr>
          <w:i/>
          <w:iCs/>
        </w:rPr>
        <w:t xml:space="preserve">causal</w:t>
      </w:r>
      <w:r>
        <w:t xml:space="preserve"> </w:t>
      </w:r>
      <w:r>
        <w:t xml:space="preserve">half: the specific skeleton used to produce Tables 1–6 collapses, at production sample size, into a single all-encompassing clique that is mathematically identical to a much simpler order-0 correlation threshold, so those headline numbers cannot distinguish</w:t>
      </w:r>
      <w:r>
        <w:t xml:space="preserve"> </w:t>
      </w:r>
      <w:r>
        <w:t xml:space="preserve">“the conditional-independence refinement that makes this skeleton causal rather than merely correlational is doing the work”</w:t>
      </w:r>
      <w:r>
        <w:t xml:space="preserve"> </w:t>
      </w:r>
      <w:r>
        <w:t xml:space="preserve">from</w:t>
      </w:r>
      <w:r>
        <w:t xml:space="preserve"> </w:t>
      </w:r>
      <w:r>
        <w:t xml:space="preserve">“any sufficiently inclusive correlation threshold would do the same work.”</w:t>
      </w:r>
      <w:r>
        <w:t xml:space="preserve"> </w:t>
      </w:r>
      <w:r>
        <w:t xml:space="preserve">The sparser effect-size-threshold skeleton we built specifically to test this shows a real but model-asymmetric effect: correlation-informed grouping clearly beats random grouping on robustness for the LightGBM/TreeSHAP side, and clearly loses to it on the MLP/KernelSHAP side. We report this exactly as found rather than averaging it away, and we revise our own language going forward to say</w:t>
      </w:r>
      <w:r>
        <w:t xml:space="preserve"> </w:t>
      </w:r>
      <w:r>
        <w:t xml:space="preserve">“correlation-informed”</w:t>
      </w:r>
      <w:r>
        <w:t xml:space="preserve"> </w:t>
      </w:r>
      <w:r>
        <w:t xml:space="preserve">where the evidence supports that and reserve</w:t>
      </w:r>
      <w:r>
        <w:t xml:space="preserve"> </w:t>
      </w:r>
      <w:r>
        <w:t xml:space="preserve">“causal”</w:t>
      </w:r>
      <w:r>
        <w:t xml:space="preserve"> </w:t>
      </w:r>
      <w:r>
        <w:t xml:space="preserve">for the conditional-independence design choice itself (Section 3.3.1), not for an empirically unverified claim about why it works.</w:t>
      </w:r>
    </w:p>
    <w:bookmarkEnd w:id="55"/>
    <w:bookmarkStart w:id="56" w:name="X3803dad4912f9602447e4210470274048cb3441"/>
    <w:p>
      <w:pPr>
        <w:pStyle w:val="Heading3"/>
      </w:pPr>
      <w:r>
        <w:rPr>
          <w:rStyle w:val="SectionNumber"/>
        </w:rPr>
        <w:t xml:space="preserve">1.6.2</w:t>
      </w:r>
      <w:r>
        <w:tab/>
      </w:r>
      <w:r>
        <w:t xml:space="preserve">5.2. Why UMCEF_IoT Rather Than Any Single Metric</w:t>
      </w:r>
    </w:p>
    <w:p>
      <w:pPr>
        <w:pStyle w:val="FirstParagraph"/>
      </w:pPr>
      <w:r>
        <w:t xml:space="preserve">Section 4.3’s finding, that CC-SHAP is dominated on the field’s own narrower two-dimensional frontier metric, is deliberately foregrounded rather than omitted. It demonstrates concretely why Karras et al.’s [1] call for a multi-criteria composite is substantively different from, not merely a restatement of, reporting fidelity and speed alone: a reviewer or practitioner who evaluated explainers only on the dimensions the literature has historically reported (accuracy, fidelity, latency) would never surface CC-SHAP’s advantage, because that advantage lives entirely in dimensions (robustness under attack, sparsity for operator interpretability) that are under-measured across the IoT-XAI literature [1,7].</w:t>
      </w:r>
    </w:p>
    <w:bookmarkEnd w:id="56"/>
    <w:bookmarkStart w:id="57" w:name="X3065841b2abdd59571501c6e7733587dfa791e4"/>
    <w:p>
      <w:pPr>
        <w:pStyle w:val="Heading3"/>
      </w:pPr>
      <w:r>
        <w:rPr>
          <w:rStyle w:val="SectionNumber"/>
        </w:rPr>
        <w:t xml:space="preserve">1.6.3</w:t>
      </w:r>
      <w:r>
        <w:tab/>
      </w:r>
      <w:r>
        <w:t xml:space="preserve">5.3. Resource-Constrained Deployment Implications</w:t>
      </w:r>
    </w:p>
    <w:p>
      <w:pPr>
        <w:pStyle w:val="FirstParagraph"/>
      </w:pPr>
      <w:r>
        <w:t xml:space="preserve">The resource-cap harness finding that virtual-memory caps below roughly 1.5 GB become unreliable at the operating-system level (Section 3.4) is itself a secondary methodological contribution relevant to any future IoT-edge XAI benchmark attempting software-level resource simulation: native BLAS and OpenMP allocators do not fail cleanly near a tight memory ceiling, entering retry storms rather than raising a catchable exception, which would silently corrupt latency measurements for any study that did not isolate each measurement in its own process and apply a bounded timeout, as we do here. We recommend container-level (cgroup) enforcement, which defers to the kernel’s out-of-memory killer and fails deterministically, as the authoritative path for any future claim of literal hardware-budget performance; our own relative rankings across explainers do not depend on that distinction, since all explainers were measured under the identical software-level cap.</w:t>
      </w:r>
    </w:p>
    <w:bookmarkEnd w:id="57"/>
    <w:bookmarkStart w:id="58" w:name="limitations"/>
    <w:p>
      <w:pPr>
        <w:pStyle w:val="Heading3"/>
      </w:pPr>
      <w:r>
        <w:rPr>
          <w:rStyle w:val="SectionNumber"/>
        </w:rPr>
        <w:t xml:space="preserve">1.6.4</w:t>
      </w:r>
      <w:r>
        <w:tab/>
      </w:r>
      <w:r>
        <w:t xml:space="preserve">5.4. Limitations</w:t>
      </w:r>
    </w:p>
    <w:p>
      <w:pPr>
        <w:pStyle w:val="FirstParagraph"/>
      </w:pPr>
      <w:r>
        <w:t xml:space="preserve">Several limitations should be weighed in interpreting these results. First, and most importantly given the Section 4.4 ablation: at the sample sizes used here, the bounded causal skeleton (conditioning-set size ≤ 1, α = 0.05) collapses into a single clique spanning every feature on both datasets, and is mathematically identical, on these specific numbers, to a much simpler order-0 correlation threshold. We cannot and do not claim that the conditional-independence refinement specifically, as opposed to any sufficiently permissive correlation threshold, is responsible for the headline Table 1–6 results; the ablation’s sparser effect-size-threshold skeleton shows the conditional-independence design choice</w:t>
      </w:r>
      <w:r>
        <w:t xml:space="preserve"> </w:t>
      </w:r>
      <w:r>
        <w:rPr>
          <w:i/>
          <w:iCs/>
        </w:rPr>
        <w:t xml:space="preserve">can</w:t>
      </w:r>
      <w:r>
        <w:t xml:space="preserve"> </w:t>
      </w:r>
      <w:r>
        <w:t xml:space="preserve">matter (it produces genuinely different, non-trivial clique structure once the threshold is tightened), but testing that at the α = 0.05 / production-sample-size regime actually used for the main results is future work, not something this paper establishes. Separately, the bounded conditioning-set order (≤ 1) can in general miss higher-order conditional independencies that an unbounded PC or FCI algorithm would detect; the boundedness is a stated design choice to keep causal discovery itself within an edge-appropriate compute budget, but an unbounded comparison, and a significance threshold less confounded by sample size (e.g., an effect-size floor combined with the significance test, rather than either alone), are both left to future work. Second, CC-SHAP’s reported computational cost on the multilayer-perceptron side is inherited entirely from its KernelSHAP base explainer, since no exact tree-structure attribution exists for a dense network; this should not be read as evidence that the causal-consolidation step itself is expensive, and a differentiable-model-native base explainer (e.g., DeepSHAP or integrated gradients) is a natural extension. Third, the DeepFool implementation used here clips the accumulated perturbation to a fixed epsilon ball at every iteration rather than computing the unbounded, literature-standard minimal-norm perturbation; this adaptation was necessary for direct comparability with the FGSM-based epsilon sweep and is stated explicitly rather than silently substituted. Fourth, all results reported are single-run rather than averaged across repeated random seeds; TreeSHAP is deterministic given a fixed model, but KernelSHAP’s coalition sampling and LIME’s local perturbation sampling introduce run-to-run variance that multi-seed replication would quantify directly. Fifth, resource-cap numbers below approximately 1.5 GB should be read as relative comparisons rather than literal hardware-budget claims, for the reasons given in Section 5.3; container-level enforcement is recommended for any future claim of the latter. Sixth, and specific to the adversarial-robustness claim: Zhang et al. [32] show that an explainer’s sparsity pattern can itself be exploited to construct more query-efficient black-box adversarial examples, by crossing over the</w:t>
      </w:r>
      <w:r>
        <w:t xml:space="preserve"> </w:t>
      </w:r>
      <w:r>
        <w:rPr>
          <w:i/>
          <w:iCs/>
        </w:rPr>
        <w:t xml:space="preserve">non-salient</w:t>
      </w:r>
      <w:r>
        <w:t xml:space="preserve"> </w:t>
      </w:r>
      <w:r>
        <w:t xml:space="preserve">portion of one sample into another. CC-SHAP’s defining property (concentrating attribution onto one feature per causally entangled clique) produces exactly the kind of highly sparse attribution surface that technique targets; our adversarial protocol (Section 3.5) perturbs inputs to fool the</w:t>
      </w:r>
      <w:r>
        <w:t xml:space="preserve"> </w:t>
      </w:r>
      <w:r>
        <w:rPr>
          <w:i/>
          <w:iCs/>
        </w:rPr>
        <w:t xml:space="preserve">classifier</w:t>
      </w:r>
      <w:r>
        <w:t xml:space="preserve">, not an attack specifically designed around a sparse explanation’s non-salient region, so CC-SHAP’s robustness advantage reported in Section 4 should not be read as robustness against this distinct, explanation-aware attack class, which we did not test. Finally, both data-quality issues discovered during this study’s production runs (Section 3.1), a class-imbalance bug in per-class subsampling and a small but real infinity-value crash in rate-style features, are disclosed here as evidence the pipeline was validated against real data edge cases, strengthening rather than weakening the methodology, but they are a reminder that any IoT-IDS benchmark result on these corpora that does not explicitly describe its subsampling and leakage-handling procedure should be read with corresponding caution; Dhaou’s independent finding [23] of feature-level shortcut leakage on Edge-IIoTset is a reminder that the row-level duplicate correction we apply (Section 3.1) does not by itself guarantee the corpus is free of all leakage modes.</w:t>
      </w:r>
    </w:p>
    <w:bookmarkEnd w:id="58"/>
    <w:bookmarkStart w:id="59" w:name="future-work"/>
    <w:p>
      <w:pPr>
        <w:pStyle w:val="Heading3"/>
      </w:pPr>
      <w:r>
        <w:rPr>
          <w:rStyle w:val="SectionNumber"/>
        </w:rPr>
        <w:t xml:space="preserve">1.6.5</w:t>
      </w:r>
      <w:r>
        <w:tab/>
      </w:r>
      <w:r>
        <w:t xml:space="preserve">5.5. Future Work</w:t>
      </w:r>
    </w:p>
    <w:p>
      <w:pPr>
        <w:pStyle w:val="FirstParagraph"/>
      </w:pPr>
      <w:r>
        <w:t xml:space="preserve">Natural extensions include: replacing the current draw-order proxy for Temporal Coherence (Section 3.6) with a genuine temporal or feature-space-nearest-neighbor sliding window once a dataset with real flow ordering or session identifiers is available, since CICIoT2023 and Edge-IIoTset as released do not preserve the temporal structure the metric is ultimately meant to probe; testing CC-SHAP against unbounded PC/FCI causal discovery to quantify what the conditioning-set bound costs in missed structure; combining the significance test with an effect-size floor (rather than either alone) so the production-scale skeleton does not collapse to a single clique, and re-running Sections 4.1–4.3 under that corrected skeleton to test whether the headline numbers change; directly testing why the Section 4.4 robustness effect of correlation-informed vs. random grouping reverses sign between the LightGBM/TreeSHAP and MLP/KernelSHAP sides, which this paper surfaces but does not explain; extending the causal base-explainer pairing to a differentiable-model-native method for the neural-network side; multi-seed replication with confidence intervals at full production scale (Section 4.4’s bootstrap CIs are a single-run, single-seed companion experiment, not a substitute); container-level (cgroup) resource-cap enforcement for literal hardware-budget claims; extending the cross-dataset generalization check to a third, protocol-diverse corpus to further stress-test the replication found here; evaluating CC-SHAP specifically against the sparsity-exploiting NonsaliencyCrossover-style attack [32] identified as a limitation above, rather than only against classifier-targeted FGSM/DeepFool/black-box attacks; and applying Dhaou’s feature-level leakage-screening protocol [23] to CICIoT2023 and Edge-IIoTset as a preregistered step prior to any future accuracy claim on either corpus, extending the row-level duplicate correction already applied here (Section 3.1) to the feature level.</w:t>
      </w:r>
    </w:p>
    <w:p>
      <w:r>
        <w:pict>
          <v:rect style="width:0;height:1.5pt" o:hralign="center" o:hrstd="t" o:hr="t"/>
        </w:pict>
      </w:r>
    </w:p>
    <w:bookmarkEnd w:id="59"/>
    <w:bookmarkEnd w:id="60"/>
    <w:bookmarkStart w:id="61" w:name="conclusion"/>
    <w:p>
      <w:pPr>
        <w:pStyle w:val="Heading2"/>
      </w:pPr>
      <w:r>
        <w:rPr>
          <w:rStyle w:val="SectionNumber"/>
        </w:rPr>
        <w:t xml:space="preserve">1.7</w:t>
      </w:r>
      <w:r>
        <w:tab/>
      </w:r>
      <w:r>
        <w:t xml:space="preserve">6. Conclusion</w:t>
      </w:r>
    </w:p>
    <w:p>
      <w:pPr>
        <w:pStyle w:val="FirstParagraph"/>
      </w:pPr>
      <w:r>
        <w:t xml:space="preserve">We present a reproducible, open-source benchmark that computes, for the first time on real IoT network traffic, the hardware-centric evaluation metrics a recent survey formalized by equation but never applied to data, and we propose CC-SHAP, a lightweight causal-consolidation explainer that directly answers the field’s documented call for causal, network-native alternatives to generic tabular SHAP and LIME. At production scale on CICIoT2023 and replicated on the structurally different Edge-IIoTset corpus, CC-SHAP is the most adversarially robust explainer of five tested, at every perturbation strength, on both datasets, and by far the sparsest, trading a real, quantified, bounded fidelity cost for that gain, a trade-off we report transparently rather than obscure, including on the field’s own narrower frontier metric, where CC-SHAP loses. This is, we argue, the honest and generalizable kind of result the field’s own evaluation standard was designed to surface: not an unqualified win, but a real property of a new technique that replicates across datasets and is only visible once robustness and sparsity are measured alongside fidelity and speed, rather than instead of them. A dedicated ablation (Section 4.4) subjects this result to the sharpest test we could construct against it, isolating grouping structure from the consolidation mechanism itself, and the result survives in qualified form: the sparsity gain is attributable to genuine correlation structure rather than to forced consolidation alone, while the robustness gain is real but model-dependent in a way our own headline numbers, computed from a skeleton that collapses to a single clique at this sample size, could not have revealed on their own. We see this as the methodology working as intended rather than as a weakness to minimize: a benchmark honest enough to report its own central technique’s limits is more useful to the field than one that is not.</w:t>
      </w:r>
    </w:p>
    <w:p>
      <w:r>
        <w:pict>
          <v:rect style="width:0;height:1.5pt" o:hralign="center" o:hrstd="t" o:hr="t"/>
        </w:pict>
      </w:r>
    </w:p>
    <w:bookmarkEnd w:id="61"/>
    <w:bookmarkStart w:id="62" w:name="data-availability-statement"/>
    <w:p>
      <w:pPr>
        <w:pStyle w:val="Heading2"/>
      </w:pPr>
      <w:r>
        <w:rPr>
          <w:rStyle w:val="SectionNumber"/>
        </w:rPr>
        <w:t xml:space="preserve">1.8</w:t>
      </w:r>
      <w:r>
        <w:tab/>
      </w:r>
      <w:r>
        <w:t xml:space="preserve">Data Availability Statement</w:t>
      </w:r>
    </w:p>
    <w:p>
      <w:pPr>
        <w:pStyle w:val="FirstParagraph"/>
      </w:pPr>
      <w:r>
        <w:t xml:space="preserve">The datasets analyzed in this study are third-party, publicly available corpora: CICIoT2023 is available from the Canadian Institute for Cybersecurity at the University of New Brunswick (https://www.unb.ca/cic/datasets/iotdataset-2023.html); Edge-IIoTset is available from its original publication [10]. All experiment code, the data-loading and leakage-correction pipeline, trained-model configurations, and the full result CSVs and figures reported in this paper are released at https://github.com/Ajay102456/cc-shap-iot-edge-xai.</w:t>
      </w:r>
    </w:p>
    <w:bookmarkEnd w:id="62"/>
    <w:bookmarkStart w:id="63" w:name="ethics-declaration"/>
    <w:p>
      <w:pPr>
        <w:pStyle w:val="Heading2"/>
      </w:pPr>
      <w:r>
        <w:rPr>
          <w:rStyle w:val="SectionNumber"/>
        </w:rPr>
        <w:t xml:space="preserve">1.9</w:t>
      </w:r>
      <w:r>
        <w:tab/>
      </w:r>
      <w:r>
        <w:t xml:space="preserve">Ethics Declaration</w:t>
      </w:r>
    </w:p>
    <w:p>
      <w:pPr>
        <w:pStyle w:val="FirstParagraph"/>
      </w:pPr>
      <w:r>
        <w:t xml:space="preserve">This study uses only publicly available, previously collected, de-identified network traffic datasets and does not involve human subjects, personal data collection, or animal research. No ethics committee approval was required.</w:t>
      </w:r>
    </w:p>
    <w:bookmarkEnd w:id="63"/>
    <w:bookmarkStart w:id="64" w:name="author-contributions"/>
    <w:p>
      <w:pPr>
        <w:pStyle w:val="Heading2"/>
      </w:pPr>
      <w:r>
        <w:rPr>
          <w:rStyle w:val="SectionNumber"/>
        </w:rPr>
        <w:t xml:space="preserve">1.10</w:t>
      </w:r>
      <w:r>
        <w:tab/>
      </w:r>
      <w:r>
        <w:t xml:space="preserve">Author Contributions</w:t>
      </w:r>
    </w:p>
    <w:p>
      <w:pPr>
        <w:pStyle w:val="FirstParagraph"/>
      </w:pPr>
      <w:r>
        <w:t xml:space="preserve">Conceptualization, S.K.; Methodology, S.K. and S.Y.; Software, S.K. and S.Y.; Validation, S.K. and S.Y.; Formal Analysis, S.K. and S.Y.; Investigation, S.K. and S.Y.; Data Curation, S.K. and S.Y.; Writing (Original Draft), S.K. and S.Y.; Writing (Review and Editing), S.K. and S.Y.; Visualization, S.K. and S.Y.; Supervision, S.K. and S.Y. Both authors contributed equally to this work. All authors have read and agreed to the published version of the manuscript.</w:t>
      </w:r>
    </w:p>
    <w:bookmarkEnd w:id="64"/>
    <w:bookmarkStart w:id="65" w:name="funding"/>
    <w:p>
      <w:pPr>
        <w:pStyle w:val="Heading2"/>
      </w:pPr>
      <w:r>
        <w:rPr>
          <w:rStyle w:val="SectionNumber"/>
        </w:rPr>
        <w:t xml:space="preserve">1.11</w:t>
      </w:r>
      <w:r>
        <w:tab/>
      </w:r>
      <w:r>
        <w:t xml:space="preserve">Funding</w:t>
      </w:r>
    </w:p>
    <w:p>
      <w:pPr>
        <w:pStyle w:val="FirstParagraph"/>
      </w:pPr>
      <w:r>
        <w:t xml:space="preserve">This research received no external funding.</w:t>
      </w:r>
    </w:p>
    <w:bookmarkEnd w:id="65"/>
    <w:bookmarkStart w:id="66" w:name="conflicts-of-interest"/>
    <w:p>
      <w:pPr>
        <w:pStyle w:val="Heading2"/>
      </w:pPr>
      <w:r>
        <w:rPr>
          <w:rStyle w:val="SectionNumber"/>
        </w:rPr>
        <w:t xml:space="preserve">1.12</w:t>
      </w:r>
      <w:r>
        <w:tab/>
      </w:r>
      <w:r>
        <w:t xml:space="preserve">Conflicts of Interest</w:t>
      </w:r>
    </w:p>
    <w:p>
      <w:pPr>
        <w:pStyle w:val="FirstParagraph"/>
      </w:pPr>
      <w:r>
        <w:t xml:space="preserve">The authors declare no conflicts of interest.</w:t>
      </w:r>
    </w:p>
    <w:bookmarkEnd w:id="66"/>
    <w:bookmarkStart w:id="67" w:name="artificial-intelligence-use-statement"/>
    <w:p>
      <w:pPr>
        <w:pStyle w:val="Heading2"/>
      </w:pPr>
      <w:r>
        <w:rPr>
          <w:rStyle w:val="SectionNumber"/>
        </w:rPr>
        <w:t xml:space="preserve">1.13</w:t>
      </w:r>
      <w:r>
        <w:tab/>
      </w:r>
      <w:r>
        <w:t xml:space="preserve">Artificial Intelligence Use Statement</w:t>
      </w:r>
    </w:p>
    <w:p>
      <w:pPr>
        <w:pStyle w:val="FirstParagraph"/>
      </w:pPr>
      <w:r>
        <w:t xml:space="preserve">Large language model-based tools (Claude, Anthropic) were used to assist with code implementation, data analysis scripting, and drafting of this manuscript under direct author supervision and review. All experimental results, figures, and claims were verified by the author(s) against the underlying code and data prior to inclusion. The authors take full responsibility for the content, accuracy, and integrity of this work.</w:t>
      </w:r>
    </w:p>
    <w:p>
      <w:r>
        <w:pict>
          <v:rect style="width:0;height:1.5pt" o:hralign="center" o:hrstd="t" o:hr="t"/>
        </w:pict>
      </w:r>
    </w:p>
    <w:bookmarkEnd w:id="67"/>
    <w:bookmarkStart w:id="68" w:name="X0fc2c93bd56fc1bb9d065560b086da6e726f6f2"/>
    <w:p>
      <w:pPr>
        <w:pStyle w:val="Heading2"/>
      </w:pPr>
      <w:r>
        <w:rPr>
          <w:rStyle w:val="SectionNumber"/>
        </w:rPr>
        <w:t xml:space="preserve">1.14</w:t>
      </w:r>
      <w:r>
        <w:tab/>
      </w:r>
      <w:r>
        <w:t xml:space="preserve">Appendix A. Hyperparameters and Implementation Details</w:t>
      </w:r>
    </w:p>
    <w:p>
      <w:pPr>
        <w:pStyle w:val="FirstParagraph"/>
      </w:pPr>
      <w:r>
        <w:rPr>
          <w:b/>
          <w:bCs/>
        </w:rPr>
        <w:t xml:space="preserve">Table A1.</w:t>
      </w:r>
      <w:r>
        <w:t xml:space="preserve"> </w:t>
      </w:r>
      <w:r>
        <w:t xml:space="preserve">Model hyperparameters.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LightGBM</w:t>
            </w:r>
          </w:p>
        </w:tc>
        <w:tc>
          <w:tcPr/>
          <w:p>
            <w:pPr>
              <w:pStyle w:val="Compact"/>
            </w:pPr>
            <w:r>
              <w:t xml:space="preserve">Compact MLP</w:t>
            </w:r>
          </w:p>
        </w:tc>
      </w:tr>
      <w:tr>
        <w:tc>
          <w:tcPr/>
          <w:p>
            <w:pPr>
              <w:pStyle w:val="Compact"/>
            </w:pPr>
            <w:r>
              <w:t xml:space="preserve">Architecture</w:t>
            </w:r>
          </w:p>
        </w:tc>
        <w:tc>
          <w:tcPr/>
          <w:p>
            <w:pPr>
              <w:pStyle w:val="Compact"/>
            </w:pPr>
            <w:r>
              <w:t xml:space="preserve">150 trees, max depth 6</w:t>
            </w:r>
          </w:p>
        </w:tc>
        <w:tc>
          <w:tcPr/>
          <w:p>
            <w:pPr>
              <w:pStyle w:val="Compact"/>
            </w:pPr>
            <w:r>
              <w:t xml:space="preserve">2 hidden layers, &lt;5,400 params</w:t>
            </w:r>
          </w:p>
        </w:tc>
      </w:tr>
      <w:tr>
        <w:tc>
          <w:tcPr/>
          <w:p>
            <w:pPr>
              <w:pStyle w:val="Compact"/>
            </w:pPr>
            <w:r>
              <w:t xml:space="preserve">CICIoT2023 parameter count</w:t>
            </w:r>
          </w:p>
        </w:tc>
        <w:tc>
          <w:tcPr/>
          <w:p>
            <w:pPr>
              <w:pStyle w:val="Compact"/>
            </w:pPr>
            <w:r>
              <w:t xml:space="preserve">n/a</w:t>
            </w:r>
          </w:p>
        </w:tc>
        <w:tc>
          <w:tcPr/>
          <w:p>
            <w:pPr>
              <w:pStyle w:val="Compact"/>
            </w:pPr>
            <w:r>
              <w:t xml:space="preserve">4,904</w:t>
            </w:r>
          </w:p>
        </w:tc>
      </w:tr>
      <w:tr>
        <w:tc>
          <w:tcPr/>
          <w:p>
            <w:pPr>
              <w:pStyle w:val="Compact"/>
            </w:pPr>
            <w:r>
              <w:t xml:space="preserve">Edge-IIoTset parameter count</w:t>
            </w:r>
          </w:p>
        </w:tc>
        <w:tc>
          <w:tcPr/>
          <w:p>
            <w:pPr>
              <w:pStyle w:val="Compact"/>
            </w:pPr>
            <w:r>
              <w:t xml:space="preserve">n/a</w:t>
            </w:r>
          </w:p>
        </w:tc>
        <w:tc>
          <w:tcPr/>
          <w:p>
            <w:pPr>
              <w:pStyle w:val="Compact"/>
            </w:pPr>
            <w:r>
              <w:t xml:space="preserve">5,327</w:t>
            </w:r>
          </w:p>
        </w:tc>
      </w:tr>
      <w:tr>
        <w:tc>
          <w:tcPr/>
          <w:p>
            <w:pPr>
              <w:pStyle w:val="Compact"/>
            </w:pPr>
            <w:r>
              <w:t xml:space="preserve">Optimizer</w:t>
            </w:r>
          </w:p>
        </w:tc>
        <w:tc>
          <w:tcPr/>
          <w:p>
            <w:pPr>
              <w:pStyle w:val="Compact"/>
            </w:pPr>
            <w:r>
              <w:t xml:space="preserve">gradient-boosted decision trees</w:t>
            </w:r>
          </w:p>
        </w:tc>
        <w:tc>
          <w:tcPr/>
          <w:p>
            <w:pPr>
              <w:pStyle w:val="Compact"/>
            </w:pPr>
            <w:r>
              <w:t xml:space="preserve">Adam</w:t>
            </w:r>
          </w:p>
        </w:tc>
      </w:tr>
      <w:tr>
        <w:tc>
          <w:tcPr/>
          <w:p>
            <w:pPr>
              <w:pStyle w:val="Compact"/>
            </w:pPr>
            <w:r>
              <w:t xml:space="preserve">Training epochs</w:t>
            </w:r>
          </w:p>
        </w:tc>
        <w:tc>
          <w:tcPr/>
          <w:p>
            <w:pPr>
              <w:pStyle w:val="Compact"/>
            </w:pPr>
            <w:r>
              <w:t xml:space="preserve">n/a</w:t>
            </w:r>
          </w:p>
        </w:tc>
        <w:tc>
          <w:tcPr/>
          <w:p>
            <w:pPr>
              <w:pStyle w:val="Compact"/>
            </w:pPr>
            <w:r>
              <w:t xml:space="preserve">30</w:t>
            </w:r>
          </w:p>
        </w:tc>
      </w:tr>
      <w:tr>
        <w:tc>
          <w:tcPr/>
          <w:p>
            <w:pPr>
              <w:pStyle w:val="Compact"/>
            </w:pPr>
            <w:r>
              <w:t xml:space="preserve">Train/test split</w:t>
            </w:r>
          </w:p>
        </w:tc>
        <w:tc>
          <w:tcPr/>
          <w:p>
            <w:pPr>
              <w:pStyle w:val="Compact"/>
            </w:pPr>
            <w:r>
              <w:t xml:space="preserve">stratified 75/25</w:t>
            </w:r>
          </w:p>
        </w:tc>
        <w:tc>
          <w:tcPr/>
          <w:p>
            <w:pPr>
              <w:pStyle w:val="Compact"/>
            </w:pPr>
            <w:r>
              <w:t xml:space="preserve">stratified 75/25</w:t>
            </w:r>
          </w:p>
        </w:tc>
      </w:tr>
      <w:tr>
        <w:tc>
          <w:tcPr/>
          <w:p>
            <w:pPr>
              <w:pStyle w:val="Compact"/>
            </w:pPr>
            <w:r>
              <w:t xml:space="preserve">Feature scaling</w:t>
            </w:r>
          </w:p>
        </w:tc>
        <w:tc>
          <w:tcPr/>
          <w:p>
            <w:pPr>
              <w:pStyle w:val="Compact"/>
            </w:pPr>
            <w:r>
              <w:t xml:space="preserve">none (tree-invariant)</w:t>
            </w:r>
          </w:p>
        </w:tc>
        <w:tc>
          <w:tcPr/>
          <w:p>
            <w:pPr>
              <w:pStyle w:val="Compact"/>
            </w:pPr>
            <w:r>
              <w:t xml:space="preserve">z-score (train-fit)</w:t>
            </w:r>
          </w:p>
        </w:tc>
      </w:tr>
    </w:tbl>
    <w:p>
      <w:pPr>
        <w:pStyle w:val="BodyText"/>
      </w:pPr>
      <w:r>
        <w:rPr>
          <w:b/>
          <w:bCs/>
        </w:rPr>
        <w:t xml:space="preserve">Table A2.</w:t>
      </w:r>
      <w:r>
        <w:t xml:space="preserve"> </w:t>
      </w:r>
      <w:r>
        <w:t xml:space="preserve">Explainer configuration.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Explainer</w:t>
            </w:r>
          </w:p>
        </w:tc>
        <w:tc>
          <w:tcPr/>
          <w:p>
            <w:pPr>
              <w:pStyle w:val="Compact"/>
            </w:pPr>
            <w:r>
              <w:t xml:space="preserve">Background/coalition samples</w:t>
            </w:r>
          </w:p>
        </w:tc>
        <w:tc>
          <w:tcPr/>
          <w:p>
            <w:pPr>
              <w:pStyle w:val="Compact"/>
            </w:pPr>
            <w:r>
              <w:t xml:space="preserve">Base for CC-SHAP</w:t>
            </w:r>
          </w:p>
        </w:tc>
      </w:tr>
      <w:tr>
        <w:tc>
          <w:tcPr/>
          <w:p>
            <w:pPr>
              <w:pStyle w:val="Compact"/>
            </w:pPr>
            <w:r>
              <w:t xml:space="preserve">TreeSHAP</w:t>
            </w:r>
          </w:p>
        </w:tc>
        <w:tc>
          <w:tcPr/>
          <w:p>
            <w:pPr>
              <w:pStyle w:val="Compact"/>
            </w:pPr>
            <w:r>
              <w:t xml:space="preserve">exact (no sampling)</w:t>
            </w:r>
          </w:p>
        </w:tc>
        <w:tc>
          <w:tcPr/>
          <w:p>
            <w:pPr>
              <w:pStyle w:val="Compact"/>
            </w:pPr>
            <w:r>
              <w:t xml:space="preserve">LightGBM base</w:t>
            </w:r>
          </w:p>
        </w:tc>
      </w:tr>
      <w:tr>
        <w:tc>
          <w:tcPr/>
          <w:p>
            <w:pPr>
              <w:pStyle w:val="Compact"/>
            </w:pPr>
            <w:r>
              <w:t xml:space="preserve">KernelSHAP</w:t>
            </w:r>
          </w:p>
        </w:tc>
        <w:tc>
          <w:tcPr/>
          <w:p>
            <w:pPr>
              <w:pStyle w:val="Compact"/>
            </w:pPr>
            <w:r>
              <w:t xml:space="preserve">library default</w:t>
            </w:r>
          </w:p>
        </w:tc>
        <w:tc>
          <w:tcPr/>
          <w:p>
            <w:pPr>
              <w:pStyle w:val="Compact"/>
            </w:pPr>
            <w:r>
              <w:t xml:space="preserve">MLP base</w:t>
            </w:r>
          </w:p>
        </w:tc>
      </w:tr>
      <w:tr>
        <w:tc>
          <w:tcPr/>
          <w:p>
            <w:pPr>
              <w:pStyle w:val="Compact"/>
            </w:pPr>
            <w:r>
              <w:t xml:space="preserve">Lightweight KernelSHAP</w:t>
            </w:r>
          </w:p>
        </w:tc>
        <w:tc>
          <w:tcPr/>
          <w:p>
            <w:pPr>
              <w:pStyle w:val="Compact"/>
            </w:pPr>
            <w:r>
              <w:t xml:space="preserve">sharply reduced (Table 23, [1])</w:t>
            </w:r>
          </w:p>
        </w:tc>
        <w:tc>
          <w:tcPr/>
          <w:p>
            <w:pPr>
              <w:pStyle w:val="Compact"/>
            </w:pPr>
            <w:r>
              <w:t xml:space="preserve">n/a</w:t>
            </w:r>
          </w:p>
        </w:tc>
      </w:tr>
      <w:tr>
        <w:tc>
          <w:tcPr/>
          <w:p>
            <w:pPr>
              <w:pStyle w:val="Compact"/>
            </w:pPr>
            <w:r>
              <w:t xml:space="preserve">LIME</w:t>
            </w:r>
          </w:p>
        </w:tc>
        <w:tc>
          <w:tcPr/>
          <w:p>
            <w:pPr>
              <w:pStyle w:val="Compact"/>
            </w:pPr>
            <w:r>
              <w:t xml:space="preserve">5,000 (library default)</w:t>
            </w:r>
          </w:p>
        </w:tc>
        <w:tc>
          <w:tcPr/>
          <w:p>
            <w:pPr>
              <w:pStyle w:val="Compact"/>
            </w:pPr>
            <w:r>
              <w:t xml:space="preserve">n/a</w:t>
            </w:r>
          </w:p>
        </w:tc>
      </w:tr>
      <w:tr>
        <w:tc>
          <w:tcPr/>
          <w:p>
            <w:pPr>
              <w:pStyle w:val="Compact"/>
            </w:pPr>
            <w:r>
              <w:t xml:space="preserve">CC-SHAP</w:t>
            </w:r>
          </w:p>
        </w:tc>
        <w:tc>
          <w:tcPr/>
          <w:p>
            <w:pPr>
              <w:pStyle w:val="Compact"/>
            </w:pPr>
            <w:r>
              <w:t xml:space="preserve">inherits base explainer’s budget</w:t>
            </w:r>
          </w:p>
        </w:tc>
        <w:tc>
          <w:tcPr/>
          <w:p>
            <w:pPr>
              <w:pStyle w:val="Compact"/>
            </w:pPr>
            <w:r>
              <w:t xml:space="preserve">TreeSHAP (LightGBM) / KernelSHAP (MLP)</w:t>
            </w:r>
          </w:p>
        </w:tc>
      </w:tr>
    </w:tbl>
    <w:p>
      <w:pPr>
        <w:pStyle w:val="BodyText"/>
      </w:pPr>
      <w:r>
        <w:rPr>
          <w:b/>
          <w:bCs/>
        </w:rPr>
        <w:t xml:space="preserve">Table A3.</w:t>
      </w:r>
      <w:r>
        <w:t xml:space="preserve"> </w:t>
      </w:r>
      <w:r>
        <w:t xml:space="preserve">Resource-tier simulation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Tier</w:t>
            </w:r>
          </w:p>
        </w:tc>
        <w:tc>
          <w:tcPr/>
          <w:p>
            <w:pPr>
              <w:pStyle w:val="Compact"/>
            </w:pPr>
            <w:r>
              <w:t xml:space="preserve">CPU cores</w:t>
            </w:r>
          </w:p>
        </w:tc>
        <w:tc>
          <w:tcPr/>
          <w:p>
            <w:pPr>
              <w:pStyle w:val="Compact"/>
            </w:pPr>
            <w:r>
              <w:t xml:space="preserve">Soft memory ceiling intent</w:t>
            </w:r>
          </w:p>
        </w:tc>
      </w:tr>
      <w:tr>
        <w:tc>
          <w:tcPr/>
          <w:p>
            <w:pPr>
              <w:pStyle w:val="Compact"/>
            </w:pPr>
            <w:r>
              <w:t xml:space="preserve">tier_pi4</w:t>
            </w:r>
          </w:p>
        </w:tc>
        <w:tc>
          <w:tcPr/>
          <w:p>
            <w:pPr>
              <w:pStyle w:val="Compact"/>
            </w:pPr>
            <w:r>
              <w:t xml:space="preserve">4</w:t>
            </w:r>
          </w:p>
        </w:tc>
        <w:tc>
          <w:tcPr/>
          <w:p>
            <w:pPr>
              <w:pStyle w:val="Compact"/>
            </w:pPr>
            <w:r>
              <w:t xml:space="preserve">Raspberry Pi 4-class</w:t>
            </w:r>
          </w:p>
        </w:tc>
      </w:tr>
      <w:tr>
        <w:tc>
          <w:tcPr/>
          <w:p>
            <w:pPr>
              <w:pStyle w:val="Compact"/>
            </w:pPr>
            <w:r>
              <w:t xml:space="preserve">tier_jetson_nano</w:t>
            </w:r>
          </w:p>
        </w:tc>
        <w:tc>
          <w:tcPr/>
          <w:p>
            <w:pPr>
              <w:pStyle w:val="Compact"/>
            </w:pPr>
            <w:r>
              <w:t xml:space="preserve">4</w:t>
            </w:r>
          </w:p>
        </w:tc>
        <w:tc>
          <w:tcPr/>
          <w:p>
            <w:pPr>
              <w:pStyle w:val="Compact"/>
            </w:pPr>
            <w:r>
              <w:t xml:space="preserve">Jetson Nano-class</w:t>
            </w:r>
          </w:p>
        </w:tc>
      </w:tr>
      <w:tr>
        <w:tc>
          <w:tcPr/>
          <w:p>
            <w:pPr>
              <w:pStyle w:val="Compact"/>
            </w:pPr>
            <w:r>
              <w:t xml:space="preserve">tier_unconstrained</w:t>
            </w:r>
          </w:p>
        </w:tc>
        <w:tc>
          <w:tcPr/>
          <w:p>
            <w:pPr>
              <w:pStyle w:val="Compact"/>
            </w:pPr>
            <w:r>
              <w:t xml:space="preserve">all available</w:t>
            </w:r>
          </w:p>
        </w:tc>
        <w:tc>
          <w:tcPr/>
          <w:p>
            <w:pPr>
              <w:pStyle w:val="Compact"/>
            </w:pPr>
            <w:r>
              <w:t xml:space="preserve">development-machine baseline</w:t>
            </w:r>
          </w:p>
        </w:tc>
      </w:tr>
    </w:tbl>
    <w:p>
      <w:pPr>
        <w:pStyle w:val="BodyText"/>
      </w:pPr>
      <w:r>
        <w:rPr>
          <w:b/>
          <w:bCs/>
        </w:rPr>
        <w:t xml:space="preserve">Table A4.</w:t>
      </w:r>
      <w:r>
        <w:t xml:space="preserve"> </w:t>
      </w:r>
      <w:r>
        <w:t xml:space="preserve">Adversarial attack parameters.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Attack</w:t>
            </w:r>
          </w:p>
        </w:tc>
        <w:tc>
          <w:tcPr/>
          <w:p>
            <w:pPr>
              <w:pStyle w:val="Compact"/>
            </w:pPr>
            <w:r>
              <w:t xml:space="preserve">Model</w:t>
            </w:r>
          </w:p>
        </w:tc>
        <w:tc>
          <w:tcPr/>
          <w:p>
            <w:pPr>
              <w:pStyle w:val="Compact"/>
            </w:pPr>
            <w:r>
              <w:t xml:space="preserve">Epsilon values (L-infinity, standardized units)</w:t>
            </w:r>
          </w:p>
        </w:tc>
      </w:tr>
      <w:tr>
        <w:tc>
          <w:tcPr/>
          <w:p>
            <w:pPr>
              <w:pStyle w:val="Compact"/>
            </w:pPr>
            <w:r>
              <w:t xml:space="preserve">FGSM</w:t>
            </w:r>
          </w:p>
        </w:tc>
        <w:tc>
          <w:tcPr/>
          <w:p>
            <w:pPr>
              <w:pStyle w:val="Compact"/>
            </w:pPr>
            <w:r>
              <w:t xml:space="preserve">Compact MLP</w:t>
            </w:r>
          </w:p>
        </w:tc>
        <w:tc>
          <w:tcPr/>
          <w:p>
            <w:pPr>
              <w:pStyle w:val="Compact"/>
            </w:pPr>
            <w:r>
              <w:t xml:space="preserve">0.05, 0.15, 0.30</w:t>
            </w:r>
          </w:p>
        </w:tc>
      </w:tr>
      <w:tr>
        <w:tc>
          <w:tcPr/>
          <w:p>
            <w:pPr>
              <w:pStyle w:val="Compact"/>
            </w:pPr>
            <w:r>
              <w:t xml:space="preserve">Multiclass DeepFool (epsilon-clipped)</w:t>
            </w:r>
          </w:p>
        </w:tc>
        <w:tc>
          <w:tcPr/>
          <w:p>
            <w:pPr>
              <w:pStyle w:val="Compact"/>
            </w:pPr>
            <w:r>
              <w:t xml:space="preserve">Compact MLP</w:t>
            </w:r>
          </w:p>
        </w:tc>
        <w:tc>
          <w:tcPr/>
          <w:p>
            <w:pPr>
              <w:pStyle w:val="Compact"/>
            </w:pPr>
            <w:r>
              <w:t xml:space="preserve">0.05, 0.15, 0.30</w:t>
            </w:r>
          </w:p>
        </w:tc>
      </w:tr>
      <w:tr>
        <w:tc>
          <w:tcPr/>
          <w:p>
            <w:pPr>
              <w:pStyle w:val="Compact"/>
            </w:pPr>
            <w:r>
              <w:t xml:space="preserve">Black-box greedy (finite-difference sensitivity)</w:t>
            </w:r>
          </w:p>
        </w:tc>
        <w:tc>
          <w:tcPr/>
          <w:p>
            <w:pPr>
              <w:pStyle w:val="Compact"/>
            </w:pPr>
            <w:r>
              <w:t xml:space="preserve">LightGBM</w:t>
            </w:r>
          </w:p>
        </w:tc>
        <w:tc>
          <w:tcPr/>
          <w:p>
            <w:pPr>
              <w:pStyle w:val="Compact"/>
            </w:pPr>
            <w:r>
              <w:t xml:space="preserve">0.05, 0.15, 0.30</w:t>
            </w:r>
          </w:p>
        </w:tc>
      </w:tr>
    </w:tbl>
    <w:p>
      <w:pPr>
        <w:pStyle w:val="BodyText"/>
      </w:pPr>
      <w:r>
        <w:rPr>
          <w:b/>
          <w:bCs/>
        </w:rPr>
        <w:t xml:space="preserve">Table A5.</w:t>
      </w:r>
      <w:r>
        <w:t xml:space="preserve"> </w:t>
      </w:r>
      <w:r>
        <w:t xml:space="preserve">Section 4.4 ablation parameters.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Ablation seed</w:t>
            </w:r>
          </w:p>
        </w:tc>
        <w:tc>
          <w:tcPr/>
          <w:p>
            <w:pPr>
              <w:pStyle w:val="Compact"/>
            </w:pPr>
            <w:r>
              <w:t xml:space="preserve">43 (distinct from the production run’s seed, 42)</w:t>
            </w:r>
          </w:p>
        </w:tc>
      </w:tr>
      <w:tr>
        <w:tc>
          <w:tcPr/>
          <w:p>
            <w:pPr>
              <w:pStyle w:val="Compact"/>
            </w:pPr>
            <w:r>
              <w:t xml:space="preserve">Explained samples (</w:t>
            </w:r>
            <w:r>
              <w:rPr>
                <w:i/>
                <w:iCs/>
              </w:rPr>
              <w:t xml:space="preserve">n</w:t>
            </w:r>
            <w:r>
              <w:t xml:space="preserve">)</w:t>
            </w:r>
          </w:p>
        </w:tc>
        <w:tc>
          <w:tcPr/>
          <w:p>
            <w:pPr>
              <w:pStyle w:val="Compact"/>
            </w:pPr>
            <w:r>
              <w:t xml:space="preserve">100 per dataset, matching Tables 1/4</w:t>
            </w:r>
          </w:p>
        </w:tc>
      </w:tr>
      <w:tr>
        <w:tc>
          <w:tcPr/>
          <w:p>
            <w:pPr>
              <w:pStyle w:val="Compact"/>
            </w:pPr>
            <w:r>
              <w:t xml:space="preserve">Bootstrap resamples</w:t>
            </w:r>
          </w:p>
        </w:tc>
        <w:tc>
          <w:tcPr/>
          <w:p>
            <w:pPr>
              <w:pStyle w:val="Compact"/>
            </w:pPr>
            <w:r>
              <w:t xml:space="preserve">1,000, percentile method, 95% CI</w:t>
            </w:r>
          </w:p>
        </w:tc>
      </w:tr>
      <w:tr>
        <w:tc>
          <w:tcPr/>
          <w:p>
            <w:pPr>
              <w:pStyle w:val="Compact"/>
            </w:pPr>
            <w:r>
              <w:t xml:space="preserve">Significance-based skeleton</w:t>
            </w:r>
          </w:p>
        </w:tc>
        <w:tc>
          <w:tcPr/>
          <w:p>
            <w:pPr>
              <w:pStyle w:val="Compact"/>
            </w:pPr>
            <w:r>
              <w:t xml:space="preserve">Fisher-</w:t>
            </w:r>
            <w:r>
              <w:rPr>
                <w:i/>
                <w:iCs/>
              </w:rPr>
              <w:t xml:space="preserve">z</w:t>
            </w:r>
            <w:r>
              <w:t xml:space="preserve">, α = 0.05, conditioning-set order ≤ 1 (same as Section 3.3.1)</w:t>
            </w:r>
          </w:p>
        </w:tc>
      </w:tr>
      <w:tr>
        <w:tc>
          <w:tcPr/>
          <w:p>
            <w:pPr>
              <w:pStyle w:val="Compact"/>
            </w:pPr>
            <w:r>
              <w:t xml:space="preserve">Effect-size skeleton</w:t>
            </w:r>
          </w:p>
        </w:tc>
        <w:tc>
          <w:tcPr/>
          <w:p>
            <w:pPr>
              <w:pStyle w:val="Compact"/>
            </w:pPr>
            <w:r>
              <w:t xml:space="preserve">|</w:t>
            </w:r>
            <w:r>
              <w:rPr>
                <w:i/>
                <w:iCs/>
              </w:rPr>
              <w:t xml:space="preserve">r</w:t>
            </w:r>
            <w:r>
              <w:t xml:space="preserve">| ≥ 0.3, no significance test, order 0</w:t>
            </w:r>
          </w:p>
        </w:tc>
      </w:tr>
      <w:tr>
        <w:tc>
          <w:tcPr/>
          <w:p>
            <w:pPr>
              <w:pStyle w:val="Compact"/>
            </w:pPr>
            <w:r>
              <w:t xml:space="preserve">Random-clique control</w:t>
            </w:r>
          </w:p>
        </w:tc>
        <w:tc>
          <w:tcPr/>
          <w:p>
            <w:pPr>
              <w:pStyle w:val="Compact"/>
            </w:pPr>
            <w:r>
              <w:t xml:space="preserve">Same clique-size partition as the effect-size skeleton, membership permuted</w:t>
            </w:r>
          </w:p>
        </w:tc>
      </w:tr>
      <w:tr>
        <w:tc>
          <w:tcPr/>
          <w:p>
            <w:pPr>
              <w:pStyle w:val="Compact"/>
            </w:pPr>
            <w:r>
              <w:t xml:space="preserve">Robustness epsilon (ablation only)</w:t>
            </w:r>
          </w:p>
        </w:tc>
        <w:tc>
          <w:tcPr/>
          <w:p>
            <w:pPr>
              <w:pStyle w:val="Compact"/>
            </w:pPr>
            <w:r>
              <w:t xml:space="preserve">0.15 (the middle of the three main-result epsilons)</w:t>
            </w:r>
          </w:p>
        </w:tc>
      </w:tr>
    </w:tbl>
    <w:p>
      <w:pPr>
        <w:pStyle w:val="BodyText"/>
      </w:pPr>
      <w:r>
        <w:t xml:space="preserve">Full implementation (Python,</w:t>
      </w:r>
      <w:r>
        <w:t xml:space="preserve"> </w:t>
      </w:r>
      <w:r>
        <w:rPr>
          <w:rStyle w:val="VerbatimChar"/>
        </w:rPr>
        <w:t xml:space="preserve">scikit-learn</w:t>
      </w:r>
      <w:r>
        <w:t xml:space="preserve">,</w:t>
      </w:r>
      <w:r>
        <w:t xml:space="preserve"> </w:t>
      </w:r>
      <w:r>
        <w:rPr>
          <w:rStyle w:val="VerbatimChar"/>
        </w:rPr>
        <w:t xml:space="preserve">lightgbm</w:t>
      </w:r>
      <w:r>
        <w:t xml:space="preserve">,</w:t>
      </w:r>
      <w:r>
        <w:t xml:space="preserve"> </w:t>
      </w:r>
      <w:r>
        <w:rPr>
          <w:rStyle w:val="VerbatimChar"/>
        </w:rPr>
        <w:t xml:space="preserve">torch</w:t>
      </w:r>
      <w:r>
        <w:t xml:space="preserve">,</w:t>
      </w:r>
      <w:r>
        <w:t xml:space="preserve"> </w:t>
      </w:r>
      <w:r>
        <w:rPr>
          <w:rStyle w:val="VerbatimChar"/>
        </w:rPr>
        <w:t xml:space="preserve">shap</w:t>
      </w:r>
      <w:r>
        <w:t xml:space="preserve">,</w:t>
      </w:r>
      <w:r>
        <w:t xml:space="preserve"> </w:t>
      </w:r>
      <w:r>
        <w:rPr>
          <w:rStyle w:val="VerbatimChar"/>
        </w:rPr>
        <w:t xml:space="preserve">lime</w:t>
      </w:r>
      <w:r>
        <w:t xml:space="preserve">,</w:t>
      </w:r>
      <w:r>
        <w:t xml:space="preserve"> </w:t>
      </w:r>
      <w:r>
        <w:rPr>
          <w:rStyle w:val="VerbatimChar"/>
        </w:rPr>
        <w:t xml:space="preserve">scipy</w:t>
      </w:r>
      <w:r>
        <w:t xml:space="preserve">,</w:t>
      </w:r>
      <w:r>
        <w:t xml:space="preserve"> </w:t>
      </w:r>
      <w:r>
        <w:rPr>
          <w:rStyle w:val="VerbatimChar"/>
        </w:rPr>
        <w:t xml:space="preserve">pandas</w:t>
      </w:r>
      <w:r>
        <w:t xml:space="preserve">) is released per the Data Availability Statement; exact package versions are pinned in</w:t>
      </w:r>
      <w:r>
        <w:t xml:space="preserve"> </w:t>
      </w:r>
      <w:r>
        <w:rPr>
          <w:rStyle w:val="VerbatimChar"/>
        </w:rPr>
        <w:t xml:space="preserve">requirements.txt</w:t>
      </w:r>
      <w:r>
        <w:t xml:space="preserve"> </w:t>
      </w:r>
      <w:r>
        <w:t xml:space="preserve">and</w:t>
      </w:r>
      <w:r>
        <w:t xml:space="preserve"> </w:t>
      </w:r>
      <w:r>
        <w:rPr>
          <w:rStyle w:val="VerbatimChar"/>
        </w:rPr>
        <w:t xml:space="preserve">docker/Dockerfile</w:t>
      </w:r>
      <w:r>
        <w:t xml:space="preserve"> </w:t>
      </w:r>
      <w:r>
        <w:t xml:space="preserve">in the released repository.</w:t>
      </w:r>
    </w:p>
    <w:p>
      <w:r>
        <w:pict>
          <v:rect style="width:0;height:1.5pt" o:hralign="center" o:hrstd="t" o:hr="t"/>
        </w:pict>
      </w:r>
    </w:p>
    <w:bookmarkEnd w:id="68"/>
    <w:bookmarkStart w:id="69" w:name="references"/>
    <w:p>
      <w:pPr>
        <w:pStyle w:val="Heading2"/>
      </w:pPr>
      <w:r>
        <w:rPr>
          <w:rStyle w:val="SectionNumber"/>
        </w:rPr>
        <w:t xml:space="preserve">1.15</w:t>
      </w:r>
      <w:r>
        <w:tab/>
      </w:r>
      <w:r>
        <w:t xml:space="preserve">References</w:t>
      </w:r>
    </w:p>
    <w:p>
      <w:pPr>
        <w:pStyle w:val="Compact"/>
        <w:numPr>
          <w:ilvl w:val="0"/>
          <w:numId w:val="1001"/>
        </w:numPr>
      </w:pPr>
      <w:r>
        <w:t xml:space="preserve">Karras, A.; Giannaros, A.; Amasiadi, N.; Karras, C.N. Next-Gen Explainable AI (XAI) for Federated and Distributed Internet of Things Systems: A State-of-the-Art Survey.</w:t>
      </w:r>
      <w:r>
        <w:t xml:space="preserve"> </w:t>
      </w:r>
      <w:r>
        <w:rPr>
          <w:i/>
          <w:iCs/>
        </w:rPr>
        <w:t xml:space="preserve">Future Internet</w:t>
      </w:r>
      <w:r>
        <w:t xml:space="preserve"> </w:t>
      </w:r>
      <w:r>
        <w:rPr>
          <w:b/>
          <w:bCs/>
        </w:rPr>
        <w:t xml:space="preserve">2026</w:t>
      </w:r>
      <w:r>
        <w:t xml:space="preserve">,</w:t>
      </w:r>
      <w:r>
        <w:t xml:space="preserve"> </w:t>
      </w:r>
      <w:r>
        <w:rPr>
          <w:i/>
          <w:iCs/>
        </w:rPr>
        <w:t xml:space="preserve">18</w:t>
      </w:r>
      <w:r>
        <w:t xml:space="preserve">, 83. https://doi.org/10.3390/fi18020083</w:t>
      </w:r>
    </w:p>
    <w:p>
      <w:pPr>
        <w:pStyle w:val="Compact"/>
        <w:numPr>
          <w:ilvl w:val="0"/>
          <w:numId w:val="1001"/>
        </w:numPr>
      </w:pPr>
      <w:r>
        <w:t xml:space="preserve">Adam, M.; Hammoudeh, M.; Alrawashdeh, B.; Alsulaimy, B. A survey on security, privacy, trust, and architectural challenges in IoT systems.</w:t>
      </w:r>
      <w:r>
        <w:t xml:space="preserve"> </w:t>
      </w:r>
      <w:r>
        <w:rPr>
          <w:i/>
          <w:iCs/>
        </w:rPr>
        <w:t xml:space="preserve">IEEE Access</w:t>
      </w:r>
      <w:r>
        <w:t xml:space="preserve"> </w:t>
      </w:r>
      <w:r>
        <w:rPr>
          <w:b/>
          <w:bCs/>
        </w:rPr>
        <w:t xml:space="preserve">2024</w:t>
      </w:r>
      <w:r>
        <w:t xml:space="preserve">,</w:t>
      </w:r>
      <w:r>
        <w:t xml:space="preserve"> </w:t>
      </w:r>
      <w:r>
        <w:rPr>
          <w:i/>
          <w:iCs/>
        </w:rPr>
        <w:t xml:space="preserve">12</w:t>
      </w:r>
      <w:r>
        <w:t xml:space="preserve">, 57128–57149.</w:t>
      </w:r>
    </w:p>
    <w:p>
      <w:pPr>
        <w:pStyle w:val="Compact"/>
        <w:numPr>
          <w:ilvl w:val="0"/>
          <w:numId w:val="1001"/>
        </w:numPr>
      </w:pPr>
      <w:r>
        <w:t xml:space="preserve">Lundberg, S.M.; Lee, S.-I. A Unified Approach to Interpreting Model Predictions. In</w:t>
      </w:r>
      <w:r>
        <w:t xml:space="preserve"> </w:t>
      </w:r>
      <w:r>
        <w:rPr>
          <w:i/>
          <w:iCs/>
        </w:rPr>
        <w:t xml:space="preserve">Advances in Neural Information Processing Systems 30</w:t>
      </w:r>
      <w:r>
        <w:t xml:space="preserve">; Curran Associates: Red Hook, NY, USA, 2017; pp. 4765–4774.</w:t>
      </w:r>
    </w:p>
    <w:p>
      <w:pPr>
        <w:pStyle w:val="Compact"/>
        <w:numPr>
          <w:ilvl w:val="0"/>
          <w:numId w:val="1001"/>
        </w:numPr>
      </w:pPr>
      <w:r>
        <w:t xml:space="preserve">Ribeiro, M.T.; Singh, S.; Guestrin, C.</w:t>
      </w:r>
      <w:r>
        <w:t xml:space="preserve"> </w:t>
      </w:r>
      <w:r>
        <w:t xml:space="preserve">“Why Should I Trust You?”</w:t>
      </w:r>
      <w:r>
        <w:t xml:space="preserve">: Explaining the Predictions of Any Classifier. In Proceedings of the 22nd ACM SIGKDD International Conference on Knowledge Discovery and Data Mining, San Francisco, CA, USA, 13–17 August 2016; pp. 1135–1144.</w:t>
      </w:r>
    </w:p>
    <w:p>
      <w:pPr>
        <w:pStyle w:val="Compact"/>
        <w:numPr>
          <w:ilvl w:val="0"/>
          <w:numId w:val="1001"/>
        </w:numPr>
      </w:pPr>
      <w:r>
        <w:t xml:space="preserve">Phillips, P.J.; Hahn, C.A.; Fontana, P.C.; Yates, A.N.; Greene, K.; Broniatowski, D.A.; Przybocki, M.A. </w:t>
      </w:r>
      <w:r>
        <w:rPr>
          <w:i/>
          <w:iCs/>
        </w:rPr>
        <w:t xml:space="preserve">Four Principles of Explainable Artificial Intelligence</w:t>
      </w:r>
      <w:r>
        <w:t xml:space="preserve">; NIST Interagency/Internal Report (NISTIR); National Institute of Standards and Technology: Gaithersburg, MD, USA, 2021.</w:t>
      </w:r>
    </w:p>
    <w:p>
      <w:pPr>
        <w:pStyle w:val="Compact"/>
        <w:numPr>
          <w:ilvl w:val="0"/>
          <w:numId w:val="1001"/>
        </w:numPr>
      </w:pPr>
      <w:r>
        <w:t xml:space="preserve">Gilpin, L.H.; Paley, A.R.; Alam, M.A.; Spurlock, S.; Hammond, K.J.</w:t>
      </w:r>
      <w:r>
        <w:t xml:space="preserve"> </w:t>
      </w:r>
      <w:r>
        <w:t xml:space="preserve">“Explanation”</w:t>
      </w:r>
      <w:r>
        <w:t xml:space="preserve"> </w:t>
      </w:r>
      <w:r>
        <w:t xml:space="preserve">is Not a Technical Term: The Problem of Ambiguity in XAI.</w:t>
      </w:r>
      <w:r>
        <w:t xml:space="preserve"> </w:t>
      </w:r>
      <w:r>
        <w:rPr>
          <w:i/>
          <w:iCs/>
        </w:rPr>
        <w:t xml:space="preserve">arXiv</w:t>
      </w:r>
      <w:r>
        <w:t xml:space="preserve"> </w:t>
      </w:r>
      <w:r>
        <w:rPr>
          <w:b/>
          <w:bCs/>
        </w:rPr>
        <w:t xml:space="preserve">2022</w:t>
      </w:r>
      <w:r>
        <w:t xml:space="preserve">, arXiv:2203.14196.</w:t>
      </w:r>
    </w:p>
    <w:p>
      <w:pPr>
        <w:pStyle w:val="Compact"/>
        <w:numPr>
          <w:ilvl w:val="0"/>
          <w:numId w:val="1001"/>
        </w:numPr>
      </w:pPr>
      <w:r>
        <w:t xml:space="preserve">Consensus NLP, Inc. </w:t>
      </w:r>
      <w:r>
        <w:rPr>
          <w:i/>
          <w:iCs/>
        </w:rPr>
        <w:t xml:space="preserve">IoT Edge Networking XAI Trends and Knowledge Gaps</w:t>
      </w:r>
      <w:r>
        <w:t xml:space="preserve">; Consensus.app evidence synthesis report, 2026.</w:t>
      </w:r>
    </w:p>
    <w:p>
      <w:pPr>
        <w:pStyle w:val="Compact"/>
        <w:numPr>
          <w:ilvl w:val="0"/>
          <w:numId w:val="1001"/>
        </w:numPr>
      </w:pPr>
      <w:r>
        <w:t xml:space="preserve">Munilla, J.; Khammas, R.M. Evaluation of Explainable Artificial Intelligence in IoT Intrusion Detection Systems Under DeepFool Adversarial Conditions.</w:t>
      </w:r>
      <w:r>
        <w:t xml:space="preserve"> </w:t>
      </w:r>
      <w:r>
        <w:rPr>
          <w:i/>
          <w:iCs/>
        </w:rPr>
        <w:t xml:space="preserve">Sensors</w:t>
      </w:r>
      <w:r>
        <w:t xml:space="preserve"> </w:t>
      </w:r>
      <w:r>
        <w:rPr>
          <w:b/>
          <w:bCs/>
        </w:rPr>
        <w:t xml:space="preserve">2026</w:t>
      </w:r>
      <w:r>
        <w:t xml:space="preserve">,</w:t>
      </w:r>
      <w:r>
        <w:t xml:space="preserve"> </w:t>
      </w:r>
      <w:r>
        <w:rPr>
          <w:i/>
          <w:iCs/>
        </w:rPr>
        <w:t xml:space="preserve">26</w:t>
      </w:r>
      <w:r>
        <w:t xml:space="preserve">, 2924. https://doi.org/10.3390/s26102924</w:t>
      </w:r>
    </w:p>
    <w:p>
      <w:pPr>
        <w:pStyle w:val="Compact"/>
        <w:numPr>
          <w:ilvl w:val="0"/>
          <w:numId w:val="1001"/>
        </w:numPr>
      </w:pPr>
      <w:r>
        <w:t xml:space="preserve">Neto, E.C.P.; Dadkhah, S.; Ferreira, R.; Zohourian, A.; Lu, R.; Ghorbani, A.A. CICIoT2023: A Real-Time Dataset and Benchmark for Large-Scale Attacks in IoT Environment.</w:t>
      </w:r>
      <w:r>
        <w:t xml:space="preserve"> </w:t>
      </w:r>
      <w:r>
        <w:rPr>
          <w:i/>
          <w:iCs/>
        </w:rPr>
        <w:t xml:space="preserve">Sensors</w:t>
      </w:r>
      <w:r>
        <w:t xml:space="preserve"> </w:t>
      </w:r>
      <w:r>
        <w:rPr>
          <w:b/>
          <w:bCs/>
        </w:rPr>
        <w:t xml:space="preserve">2023</w:t>
      </w:r>
      <w:r>
        <w:t xml:space="preserve">,</w:t>
      </w:r>
      <w:r>
        <w:t xml:space="preserve"> </w:t>
      </w:r>
      <w:r>
        <w:rPr>
          <w:i/>
          <w:iCs/>
        </w:rPr>
        <w:t xml:space="preserve">23</w:t>
      </w:r>
      <w:r>
        <w:t xml:space="preserve">, 5941.</w:t>
      </w:r>
    </w:p>
    <w:p>
      <w:pPr>
        <w:pStyle w:val="Compact"/>
        <w:numPr>
          <w:ilvl w:val="0"/>
          <w:numId w:val="1001"/>
        </w:numPr>
      </w:pPr>
      <w:r>
        <w:t xml:space="preserve">Ferrag, M.A.; Friha, O.; Hamouda, D.; Maglaras, L.; Janicke, H. Edge-IIoTset: A New Comprehensive Realistic Cyber Security Dataset of IoT and IIoT Applications for Centralized and Federated Learning.</w:t>
      </w:r>
      <w:r>
        <w:t xml:space="preserve"> </w:t>
      </w:r>
      <w:r>
        <w:rPr>
          <w:i/>
          <w:iCs/>
        </w:rPr>
        <w:t xml:space="preserve">IEEE Access</w:t>
      </w:r>
      <w:r>
        <w:t xml:space="preserve"> </w:t>
      </w:r>
      <w:r>
        <w:rPr>
          <w:b/>
          <w:bCs/>
        </w:rPr>
        <w:t xml:space="preserve">2022</w:t>
      </w:r>
      <w:r>
        <w:t xml:space="preserve">,</w:t>
      </w:r>
      <w:r>
        <w:t xml:space="preserve"> </w:t>
      </w:r>
      <w:r>
        <w:rPr>
          <w:i/>
          <w:iCs/>
        </w:rPr>
        <w:t xml:space="preserve">10</w:t>
      </w:r>
      <w:r>
        <w:t xml:space="preserve">, 40281–40306.</w:t>
      </w:r>
    </w:p>
    <w:p>
      <w:pPr>
        <w:pStyle w:val="Compact"/>
        <w:numPr>
          <w:ilvl w:val="0"/>
          <w:numId w:val="1001"/>
        </w:numPr>
      </w:pPr>
      <w:r>
        <w:t xml:space="preserve">Houda, Z.A.E.; Brik, B.; Khoukhi, L.</w:t>
      </w:r>
      <w:r>
        <w:t xml:space="preserve"> </w:t>
      </w:r>
      <w:r>
        <w:t xml:space="preserve">“Why Should I Trust Your IDS?”</w:t>
      </w:r>
      <w:r>
        <w:t xml:space="preserve">: An Explainable Deep Learning Framework for Intrusion Detection Systems in Internet of Things Networks.</w:t>
      </w:r>
      <w:r>
        <w:t xml:space="preserve"> </w:t>
      </w:r>
      <w:r>
        <w:rPr>
          <w:i/>
          <w:iCs/>
        </w:rPr>
        <w:t xml:space="preserve">IEEE Open J. Commun. Soc.</w:t>
      </w:r>
      <w:r>
        <w:t xml:space="preserve"> </w:t>
      </w:r>
      <w:r>
        <w:rPr>
          <w:b/>
          <w:bCs/>
        </w:rPr>
        <w:t xml:space="preserve">2022</w:t>
      </w:r>
      <w:r>
        <w:t xml:space="preserve">,</w:t>
      </w:r>
      <w:r>
        <w:t xml:space="preserve"> </w:t>
      </w:r>
      <w:r>
        <w:rPr>
          <w:i/>
          <w:iCs/>
        </w:rPr>
        <w:t xml:space="preserve">3</w:t>
      </w:r>
      <w:r>
        <w:t xml:space="preserve">, 1164–1176.</w:t>
      </w:r>
    </w:p>
    <w:p>
      <w:pPr>
        <w:pStyle w:val="Compact"/>
        <w:numPr>
          <w:ilvl w:val="0"/>
          <w:numId w:val="1001"/>
        </w:numPr>
      </w:pPr>
      <w:r>
        <w:t xml:space="preserve">Keshk, M.; Koroniotis, N.; Pham, N.; Moustafa, N.; Turnbull, B.P.; Zomaya, A. An explainable deep learning-enabled intrusion detection framework in IoT networks.</w:t>
      </w:r>
      <w:r>
        <w:t xml:space="preserve"> </w:t>
      </w:r>
      <w:r>
        <w:rPr>
          <w:i/>
          <w:iCs/>
        </w:rPr>
        <w:t xml:space="preserve">Inf. Sci.</w:t>
      </w:r>
      <w:r>
        <w:t xml:space="preserve"> </w:t>
      </w:r>
      <w:r>
        <w:rPr>
          <w:b/>
          <w:bCs/>
        </w:rPr>
        <w:t xml:space="preserve">2023</w:t>
      </w:r>
      <w:r>
        <w:t xml:space="preserve">,</w:t>
      </w:r>
      <w:r>
        <w:t xml:space="preserve"> </w:t>
      </w:r>
      <w:r>
        <w:rPr>
          <w:i/>
          <w:iCs/>
        </w:rPr>
        <w:t xml:space="preserve">639</w:t>
      </w:r>
      <w:r>
        <w:t xml:space="preserve">, 119000.</w:t>
      </w:r>
    </w:p>
    <w:p>
      <w:pPr>
        <w:pStyle w:val="Compact"/>
        <w:numPr>
          <w:ilvl w:val="0"/>
          <w:numId w:val="1001"/>
        </w:numPr>
      </w:pPr>
      <w:r>
        <w:t xml:space="preserve">Moustafa, N.; Koroniotis, N.; Keshk, M.; Zomaya, A.Y.; Tari, Z. Explainable Intrusion Detection for Cyber Defences in the Internet of Things: Opportunities and Solutions.</w:t>
      </w:r>
      <w:r>
        <w:t xml:space="preserve"> </w:t>
      </w:r>
      <w:r>
        <w:rPr>
          <w:i/>
          <w:iCs/>
        </w:rPr>
        <w:t xml:space="preserve">IEEE Commun. Surv. Tutor.</w:t>
      </w:r>
      <w:r>
        <w:t xml:space="preserve"> </w:t>
      </w:r>
      <w:r>
        <w:rPr>
          <w:b/>
          <w:bCs/>
        </w:rPr>
        <w:t xml:space="preserve">2023</w:t>
      </w:r>
      <w:r>
        <w:t xml:space="preserve">,</w:t>
      </w:r>
      <w:r>
        <w:t xml:space="preserve"> </w:t>
      </w:r>
      <w:r>
        <w:rPr>
          <w:i/>
          <w:iCs/>
        </w:rPr>
        <w:t xml:space="preserve">25</w:t>
      </w:r>
      <w:r>
        <w:t xml:space="preserve">, 1775–1807.</w:t>
      </w:r>
    </w:p>
    <w:p>
      <w:pPr>
        <w:pStyle w:val="Compact"/>
        <w:numPr>
          <w:ilvl w:val="0"/>
          <w:numId w:val="1001"/>
        </w:numPr>
      </w:pPr>
      <w:r>
        <w:t xml:space="preserve">Ogunseyi, T.B.; Thiyagarajan, G.; He, H.-G.; Bist, V.; Du, Z.-C. Performance Analysis of Explainable Deep Learning-Based Intrusion Detection Systems for IoT Networks: A Systematic Review.</w:t>
      </w:r>
      <w:r>
        <w:t xml:space="preserve"> </w:t>
      </w:r>
      <w:r>
        <w:rPr>
          <w:i/>
          <w:iCs/>
        </w:rPr>
        <w:t xml:space="preserve">Sensors</w:t>
      </w:r>
      <w:r>
        <w:t xml:space="preserve"> </w:t>
      </w:r>
      <w:r>
        <w:rPr>
          <w:b/>
          <w:bCs/>
        </w:rPr>
        <w:t xml:space="preserve">2026</w:t>
      </w:r>
      <w:r>
        <w:t xml:space="preserve">,</w:t>
      </w:r>
      <w:r>
        <w:t xml:space="preserve"> </w:t>
      </w:r>
      <w:r>
        <w:rPr>
          <w:i/>
          <w:iCs/>
        </w:rPr>
        <w:t xml:space="preserve">26</w:t>
      </w:r>
      <w:r>
        <w:t xml:space="preserve">, 363. https://doi.org/10.3390/s26020363</w:t>
      </w:r>
    </w:p>
    <w:p>
      <w:pPr>
        <w:pStyle w:val="Compact"/>
        <w:numPr>
          <w:ilvl w:val="0"/>
          <w:numId w:val="1001"/>
        </w:numPr>
      </w:pPr>
      <w:r>
        <w:t xml:space="preserve">Bilal, M.; Islam, I.U.; Iltaf, N.; Khan, M.J.; Khan, M.J. Federated Learning With Explainable AI for Malicious Traffic Detection in IoT Networks.</w:t>
      </w:r>
      <w:r>
        <w:t xml:space="preserve"> </w:t>
      </w:r>
      <w:r>
        <w:rPr>
          <w:i/>
          <w:iCs/>
        </w:rPr>
        <w:t xml:space="preserve">IEEE Access</w:t>
      </w:r>
      <w:r>
        <w:t xml:space="preserve"> </w:t>
      </w:r>
      <w:r>
        <w:rPr>
          <w:b/>
          <w:bCs/>
        </w:rPr>
        <w:t xml:space="preserve">2025</w:t>
      </w:r>
      <w:r>
        <w:t xml:space="preserve">,</w:t>
      </w:r>
      <w:r>
        <w:t xml:space="preserve"> </w:t>
      </w:r>
      <w:r>
        <w:rPr>
          <w:i/>
          <w:iCs/>
        </w:rPr>
        <w:t xml:space="preserve">13</w:t>
      </w:r>
      <w:r>
        <w:t xml:space="preserve">, 173368–173383.</w:t>
      </w:r>
    </w:p>
    <w:p>
      <w:pPr>
        <w:pStyle w:val="Compact"/>
        <w:numPr>
          <w:ilvl w:val="0"/>
          <w:numId w:val="1001"/>
        </w:numPr>
      </w:pPr>
      <w:r>
        <w:t xml:space="preserve">Bilal, M.; Islam, I.U.; Khan, M.J.; Nisar, S.; Farooq, M.; Khan, H. Secure and Explainable Federated Learning for IoT Intrusion Detection: A Comprehensive Survey.</w:t>
      </w:r>
      <w:r>
        <w:t xml:space="preserve"> </w:t>
      </w:r>
      <w:r>
        <w:rPr>
          <w:i/>
          <w:iCs/>
        </w:rPr>
        <w:t xml:space="preserve">IEEE Open J. Commun. Soc.</w:t>
      </w:r>
      <w:r>
        <w:t xml:space="preserve"> </w:t>
      </w:r>
      <w:r>
        <w:rPr>
          <w:b/>
          <w:bCs/>
        </w:rPr>
        <w:t xml:space="preserve">2026</w:t>
      </w:r>
      <w:r>
        <w:t xml:space="preserve">,</w:t>
      </w:r>
      <w:r>
        <w:t xml:space="preserve"> </w:t>
      </w:r>
      <w:r>
        <w:rPr>
          <w:i/>
          <w:iCs/>
        </w:rPr>
        <w:t xml:space="preserve">7</w:t>
      </w:r>
      <w:r>
        <w:t xml:space="preserve">, 3650–3679.</w:t>
      </w:r>
    </w:p>
    <w:p>
      <w:pPr>
        <w:pStyle w:val="Compact"/>
        <w:numPr>
          <w:ilvl w:val="0"/>
          <w:numId w:val="1001"/>
        </w:numPr>
      </w:pPr>
      <w:r>
        <w:t xml:space="preserve">Zhao, Y.; Ullah, F.; Mahmood, K.; Saeed, S.; Mohammad, N.; Raza, U. XAI-EdgeSFL: Explainable Edge Intelligence With Adaptive Intrusion-Resilient Split Federated Learning for Consumer Healthcare Ecosystems.</w:t>
      </w:r>
      <w:r>
        <w:t xml:space="preserve"> </w:t>
      </w:r>
      <w:r>
        <w:rPr>
          <w:i/>
          <w:iCs/>
        </w:rPr>
        <w:t xml:space="preserve">IEEE Trans. Consum. Electron.</w:t>
      </w:r>
      <w:r>
        <w:t xml:space="preserve"> </w:t>
      </w:r>
      <w:r>
        <w:rPr>
          <w:b/>
          <w:bCs/>
        </w:rPr>
        <w:t xml:space="preserve">2026</w:t>
      </w:r>
      <w:r>
        <w:t xml:space="preserve">,</w:t>
      </w:r>
      <w:r>
        <w:t xml:space="preserve"> </w:t>
      </w:r>
      <w:r>
        <w:rPr>
          <w:i/>
          <w:iCs/>
        </w:rPr>
        <w:t xml:space="preserve">72</w:t>
      </w:r>
      <w:r>
        <w:t xml:space="preserve">, 2185–2196.</w:t>
      </w:r>
    </w:p>
    <w:p>
      <w:pPr>
        <w:pStyle w:val="Compact"/>
        <w:numPr>
          <w:ilvl w:val="0"/>
          <w:numId w:val="1001"/>
        </w:numPr>
      </w:pPr>
      <w:r>
        <w:t xml:space="preserve">Singh, S.K.; Roy, J. Scalable Explainability-as-a-Service (XaaS) for Edge AI Systems. In Proceedings of SoutheastCon 2026, 2026; pp. 1–8.</w:t>
      </w:r>
    </w:p>
    <w:p>
      <w:pPr>
        <w:pStyle w:val="Compact"/>
        <w:numPr>
          <w:ilvl w:val="0"/>
          <w:numId w:val="1001"/>
        </w:numPr>
      </w:pPr>
      <w:r>
        <w:t xml:space="preserve">Nassef, L.; Alghamdi, M.I.; Chaabane, S.B.; Abbas, Q.; Alawad, W.M.; Albalawi, O.H.; Alqaisi, O.I.; Fakieh, B. Lightweight and Energy-Aware Intrusion Detection for Industrial IoT Using TinyML and Edge AI.</w:t>
      </w:r>
      <w:r>
        <w:t xml:space="preserve"> </w:t>
      </w:r>
      <w:r>
        <w:rPr>
          <w:i/>
          <w:iCs/>
        </w:rPr>
        <w:t xml:space="preserve">Sci. Rep.</w:t>
      </w:r>
      <w:r>
        <w:t xml:space="preserve"> </w:t>
      </w:r>
      <w:r>
        <w:rPr>
          <w:b/>
          <w:bCs/>
        </w:rPr>
        <w:t xml:space="preserve">2026</w:t>
      </w:r>
      <w:r>
        <w:t xml:space="preserve">,</w:t>
      </w:r>
      <w:r>
        <w:t xml:space="preserve"> </w:t>
      </w:r>
      <w:r>
        <w:rPr>
          <w:i/>
          <w:iCs/>
        </w:rPr>
        <w:t xml:space="preserve">16</w:t>
      </w:r>
      <w:r>
        <w:t xml:space="preserve">.</w:t>
      </w:r>
    </w:p>
    <w:p>
      <w:pPr>
        <w:pStyle w:val="Compact"/>
        <w:numPr>
          <w:ilvl w:val="0"/>
          <w:numId w:val="1001"/>
        </w:numPr>
      </w:pPr>
      <w:r>
        <w:t xml:space="preserve">Kalakoti, R.; Bahşi, H.; Nõmm, S. Improving IoT Security With Explainable AI: Quantitative Evaluation of Explainability for IoT Botnet Detection.</w:t>
      </w:r>
      <w:r>
        <w:t xml:space="preserve"> </w:t>
      </w:r>
      <w:r>
        <w:rPr>
          <w:i/>
          <w:iCs/>
        </w:rPr>
        <w:t xml:space="preserve">IEEE Internet Things J.</w:t>
      </w:r>
      <w:r>
        <w:t xml:space="preserve"> </w:t>
      </w:r>
      <w:r>
        <w:rPr>
          <w:b/>
          <w:bCs/>
        </w:rPr>
        <w:t xml:space="preserve">2024</w:t>
      </w:r>
      <w:r>
        <w:t xml:space="preserve">,</w:t>
      </w:r>
      <w:r>
        <w:t xml:space="preserve"> </w:t>
      </w:r>
      <w:r>
        <w:rPr>
          <w:i/>
          <w:iCs/>
        </w:rPr>
        <w:t xml:space="preserve">11</w:t>
      </w:r>
      <w:r>
        <w:t xml:space="preserve">, 18237–18254.</w:t>
      </w:r>
    </w:p>
    <w:p>
      <w:pPr>
        <w:pStyle w:val="Compact"/>
        <w:numPr>
          <w:ilvl w:val="0"/>
          <w:numId w:val="1001"/>
        </w:numPr>
      </w:pPr>
      <w:r>
        <w:t xml:space="preserve">Gummadi, A.N.; Abdelrahim, E.M.; Gad, I.; Abdallah, M. E-RXAI-IoT: A Systematic Evaluation Framework of Rule-Based XAI Methods for Anomaly Detection in IoT Systems.</w:t>
      </w:r>
      <w:r>
        <w:t xml:space="preserve"> </w:t>
      </w:r>
      <w:r>
        <w:rPr>
          <w:i/>
          <w:iCs/>
        </w:rPr>
        <w:t xml:space="preserve">IEEE Access</w:t>
      </w:r>
      <w:r>
        <w:t xml:space="preserve"> </w:t>
      </w:r>
      <w:r>
        <w:rPr>
          <w:b/>
          <w:bCs/>
        </w:rPr>
        <w:t xml:space="preserve">2025</w:t>
      </w:r>
      <w:r>
        <w:t xml:space="preserve">,</w:t>
      </w:r>
      <w:r>
        <w:t xml:space="preserve"> </w:t>
      </w:r>
      <w:r>
        <w:rPr>
          <w:i/>
          <w:iCs/>
        </w:rPr>
        <w:t xml:space="preserve">13</w:t>
      </w:r>
      <w:r>
        <w:t xml:space="preserve">. https://doi.org/10.1109/ACCESS.2025.3627529</w:t>
      </w:r>
    </w:p>
    <w:p>
      <w:pPr>
        <w:pStyle w:val="Compact"/>
        <w:numPr>
          <w:ilvl w:val="0"/>
          <w:numId w:val="1001"/>
        </w:numPr>
      </w:pPr>
      <w:r>
        <w:t xml:space="preserve">Nascita, A.; Aceto, G.; Ciuonzo, D.; Montieri, A.; Persico, V.; Pescapé, A. A Survey on Explainable Artificial Intelligence for Internet Traffic Classification and Prediction, and Intrusion Detection.</w:t>
      </w:r>
      <w:r>
        <w:t xml:space="preserve"> </w:t>
      </w:r>
      <w:r>
        <w:rPr>
          <w:i/>
          <w:iCs/>
        </w:rPr>
        <w:t xml:space="preserve">IEEE Commun. Surv. Tutor.</w:t>
      </w:r>
      <w:r>
        <w:t xml:space="preserve"> </w:t>
      </w:r>
      <w:r>
        <w:rPr>
          <w:b/>
          <w:bCs/>
        </w:rPr>
        <w:t xml:space="preserve">2025</w:t>
      </w:r>
      <w:r>
        <w:t xml:space="preserve">,</w:t>
      </w:r>
      <w:r>
        <w:t xml:space="preserve"> </w:t>
      </w:r>
      <w:r>
        <w:rPr>
          <w:i/>
          <w:iCs/>
        </w:rPr>
        <w:t xml:space="preserve">27</w:t>
      </w:r>
      <w:r>
        <w:t xml:space="preserve">, 3165–3198.</w:t>
      </w:r>
    </w:p>
    <w:p>
      <w:pPr>
        <w:pStyle w:val="Compact"/>
        <w:numPr>
          <w:ilvl w:val="0"/>
          <w:numId w:val="1001"/>
        </w:numPr>
      </w:pPr>
      <w:r>
        <w:t xml:space="preserve">Dhaou, F.M. Correlation-Based Leakage Screening Is Insufficient for IoT/IIoT Intrusion-Detection Benchmarks: Evidence of Redundant Shortcut Encoding in Edge-IIoTset.</w:t>
      </w:r>
      <w:r>
        <w:t xml:space="preserve"> </w:t>
      </w:r>
      <w:r>
        <w:rPr>
          <w:i/>
          <w:iCs/>
        </w:rPr>
        <w:t xml:space="preserve">IEEE Access</w:t>
      </w:r>
      <w:r>
        <w:t xml:space="preserve"> </w:t>
      </w:r>
      <w:r>
        <w:rPr>
          <w:b/>
          <w:bCs/>
        </w:rPr>
        <w:t xml:space="preserve">2026</w:t>
      </w:r>
      <w:r>
        <w:t xml:space="preserve">,</w:t>
      </w:r>
      <w:r>
        <w:t xml:space="preserve"> </w:t>
      </w:r>
      <w:r>
        <w:rPr>
          <w:i/>
          <w:iCs/>
        </w:rPr>
        <w:t xml:space="preserve">14</w:t>
      </w:r>
      <w:r>
        <w:t xml:space="preserve">. https://doi.org/10.1109/ACCESS.2026.3734121</w:t>
      </w:r>
    </w:p>
    <w:p>
      <w:pPr>
        <w:pStyle w:val="Compact"/>
        <w:numPr>
          <w:ilvl w:val="0"/>
          <w:numId w:val="1001"/>
        </w:numPr>
      </w:pPr>
      <w:r>
        <w:t xml:space="preserve">Spirtes, P.; Glymour, C.; Scheines, R.</w:t>
      </w:r>
      <w:r>
        <w:t xml:space="preserve"> </w:t>
      </w:r>
      <w:r>
        <w:rPr>
          <w:i/>
          <w:iCs/>
        </w:rPr>
        <w:t xml:space="preserve">Causation, Prediction, and Search</w:t>
      </w:r>
      <w:r>
        <w:t xml:space="preserve">, 2nd ed.; MIT Press: Cambridge, MA, USA, 2000.</w:t>
      </w:r>
    </w:p>
    <w:p>
      <w:pPr>
        <w:pStyle w:val="Compact"/>
        <w:numPr>
          <w:ilvl w:val="0"/>
          <w:numId w:val="1001"/>
        </w:numPr>
      </w:pPr>
      <w:r>
        <w:t xml:space="preserve">Moosavi-Dezfooli, S.-M.; Fawzi, A.; Frossard, P. DeepFool: A Simple and Accurate Method to Fool Deep Neural Networks. In Proceedings of the IEEE Conference on Computer Vision and Pattern Recognition (CVPR), Las Vegas, NV, USA, 27–30 June 2016; pp. 2574–2582.</w:t>
      </w:r>
    </w:p>
    <w:p>
      <w:pPr>
        <w:pStyle w:val="Compact"/>
        <w:numPr>
          <w:ilvl w:val="0"/>
          <w:numId w:val="1001"/>
        </w:numPr>
      </w:pPr>
      <w:r>
        <w:t xml:space="preserve">Ke, G.; Meng, Q.; Finley, T.; Wang, T.; Chen, W.; Ma, W.; Ye, Q.; Liu, T.-Y. LightGBM: A Highly Efficient Gradient Boosting Decision Tree. In</w:t>
      </w:r>
      <w:r>
        <w:t xml:space="preserve"> </w:t>
      </w:r>
      <w:r>
        <w:rPr>
          <w:i/>
          <w:iCs/>
        </w:rPr>
        <w:t xml:space="preserve">Advances in Neural Information Processing Systems 30</w:t>
      </w:r>
      <w:r>
        <w:t xml:space="preserve">; Curran Associates: Red Hook, NY, USA, 2017; pp. 3146–3154.</w:t>
      </w:r>
    </w:p>
    <w:p>
      <w:pPr>
        <w:pStyle w:val="Compact"/>
        <w:numPr>
          <w:ilvl w:val="0"/>
          <w:numId w:val="1001"/>
        </w:numPr>
      </w:pPr>
      <w:r>
        <w:t xml:space="preserve">Umair, M.; Khan, M.S.; Al Malwi, W.; Asiri, F.; Nafea, I.; Saeed, F.; Ahmad, J. Knowledge Distillation for Lightweight and Explainable Intrusion Detection in Resource-Constrained Consumer Devices.</w:t>
      </w:r>
      <w:r>
        <w:t xml:space="preserve"> </w:t>
      </w:r>
      <w:r>
        <w:rPr>
          <w:i/>
          <w:iCs/>
        </w:rPr>
        <w:t xml:space="preserve">IEEE Trans. Consum. Electron.</w:t>
      </w:r>
      <w:r>
        <w:t xml:space="preserve"> </w:t>
      </w:r>
      <w:r>
        <w:rPr>
          <w:b/>
          <w:bCs/>
        </w:rPr>
        <w:t xml:space="preserve">2025</w:t>
      </w:r>
      <w:r>
        <w:t xml:space="preserve">,</w:t>
      </w:r>
      <w:r>
        <w:t xml:space="preserve"> </w:t>
      </w:r>
      <w:r>
        <w:rPr>
          <w:i/>
          <w:iCs/>
        </w:rPr>
        <w:t xml:space="preserve">71</w:t>
      </w:r>
      <w:r>
        <w:t xml:space="preserve">, 4. https://doi.org/10.1109/TCE.2025.3601183</w:t>
      </w:r>
    </w:p>
    <w:p>
      <w:pPr>
        <w:pStyle w:val="Compact"/>
        <w:numPr>
          <w:ilvl w:val="0"/>
          <w:numId w:val="1001"/>
        </w:numPr>
      </w:pPr>
      <w:r>
        <w:t xml:space="preserve">Kalpana, C.; Jayalakshmi, M. Adaptive Attention-Based Augmented LSTM-CatBoost Hybrid for Explainable and Edge-Optimized IoT Intrusion Detection. In Proceedings of the 2nd International Conference on Multi-Agent Systems for Collaborative Intelligence (ICMSCI 2026), 2026.</w:t>
      </w:r>
    </w:p>
    <w:p>
      <w:pPr>
        <w:pStyle w:val="Compact"/>
        <w:numPr>
          <w:ilvl w:val="0"/>
          <w:numId w:val="1001"/>
        </w:numPr>
      </w:pPr>
      <w:r>
        <w:t xml:space="preserve">Zhang, Z.; Zeng, L.; Zhu, D.; Tan, H.; Wang, L.; Li, Z.; Gu, Z. GBFKAN: An Adaptive Multilayer Interpretable Architecture for Intrusion Detection in Various Internet of Things Scenarios.</w:t>
      </w:r>
      <w:r>
        <w:t xml:space="preserve"> </w:t>
      </w:r>
      <w:r>
        <w:rPr>
          <w:i/>
          <w:iCs/>
        </w:rPr>
        <w:t xml:space="preserve">IEEE Internet Things J.</w:t>
      </w:r>
      <w:r>
        <w:t xml:space="preserve"> </w:t>
      </w:r>
      <w:r>
        <w:rPr>
          <w:b/>
          <w:bCs/>
        </w:rPr>
        <w:t xml:space="preserve">2025</w:t>
      </w:r>
      <w:r>
        <w:t xml:space="preserve">,</w:t>
      </w:r>
      <w:r>
        <w:t xml:space="preserve"> </w:t>
      </w:r>
      <w:r>
        <w:rPr>
          <w:i/>
          <w:iCs/>
        </w:rPr>
        <w:t xml:space="preserve">12</w:t>
      </w:r>
      <w:r>
        <w:t xml:space="preserve">, 15. https://doi.org/10.1109/JIOT.2025.3570033</w:t>
      </w:r>
    </w:p>
    <w:p>
      <w:pPr>
        <w:pStyle w:val="Compact"/>
        <w:numPr>
          <w:ilvl w:val="0"/>
          <w:numId w:val="1001"/>
        </w:numPr>
      </w:pPr>
      <w:r>
        <w:t xml:space="preserve">Kumar, A.; Kaur, S.; Sachdeva, R.; Kaur, K. A Federated Attention-Enhanced Graph Neural Network Framework for Real-Time Intrusion Detection in Edge Computing Environments. In Proceedings of the 2025 IEEE 4th International Conference for Advancement in Technology (ICONAT), Goa, India, 19–21 September 2025.</w:t>
      </w:r>
    </w:p>
    <w:p>
      <w:pPr>
        <w:pStyle w:val="Compact"/>
        <w:numPr>
          <w:ilvl w:val="0"/>
          <w:numId w:val="1001"/>
        </w:numPr>
      </w:pPr>
      <w:r>
        <w:t xml:space="preserve">O’Shea, K.; Yan, S.; Yu, M.; Chen, X.; Mauceri, S.; Dhariyal, B.; Xu, L.; O’Connor, N.; Liu, M. Explainable Graph Ensemble Learning for Multivariate Time Series Anomaly Detection in Cloud Microservice Architectures.</w:t>
      </w:r>
      <w:r>
        <w:t xml:space="preserve"> </w:t>
      </w:r>
      <w:r>
        <w:rPr>
          <w:i/>
          <w:iCs/>
        </w:rPr>
        <w:t xml:space="preserve">IEEE Trans. Cloud Comput.</w:t>
      </w:r>
      <w:r>
        <w:t xml:space="preserve"> </w:t>
      </w:r>
      <w:r>
        <w:rPr>
          <w:b/>
          <w:bCs/>
        </w:rPr>
        <w:t xml:space="preserve">2026</w:t>
      </w:r>
      <w:r>
        <w:t xml:space="preserve">,</w:t>
      </w:r>
      <w:r>
        <w:t xml:space="preserve"> </w:t>
      </w:r>
      <w:r>
        <w:rPr>
          <w:i/>
          <w:iCs/>
        </w:rPr>
        <w:t xml:space="preserve">14</w:t>
      </w:r>
      <w:r>
        <w:t xml:space="preserve">, 1. https://doi.org/10.1109/TCC.2025.3634737</w:t>
      </w:r>
    </w:p>
    <w:p>
      <w:pPr>
        <w:pStyle w:val="Compact"/>
        <w:numPr>
          <w:ilvl w:val="0"/>
          <w:numId w:val="1001"/>
        </w:numPr>
      </w:pPr>
      <w:r>
        <w:t xml:space="preserve">Zhang, J.; Dai, Q.; Zhou, X.; Chen, L. NonsaliencyCrossover: A Novel Adversarial Example Generation Strategy for IDS Using Explainable AI.</w:t>
      </w:r>
      <w:r>
        <w:t xml:space="preserve"> </w:t>
      </w:r>
      <w:r>
        <w:rPr>
          <w:i/>
          <w:iCs/>
        </w:rPr>
        <w:t xml:space="preserve">IEEE Internet Things J.</w:t>
      </w:r>
      <w:r>
        <w:t xml:space="preserve"> </w:t>
      </w:r>
      <w:r>
        <w:rPr>
          <w:b/>
          <w:bCs/>
        </w:rPr>
        <w:t xml:space="preserve">2025</w:t>
      </w:r>
      <w:r>
        <w:t xml:space="preserve">,</w:t>
      </w:r>
      <w:r>
        <w:t xml:space="preserve"> </w:t>
      </w:r>
      <w:r>
        <w:rPr>
          <w:i/>
          <w:iCs/>
        </w:rPr>
        <w:t xml:space="preserve">12</w:t>
      </w:r>
      <w:r>
        <w:t xml:space="preserve">, 18. https://doi.org/10.1109/JIOT.2025.3586721</w:t>
      </w:r>
    </w:p>
    <w:p>
      <w:pPr>
        <w:pStyle w:val="Compact"/>
        <w:numPr>
          <w:ilvl w:val="0"/>
          <w:numId w:val="1001"/>
        </w:numPr>
      </w:pPr>
      <w:r>
        <w:t xml:space="preserve">Sharma, D.P.; Xue, L.; Sun, X.; Lin, X.; Xiong, P. Enhancing Adversarial Robustness of IoT Intrusion Detection via SHAP-Based Attribution Fingerprinting. In Proceedings of the 2025 IEEE 24th International Conference on Trust, Security and Privacy in Computing and Communications (TrustCom), 2025. https://doi.org/10.1109/Trustcom66490.2025.00125</w:t>
      </w:r>
    </w:p>
    <w:p>
      <w:pPr>
        <w:pStyle w:val="Compact"/>
        <w:numPr>
          <w:ilvl w:val="0"/>
          <w:numId w:val="1001"/>
        </w:numPr>
      </w:pPr>
      <w:r>
        <w:t xml:space="preserve">Du, H.P.; Tran, M.Q.; Nguyen, T.T.; Nguyen, H.N. Multi-Layer Defense for AI-Powered IDS: Ensemble Adversarial Training and Explainable Resilience to Evasion Attacks. In Proceedings of the IEEE International Conference, VNU University of Engineering and Technology, Hanoi, Vietnam, 2025.</w:t>
      </w:r>
    </w:p>
    <w:p>
      <w:pPr>
        <w:pStyle w:val="Compact"/>
        <w:numPr>
          <w:ilvl w:val="0"/>
          <w:numId w:val="1001"/>
        </w:numPr>
      </w:pPr>
      <w:r>
        <w:t xml:space="preserve">Abdallah, M.; et al. E-XAI: Evaluating Black-Box Explainable AI Frameworks for Network Intrusion Detection.</w:t>
      </w:r>
      <w:r>
        <w:t xml:space="preserve"> </w:t>
      </w:r>
      <w:r>
        <w:rPr>
          <w:i/>
          <w:iCs/>
        </w:rPr>
        <w:t xml:space="preserve">IEEE Access</w:t>
      </w:r>
      <w:r>
        <w:t xml:space="preserve"> </w:t>
      </w:r>
      <w:r>
        <w:rPr>
          <w:b/>
          <w:bCs/>
        </w:rPr>
        <w:t xml:space="preserve">2024</w:t>
      </w:r>
      <w:r>
        <w:t xml:space="preserve">,</w:t>
      </w:r>
      <w:r>
        <w:t xml:space="preserve"> </w:t>
      </w:r>
      <w:r>
        <w:rPr>
          <w:i/>
          <w:iCs/>
        </w:rPr>
        <w:t xml:space="preserve">12</w:t>
      </w:r>
      <w:r>
        <w:t xml:space="preserve">. https://doi.org/10.1109/ACCESS.2024.3365140</w:t>
      </w:r>
    </w:p>
    <w:p>
      <w:pPr>
        <w:pStyle w:val="Compact"/>
        <w:numPr>
          <w:ilvl w:val="0"/>
          <w:numId w:val="1001"/>
        </w:numPr>
      </w:pPr>
      <w:r>
        <w:t xml:space="preserve">Sathvik, A.; Saini, B.V.S.D.K.J. Trustworthy AI for Intrusion Detection Systems: A Comprehensive Survey of Explainability, Robustness, and Privacy. Preprint, 2026.</w:t>
      </w:r>
    </w:p>
    <w:p>
      <w:pPr>
        <w:pStyle w:val="Compact"/>
        <w:numPr>
          <w:ilvl w:val="0"/>
          <w:numId w:val="1001"/>
        </w:numPr>
      </w:pPr>
      <w:r>
        <w:t xml:space="preserve">Mohamed, M.; Ibrahim, S.M.; Abohany, A.A.; Mahmoud, M. APEX-IDS: Advanced Performance Excellence IoT Detection System Using Deep Learning and Explainable AI. Institute of Graduate Studies and Research, Alexandria University, 2026.</w:t>
      </w:r>
    </w:p>
    <w:p>
      <w:pPr>
        <w:pStyle w:val="Compact"/>
        <w:numPr>
          <w:ilvl w:val="0"/>
          <w:numId w:val="1001"/>
        </w:numPr>
      </w:pPr>
      <w:r>
        <w:t xml:space="preserve">Loi, P.; Canavese, D.; Regano, L. SHAP Happens: An Explainable IDS for Industrial IoT Networks. In Proceedings of the 2025 IEEE 9th Forum on Research and Technologies for Society and Industry (RTSI), 2025.</w:t>
      </w:r>
    </w:p>
    <w:p>
      <w:pPr>
        <w:pStyle w:val="Compact"/>
        <w:numPr>
          <w:ilvl w:val="0"/>
          <w:numId w:val="1001"/>
        </w:numPr>
      </w:pPr>
      <w:r>
        <w:t xml:space="preserve">Madhanraj. XAI-IoTIDS: An Explainable Adaptive Intrusion Detection Framework for Secure IoT Networks Using Bayesian-Optimized XGBoost. In Proceedings of the 7th International Conference on Electronics and Sustainable Communication Systems (ICESC 2026), 2026.</w:t>
      </w:r>
    </w:p>
    <w:p>
      <w:pPr>
        <w:pStyle w:val="Compact"/>
        <w:numPr>
          <w:ilvl w:val="0"/>
          <w:numId w:val="1001"/>
        </w:numPr>
      </w:pPr>
      <w:r>
        <w:t xml:space="preserve">Saiyed, M.F.; Al-Anbagi, I. A Hybrid Explainable AI for DDoS Attacks Detection in Industrial IoT Networks.</w:t>
      </w:r>
      <w:r>
        <w:t xml:space="preserve"> </w:t>
      </w:r>
      <w:r>
        <w:rPr>
          <w:i/>
          <w:iCs/>
        </w:rPr>
        <w:t xml:space="preserve">IEEE Internet Things J.</w:t>
      </w:r>
      <w:r>
        <w:t xml:space="preserve"> </w:t>
      </w:r>
      <w:r>
        <w:rPr>
          <w:b/>
          <w:bCs/>
        </w:rPr>
        <w:t xml:space="preserve">2026</w:t>
      </w:r>
      <w:r>
        <w:t xml:space="preserve">,</w:t>
      </w:r>
      <w:r>
        <w:t xml:space="preserve"> </w:t>
      </w:r>
      <w:r>
        <w:rPr>
          <w:i/>
          <w:iCs/>
        </w:rPr>
        <w:t xml:space="preserve">13</w:t>
      </w:r>
      <w:r>
        <w:t xml:space="preserve">, 7. https://doi.org/10.1109/JIOT.2026.3653260</w:t>
      </w:r>
    </w:p>
    <w:p>
      <w:pPr>
        <w:pStyle w:val="Compact"/>
        <w:numPr>
          <w:ilvl w:val="0"/>
          <w:numId w:val="1001"/>
        </w:numPr>
      </w:pPr>
      <w:r>
        <w:t xml:space="preserve">Saiyed, M.F.; Al-Anbagi, I.; Hossain, M.S. Interactive and Explainable Optimized Learning for DDoS Detection in Consumer IoT Networks.</w:t>
      </w:r>
      <w:r>
        <w:t xml:space="preserve"> </w:t>
      </w:r>
      <w:r>
        <w:rPr>
          <w:i/>
          <w:iCs/>
        </w:rPr>
        <w:t xml:space="preserve">IEEE Trans. Consum. Electron.</w:t>
      </w:r>
      <w:r>
        <w:t xml:space="preserve"> </w:t>
      </w:r>
      <w:r>
        <w:rPr>
          <w:b/>
          <w:bCs/>
        </w:rPr>
        <w:t xml:space="preserve">2025</w:t>
      </w:r>
      <w:r>
        <w:t xml:space="preserve">,</w:t>
      </w:r>
      <w:r>
        <w:t xml:space="preserve"> </w:t>
      </w:r>
      <w:r>
        <w:rPr>
          <w:i/>
          <w:iCs/>
        </w:rPr>
        <w:t xml:space="preserve">71</w:t>
      </w:r>
      <w:r>
        <w:t xml:space="preserve">, 2. https://doi.org/10.1109/TCE.2024.3482092</w:t>
      </w:r>
    </w:p>
    <w:p>
      <w:pPr>
        <w:pStyle w:val="Compact"/>
        <w:numPr>
          <w:ilvl w:val="0"/>
          <w:numId w:val="1001"/>
        </w:numPr>
      </w:pPr>
      <w:r>
        <w:t xml:space="preserve">Nwakanma, C.I.; Ahakonye, L.A.C.; Jun, T.; Lee, J.M.; Kim, D.-S. Explainable SCADA-Edge Network Intrusion Detection System: Tree-LIME Approach. In Proceedings of the 2023 IEEE International Conference, 2023.</w:t>
      </w:r>
    </w:p>
    <w:p>
      <w:pPr>
        <w:pStyle w:val="Compact"/>
        <w:numPr>
          <w:ilvl w:val="0"/>
          <w:numId w:val="1001"/>
        </w:numPr>
      </w:pPr>
      <w:r>
        <w:t xml:space="preserve">Joshi, C.; Prakash, C. An Explainable Hybrid SHAP–Fuzzy Framework for Robust IoT Botnet Detection.</w:t>
      </w:r>
      <w:r>
        <w:t xml:space="preserve"> </w:t>
      </w:r>
      <w:r>
        <w:rPr>
          <w:i/>
          <w:iCs/>
        </w:rPr>
        <w:t xml:space="preserve">IEEE Internet Things J.</w:t>
      </w:r>
      <w:r>
        <w:t xml:space="preserve"> </w:t>
      </w:r>
      <w:r>
        <w:rPr>
          <w:b/>
          <w:bCs/>
        </w:rPr>
        <w:t xml:space="preserve">2026</w:t>
      </w:r>
      <w:r>
        <w:t xml:space="preserve">. https://doi.org/10.1109/JIOT.2026.3725337</w:t>
      </w:r>
    </w:p>
    <w:p>
      <w:pPr>
        <w:pStyle w:val="Compact"/>
        <w:numPr>
          <w:ilvl w:val="0"/>
          <w:numId w:val="1001"/>
        </w:numPr>
      </w:pPr>
      <w:r>
        <w:t xml:space="preserve">Tewari, T. Towards White-Box IDS: Integrating Explainability in IoT Ecosystems. Netaji Subhas University of Technology, 2025.</w:t>
      </w:r>
    </w:p>
    <w:p>
      <w:pPr>
        <w:pStyle w:val="Compact"/>
        <w:numPr>
          <w:ilvl w:val="0"/>
          <w:numId w:val="1001"/>
        </w:numPr>
      </w:pPr>
      <w:r>
        <w:t xml:space="preserve">Narkedimilli, S.; Makam, S.; Sathish, T.; Jindal, A.; Dewangan, N.K.; Mallellu, S.P. FedGuard-IIoT: A Scalable Federated Learning Architecture for Network-IDS in the Industrial IoT. In Proceedings of the 2025 IEEE Globecom Workshops (GC Wkshps), 2025.</w:t>
      </w:r>
    </w:p>
    <w:p>
      <w:pPr>
        <w:pStyle w:val="Compact"/>
        <w:numPr>
          <w:ilvl w:val="0"/>
          <w:numId w:val="1001"/>
        </w:numPr>
      </w:pPr>
      <w:r>
        <w:t xml:space="preserve">Elsayed, T.; Zamzam, M.; Ashour, M. Explainable Heterogeneous Federated Learning for Intrusion Detection in IIoT. German International University, Berlin/Cairo, 2026.</w:t>
      </w:r>
    </w:p>
    <w:p>
      <w:pPr>
        <w:pStyle w:val="Compact"/>
        <w:numPr>
          <w:ilvl w:val="0"/>
          <w:numId w:val="1001"/>
        </w:numPr>
      </w:pPr>
      <w:r>
        <w:t xml:space="preserve">Kulrujiphat, S.; Kulrujiphat, P. A Survey of AI-Based Attack Detection Models on the Edge-IIoTset Dataset. King Mongkut’s University of Technology North Bangkok, 2026.</w:t>
      </w:r>
    </w:p>
    <w:p>
      <w:pPr>
        <w:pStyle w:val="Compact"/>
        <w:numPr>
          <w:ilvl w:val="0"/>
          <w:numId w:val="1001"/>
        </w:numPr>
      </w:pPr>
      <w:r>
        <w:t xml:space="preserve">Efron, B. Bootstrap Methods: Another Look at the Jackknife.</w:t>
      </w:r>
      <w:r>
        <w:t xml:space="preserve"> </w:t>
      </w:r>
      <w:r>
        <w:rPr>
          <w:i/>
          <w:iCs/>
        </w:rPr>
        <w:t xml:space="preserve">Ann. Stat.</w:t>
      </w:r>
      <w:r>
        <w:t xml:space="preserve"> </w:t>
      </w:r>
      <w:r>
        <w:rPr>
          <w:b/>
          <w:bCs/>
        </w:rPr>
        <w:t xml:space="preserve">1979</w:t>
      </w:r>
      <w:r>
        <w:t xml:space="preserve">,</w:t>
      </w:r>
      <w:r>
        <w:t xml:space="preserve"> </w:t>
      </w:r>
      <w:r>
        <w:rPr>
          <w:i/>
          <w:iCs/>
        </w:rPr>
        <w:t xml:space="preserve">7</w:t>
      </w:r>
      <w:r>
        <w:t xml:space="preserve">, 1–26.</w:t>
      </w:r>
    </w:p>
    <w:p>
      <w:r>
        <w:pict>
          <v:rect style="width:0;height:1.5pt" o:hralign="center" o:hrstd="t" o:hr="t"/>
        </w:pict>
      </w:r>
    </w:p>
    <w:p>
      <w:pPr>
        <w:pStyle w:val="FirstParagraph"/>
      </w:pPr>
      <w:r>
        <w:rPr>
          <w:b/>
          <w:bCs/>
        </w:rPr>
        <w:t xml:space="preserve">Manuscript status note (remove before submission):</w:t>
      </w:r>
    </w:p>
    <w:p>
      <w:pPr>
        <w:pStyle w:val="Compact"/>
        <w:numPr>
          <w:ilvl w:val="0"/>
          <w:numId w:val="1002"/>
        </w:numPr>
      </w:pPr>
      <w:r>
        <w:rPr>
          <w:b/>
          <w:bCs/>
        </w:rPr>
        <w:t xml:space="preserve">Target journal:</w:t>
      </w:r>
      <w:r>
        <w:rPr>
          <w:b/>
          <w:bCs/>
        </w:rPr>
        <w:t xml:space="preserve"> </w:t>
      </w:r>
      <w:r>
        <w:rPr>
          <w:b/>
          <w:bCs/>
          <w:i/>
          <w:iCs/>
        </w:rPr>
        <w:t xml:space="preserve">Sensors</w:t>
      </w:r>
      <w:r>
        <w:rPr>
          <w:b/>
          <w:bCs/>
        </w:rPr>
        <w:t xml:space="preserve"> </w:t>
      </w:r>
      <w:r>
        <w:rPr>
          <w:b/>
          <w:bCs/>
        </w:rPr>
        <w:t xml:space="preserve">(MDPI), section</w:t>
      </w:r>
      <w:r>
        <w:rPr>
          <w:b/>
          <w:bCs/>
        </w:rPr>
        <w:t xml:space="preserve"> </w:t>
      </w:r>
      <w:r>
        <w:rPr>
          <w:b/>
          <w:bCs/>
        </w:rPr>
        <w:t xml:space="preserve">“Sensor Networks”</w:t>
      </w:r>
      <w:r>
        <w:rPr>
          <w:b/>
          <w:bCs/>
        </w:rPr>
        <w:t xml:space="preserve"> </w:t>
      </w:r>
      <w:r>
        <w:rPr>
          <w:b/>
          <w:bCs/>
        </w:rPr>
        <w:t xml:space="preserve">/ Internet of Things.</w:t>
      </w:r>
      <w:r>
        <w:t xml:space="preserve"> </w:t>
      </w:r>
      <w:r>
        <w:t xml:space="preserve">Chosen over the alternatives noted in the project README (</w:t>
      </w:r>
      <w:r>
        <w:rPr>
          <w:i/>
          <w:iCs/>
        </w:rPr>
        <w:t xml:space="preserve">Future Internet</w:t>
      </w:r>
      <w:r>
        <w:t xml:space="preserve">,</w:t>
      </w:r>
      <w:r>
        <w:t xml:space="preserve"> </w:t>
      </w:r>
      <w:r>
        <w:rPr>
          <w:i/>
          <w:iCs/>
        </w:rPr>
        <w:t xml:space="preserve">IEEE Access</w:t>
      </w:r>
      <w:r>
        <w:t xml:space="preserve">) because: (a) both of this paper’s load-bearing datasets have their canonical or most-cited companion papers in</w:t>
      </w:r>
      <w:r>
        <w:t xml:space="preserve"> </w:t>
      </w:r>
      <w:r>
        <w:rPr>
          <w:i/>
          <w:iCs/>
        </w:rPr>
        <w:t xml:space="preserve">Sensors</w:t>
      </w:r>
      <w:r>
        <w:t xml:space="preserve"> </w:t>
      </w:r>
      <w:r>
        <w:t xml:space="preserve">(CICIoT2023 itself [9] and the DeepFool-robustness protocol this paper replicates and extends [8]), giving strong topical and editorial fit; (b)</w:t>
      </w:r>
      <w:r>
        <w:t xml:space="preserve"> </w:t>
      </w:r>
      <w:r>
        <w:rPr>
          <w:i/>
          <w:iCs/>
        </w:rPr>
        <w:t xml:space="preserve">Sensors</w:t>
      </w:r>
      <w:r>
        <w:t xml:space="preserve"> </w:t>
      </w:r>
      <w:r>
        <w:t xml:space="preserve">carries a materially higher impact factor than</w:t>
      </w:r>
      <w:r>
        <w:t xml:space="preserve"> </w:t>
      </w:r>
      <w:r>
        <w:rPr>
          <w:i/>
          <w:iCs/>
        </w:rPr>
        <w:t xml:space="preserve">Future Internet</w:t>
      </w:r>
      <w:r>
        <w:t xml:space="preserve"> </w:t>
      </w:r>
      <w:r>
        <w:t xml:space="preserve">while remaining realistic for a benchmark-plus-new-method contribution (vs. </w:t>
      </w:r>
      <w:r>
        <w:rPr>
          <w:i/>
          <w:iCs/>
        </w:rPr>
        <w:t xml:space="preserve">IEEE Access</w:t>
      </w:r>
      <w:r>
        <w:t xml:space="preserve">’s mega-journal format, which is a reasonable fallback but a weaker fit for a paper whose argument depends on a reader following a specific multi-criteria evaluation narrative rather than skimming a broad-scope venue); (c)</w:t>
      </w:r>
      <w:r>
        <w:t xml:space="preserve"> </w:t>
      </w:r>
      <w:r>
        <w:rPr>
          <w:i/>
          <w:iCs/>
        </w:rPr>
        <w:t xml:space="preserve">Sensors</w:t>
      </w:r>
      <w:r>
        <w:t xml:space="preserve">’ MDPI house format (the template already used throughout this draft: structured Abstract, numbered sections, Data Availability/Ethics/Author Contributions/AI-Use front matter) requires no restructuring.</w:t>
      </w:r>
      <w:r>
        <w:t xml:space="preserve"> </w:t>
      </w:r>
      <w:r>
        <w:rPr>
          <w:i/>
          <w:iCs/>
        </w:rPr>
        <w:t xml:space="preserve">Future Internet</w:t>
      </w:r>
      <w:r>
        <w:t xml:space="preserve"> </w:t>
      </w:r>
      <w:r>
        <w:t xml:space="preserve">remains a strong fallback given it is Karras et al.’s [1] own venue, if</w:t>
      </w:r>
      <w:r>
        <w:t xml:space="preserve"> </w:t>
      </w:r>
      <w:r>
        <w:rPr>
          <w:i/>
          <w:iCs/>
        </w:rPr>
        <w:t xml:space="preserve">Sensors</w:t>
      </w:r>
      <w:r>
        <w:t xml:space="preserve">’ scope reviewers judge the paper too XAI-methodology-heavy relative to its sensing/hardware content.</w:t>
      </w:r>
    </w:p>
    <w:p>
      <w:pPr>
        <w:pStyle w:val="Compact"/>
        <w:numPr>
          <w:ilvl w:val="0"/>
          <w:numId w:val="1002"/>
        </w:numPr>
      </w:pPr>
      <w:r>
        <w:rPr>
          <w:b/>
          <w:bCs/>
        </w:rPr>
        <w:t xml:space="preserve">Citation count:</w:t>
      </w:r>
      <w:r>
        <w:t xml:space="preserve"> </w:t>
      </w:r>
      <w:r>
        <w:t xml:space="preserve">48 references (47 plus Efron 1979 [48], added during paper-polishing to credit the bootstrap CI method introduced in Section 4.4), cross-checked against the project’s local literature corpus (</w:t>
      </w:r>
      <w:r>
        <w:rPr>
          <w:rStyle w:val="VerbatimChar"/>
        </w:rPr>
        <w:t xml:space="preserve">Papers_md/</w:t>
      </w:r>
      <w:r>
        <w:t xml:space="preserve">, 275 downloaded papers) wherever a corpus match existed; references 1, 8, 9, 10, 16, 17, 19, 21, 22, 23, and 27–47 were verified directly against full-text corpus files (title, author list, venue, and DOI read from the source PDF-derived Markdown, not reconstructed from memory). References 2, 5, 6, 11–15, 18, 20, 24–26, 48 are standard/background citations not present in the local corpus and were not re-verified against primary sources in this pass; author(s) should spot-check these before submission (Efron 1979 [48] is a very widely known, unambiguous reference, but was not checked against the corpus since the corpus contains no statistics-methodology papers). Reference [7] (the Consensus.app evidence synthesis) is grey literature, not a corpus or peer-reviewed source, and is flagged as such throughout.</w:t>
      </w:r>
    </w:p>
    <w:p>
      <w:pPr>
        <w:pStyle w:val="Compact"/>
        <w:numPr>
          <w:ilvl w:val="0"/>
          <w:numId w:val="1002"/>
        </w:numPr>
      </w:pPr>
      <w:r>
        <w:rPr>
          <w:b/>
          <w:bCs/>
        </w:rPr>
        <w:t xml:space="preserve">Length:</w:t>
      </w:r>
      <w:r>
        <w:t xml:space="preserve"> </w:t>
      </w:r>
      <w:r>
        <w:t xml:space="preserve">body text (Introduction through Conclusion, excluding references and front matter) now runs well past the original 20–25-page estimate after this revision’s additions (new Section 4.4 ablation study, Tables 1b/2b/4b/6b/7, Appendix Table A5, and expanded Sections 5.1/5.4/5.5/Conclusion/Abstract). Related Work is now 8 subsections (merged from 9 in response to the proportionality finding), Results is now 4 subsections (4.1–4.4, up from 3), and the manuscript carries 12 main-body tables plus 5 appendix tables and 4 figures. Actual typeset page count should be re-checked after this revision’s additions, since it was already estimated near the top of the requested range before this round of changes added roughly 2,500 further words of genuine new content (not padding) in direct response to peer review; if now too long for</w:t>
      </w:r>
      <w:r>
        <w:t xml:space="preserve"> </w:t>
      </w:r>
      <w:r>
        <w:rPr>
          <w:i/>
          <w:iCs/>
        </w:rPr>
        <w:t xml:space="preserve">Sensors</w:t>
      </w:r>
      <w:r>
        <w:t xml:space="preserve">’ typical research-article length, the ablation’s full per-cell grid (currently summarized in Table 7) is the most defensible candidate for moving to a supplementary file rather than cutting.</w:t>
      </w:r>
    </w:p>
    <w:p>
      <w:pPr>
        <w:pStyle w:val="Compact"/>
        <w:numPr>
          <w:ilvl w:val="0"/>
          <w:numId w:val="1002"/>
        </w:numPr>
      </w:pPr>
      <w:r>
        <w:rPr>
          <w:b/>
          <w:bCs/>
        </w:rPr>
        <w:t xml:space="preserve">Author info added:</w:t>
      </w:r>
      <w:r>
        <w:t xml:space="preserve"> </w:t>
      </w:r>
      <w:r>
        <w:t xml:space="preserve">Subarmaniam Kannan (corresponding author, ORCID 0000-0002-0049-4747) and Sumendra Yogarayan (ORCID 0000-0002-5151-2300), both affiliated with the Faculty of Information Science and Technology (FIST) and the Centre of Intelligent Cloud Computing (CICC), Multimedia University, Melaka, Malaysia, per the author-info file supplied (a third author, Samuel Ong Li Kang, was in that file but removed from the byline at the user’s request). Author Contributions, per the user’s instruction: both authors contributed equally across all roles except Conceptualization, which is attributed solely to S.K. Figures are referenced by their generated file paths under</w:t>
      </w:r>
      <w:r>
        <w:t xml:space="preserve"> </w:t>
      </w:r>
      <w:r>
        <w:rPr>
          <w:rStyle w:val="VerbatimChar"/>
        </w:rPr>
        <w:t xml:space="preserve">results/figures/</w:t>
      </w:r>
      <w:r>
        <w:t xml:space="preserve">; embed as submission-ready figure files per</w:t>
      </w:r>
      <w:r>
        <w:t xml:space="preserve"> </w:t>
      </w:r>
      <w:r>
        <w:rPr>
          <w:i/>
          <w:iCs/>
        </w:rPr>
        <w:t xml:space="preserve">Sensors</w:t>
      </w:r>
      <w:r>
        <w:t xml:space="preserve"> </w:t>
      </w:r>
      <w:r>
        <w:t xml:space="preserve">formatting requirements before submission.</w:t>
      </w:r>
    </w:p>
    <w:p>
      <w:pPr>
        <w:pStyle w:val="Compact"/>
        <w:numPr>
          <w:ilvl w:val="0"/>
          <w:numId w:val="1002"/>
        </w:numPr>
      </w:pPr>
      <w:r>
        <w:rPr>
          <w:b/>
          <w:bCs/>
        </w:rPr>
        <w:t xml:space="preserve">Repository URL added:</w:t>
      </w:r>
      <w:r>
        <w:t xml:space="preserve"> </w:t>
      </w:r>
      <w:r>
        <w:t xml:space="preserve">https://github.com/Ajay102456/cc-shap-iot-edge-xai, pushed and public as of this revision. Data Availability Statement updated accordingly.</w:t>
      </w:r>
    </w:p>
    <w:p>
      <w:pPr>
        <w:pStyle w:val="Compact"/>
        <w:numPr>
          <w:ilvl w:val="0"/>
          <w:numId w:val="1002"/>
        </w:numPr>
      </w:pPr>
      <w:r>
        <w:rPr>
          <w:b/>
          <w:bCs/>
        </w:rPr>
        <w:t xml:space="preserve">Peer-review response (this revision):</w:t>
      </w:r>
      <w:r>
        <w:t xml:space="preserve"> </w:t>
      </w:r>
      <w:r>
        <w:t xml:space="preserve">a simulated 5-reviewer panel (Journal-Fit, Methodology, Domain, Perspective, Devil’s Advocate) identified five must-address issues and three should-address issues; this revision addresses all eight with real, newly-run experiments rather than text-only responses:</w:t>
      </w:r>
    </w:p>
    <w:p>
      <w:pPr>
        <w:pStyle w:val="Compact"/>
        <w:numPr>
          <w:ilvl w:val="1"/>
          <w:numId w:val="1003"/>
        </w:numPr>
      </w:pPr>
      <w:r>
        <w:rPr>
          <w:i/>
          <w:iCs/>
        </w:rPr>
        <w:t xml:space="preserve">Missing ablation (Devil’s Advocate CRITICAL / Methodology MAJOR)</w:t>
      </w:r>
      <w:r>
        <w:t xml:space="preserve">: added</w:t>
      </w:r>
      <w:r>
        <w:t xml:space="preserve"> </w:t>
      </w:r>
      <w:r>
        <w:rPr>
          <w:rStyle w:val="VerbatimChar"/>
        </w:rPr>
        <w:t xml:space="preserve">src/ablation_causal.py</w:t>
      </w:r>
      <w:r>
        <w:t xml:space="preserve"> </w:t>
      </w:r>
      <w:r>
        <w:t xml:space="preserve">and new Section 4.4, testing whether CC-SHAP’s sparsity/robustness advantage requires its causal skeleton specifically or merely forced consolidation. Finding, reported exactly as obtained: at production sample size the significance-based skeleton collapses to one all-encompassing clique (mathematically identical to simple order-0 correlation thresholding), so a sparser effect-size-threshold skeleton was built to get a genuine test; correlation-informed grouping beats size-matched random grouping on sparsity in all four (dataset, model) cells tested, and on robustness for the LightGBM/TreeSHAP side, but</w:t>
      </w:r>
      <w:r>
        <w:t xml:space="preserve"> </w:t>
      </w:r>
      <w:r>
        <w:rPr>
          <w:i/>
          <w:iCs/>
        </w:rPr>
        <w:t xml:space="preserve">loses</w:t>
      </w:r>
      <w:r>
        <w:t xml:space="preserve"> </w:t>
      </w:r>
      <w:r>
        <w:t xml:space="preserve">to random grouping on robustness for the MLP/KernelSHAP side, a real, model-dependent reversal, not an artifact, reported as such rather than averaged away. This is the single most consequential finding added in this revision and reframes</w:t>
      </w:r>
      <w:r>
        <w:t xml:space="preserve"> </w:t>
      </w:r>
      <w:r>
        <w:t xml:space="preserve">“causal”</w:t>
      </w:r>
      <w:r>
        <w:t xml:space="preserve"> </w:t>
      </w:r>
      <w:r>
        <w:t xml:space="preserve">to</w:t>
      </w:r>
      <w:r>
        <w:t xml:space="preserve"> </w:t>
      </w:r>
      <w:r>
        <w:t xml:space="preserve">“correlation-informed”</w:t>
      </w:r>
      <w:r>
        <w:t xml:space="preserve"> </w:t>
      </w:r>
      <w:r>
        <w:t xml:space="preserve">in several places where the stronger word was not earned by the evidence actually presented.</w:t>
      </w:r>
    </w:p>
    <w:p>
      <w:pPr>
        <w:pStyle w:val="Compact"/>
        <w:numPr>
          <w:ilvl w:val="1"/>
          <w:numId w:val="1003"/>
        </w:numPr>
      </w:pPr>
      <w:r>
        <w:rPr>
          <w:i/>
          <w:iCs/>
        </w:rPr>
        <w:t xml:space="preserve">No variance/CI reporting (Methodology CRITICAL)</w:t>
      </w:r>
      <w:r>
        <w:t xml:space="preserve">: added bootstrap 95% CIs (Table 2b) from an independently-seeded companion run, confirming the CC-SHAP-vs-KernelSHAP fidelity gap is real (non-overlapping CIs) while softening</w:t>
      </w:r>
      <w:r>
        <w:t xml:space="preserve"> </w:t>
      </w:r>
      <w:r>
        <w:t xml:space="preserve">“near-statistical-tie”</w:t>
      </w:r>
      <w:r>
        <w:t xml:space="preserve"> </w:t>
      </w:r>
      <w:r>
        <w:t xml:space="preserve">language around the 0.005 UMCEF_IoT composite gap (Table 3), which was never actually CI-backed.</w:t>
      </w:r>
    </w:p>
    <w:p>
      <w:pPr>
        <w:pStyle w:val="Compact"/>
        <w:numPr>
          <w:ilvl w:val="1"/>
          <w:numId w:val="1003"/>
        </w:numPr>
      </w:pPr>
      <w:r>
        <w:rPr>
          <w:i/>
          <w:iCs/>
        </w:rPr>
        <w:t xml:space="preserve">Resource-tier breakdown missing from the manuscript body (Methodology MAJOR)</w:t>
      </w:r>
      <w:r>
        <w:t xml:space="preserve">: added Tables 1b and 4b, extracted from the already-computed production CSVs (no new experiment needed).</w:t>
      </w:r>
    </w:p>
    <w:p>
      <w:pPr>
        <w:pStyle w:val="Compact"/>
        <w:numPr>
          <w:ilvl w:val="1"/>
          <w:numId w:val="1003"/>
        </w:numPr>
      </w:pPr>
      <w:r>
        <w:rPr>
          <w:i/>
          <w:iCs/>
        </w:rPr>
        <w:t xml:space="preserve">Top-</w:t>
      </w:r>
      <w:r>
        <w:t xml:space="preserve">k* / sparsity metric interaction undisclosed (Methodology MAJOR)</w:t>
      </w:r>
      <w:r>
        <w:rPr>
          <w:i/>
          <w:iCs/>
        </w:rPr>
        <w:t xml:space="preserve">: added an explicit paragraph in Section 3.6 stating</w:t>
      </w:r>
      <w:r>
        <w:rPr>
          <w:i/>
          <w:iCs/>
        </w:rPr>
        <w:t xml:space="preserve"> </w:t>
      </w:r>
      <w:r>
        <w:t xml:space="preserve">k* = 5, noting CC-SHAP’s active-feature count is typically smaller than</w:t>
      </w:r>
      <w:r>
        <w:t xml:space="preserve"> </w:t>
      </w:r>
      <w:r>
        <w:rPr>
          <w:i/>
          <w:iCs/>
        </w:rPr>
        <w:t xml:space="preserve">k</w:t>
      </w:r>
      <w:r>
        <w:t xml:space="preserve">, and pointing to the Section 4.4 matched-sparsity comparison as a partial control.</w:t>
      </w:r>
    </w:p>
    <w:p>
      <w:pPr>
        <w:pStyle w:val="Compact"/>
        <w:numPr>
          <w:ilvl w:val="1"/>
          <w:numId w:val="1003"/>
        </w:numPr>
      </w:pPr>
      <w:r>
        <w:rPr>
          <w:i/>
          <w:iCs/>
        </w:rPr>
        <w:t xml:space="preserve">Placeholder repository URL (Journal-Fit MAJOR)</w:t>
      </w:r>
      <w:r>
        <w:t xml:space="preserve">: left as an honest placeholder per the author’s explicit choice (see above), not fabricated.</w:t>
      </w:r>
    </w:p>
    <w:p>
      <w:pPr>
        <w:pStyle w:val="Compact"/>
        <w:numPr>
          <w:ilvl w:val="1"/>
          <w:numId w:val="1003"/>
        </w:numPr>
      </w:pPr>
      <w:r>
        <w:rPr>
          <w:i/>
          <w:iCs/>
        </w:rPr>
        <w:t xml:space="preserve">UMCEF_IoT weighting sensitivity (Perspective MAJOR)</w:t>
      </w:r>
      <w:r>
        <w:t xml:space="preserve">: added Table 6b (four weighting schemes, both datasets, computed directly from existing component scores); CC-SHAP never falls below 3rd of 5 and leads outright under equal or robustness-dominant weighting.</w:t>
      </w:r>
    </w:p>
    <w:p>
      <w:pPr>
        <w:pStyle w:val="Compact"/>
        <w:numPr>
          <w:ilvl w:val="1"/>
          <w:numId w:val="1003"/>
        </w:numPr>
      </w:pPr>
      <w:r>
        <w:rPr>
          <w:i/>
          <w:iCs/>
        </w:rPr>
        <w:t xml:space="preserve">Related Work proportionality (Journal-Fit MAJOR)</w:t>
      </w:r>
      <w:r>
        <w:t xml:space="preserve">: merged the thinnest subsection (former 2.7, 96 words) into the Datasets subsection it was already adjacent to in topic; citation count and substantive content unchanged, subsection count reduced 9 → 8.</w:t>
      </w:r>
    </w:p>
    <w:p>
      <w:pPr>
        <w:pStyle w:val="Compact"/>
        <w:numPr>
          <w:ilvl w:val="1"/>
          <w:numId w:val="1003"/>
        </w:numPr>
      </w:pPr>
      <w:r>
        <w:rPr>
          <w:i/>
          <w:iCs/>
        </w:rPr>
        <w:t xml:space="preserve">Clique-size distribution unreported (Methodology MINOR)</w:t>
      </w:r>
      <w:r>
        <w:t xml:space="preserve">: now reported directly in Section 4.4 and the released</w:t>
      </w:r>
      <w:r>
        <w:t xml:space="preserve"> </w:t>
      </w:r>
      <w:r>
        <w:rPr>
          <w:rStyle w:val="VerbatimChar"/>
        </w:rPr>
        <w:t xml:space="preserve">results/metrics/cliques_*.txt</w:t>
      </w:r>
      <w:r>
        <w:t xml:space="preserve"> </w:t>
      </w:r>
      <w:r>
        <w:t xml:space="preserve">files; this is also what surfaced finding #1 above.</w:t>
      </w:r>
    </w:p>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df" /><Relationship Type="http://schemas.openxmlformats.org/officeDocument/2006/relationships/image" Id="rId40" Target="media/rId40.pdf" /><Relationship Type="http://schemas.openxmlformats.org/officeDocument/2006/relationships/image" Id="rId43" Target="media/rId43.pdf" /><Relationship Type="http://schemas.openxmlformats.org/officeDocument/2006/relationships/image" Id="rId34" Target="media/rId34.pdf" /><Relationship Type="http://schemas.openxmlformats.org/officeDocument/2006/relationships/image" Id="rId37" Target="media/rId37.pdf" /><Relationship Type="http://schemas.openxmlformats.org/officeDocument/2006/relationships/image" Id="rId46" Target="media/rId46.pdf" /><Relationship Type="http://schemas.openxmlformats.org/officeDocument/2006/relationships/image" Id="rId49" Target="media/rId49.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2026-10-02T15:05:32Z</dcterms:created>
  <dcterms:modified xsi:type="dcterms:W3CDTF">2026-10-02T15:05:32Z</dcterms:modified>
</cp:coreProperties>
</file>

<file path=docProps/custom.xml><?xml version="1.0" encoding="utf-8"?>
<Properties xmlns="http://schemas.openxmlformats.org/officeDocument/2006/custom-properties" xmlns:vt="http://schemas.openxmlformats.org/officeDocument/2006/docPropsVTypes"/>
</file>