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Capstone Project</w:t>
      </w:r>
    </w:p>
    <w:p>
      <w:pPr>
        <w:pStyle w:val="Title"/>
      </w:pPr>
      <w:r>
        <w:t>nopCommerce Demo Store Testing Plan</w:t>
      </w:r>
    </w:p>
    <w:p>
      <w:pPr>
        <w:pStyle w:val="Subtitle"/>
      </w:pPr>
      <w:r>
        <w:t>Project scope document for QA automation testing using Playwright with JavaScript.</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376"/>
            <w:tcBorders>
              <w:top w:val="single" w:sz="6" w:space="0" w:color="B7C9DC"/>
              <w:left w:val="single" w:sz="6" w:space="0" w:color="B7C9DC"/>
              <w:bottom w:val="single" w:sz="6" w:space="0" w:color="B7C9DC"/>
              <w:right w:val="single" w:sz="6" w:space="0" w:color="B7C9DC"/>
            </w:tcBorders>
            <w:vAlign w:val="center"/>
            <w:shd w:fill="F2F4F7"/>
          </w:tcPr>
          <w:p>
            <w:r>
              <w:rPr>
                <w:b/>
              </w:rPr>
              <w:t>Project</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r>
              <w:t>Capstone project for e-commerce website testing</w:t>
            </w:r>
          </w:p>
        </w:tc>
      </w:tr>
      <w:tr>
        <w:tc>
          <w:tcPr>
            <w:tcW w:type="dxa" w:w="2376"/>
            <w:tcBorders>
              <w:top w:val="single" w:sz="6" w:space="0" w:color="B7C9DC"/>
              <w:left w:val="single" w:sz="6" w:space="0" w:color="B7C9DC"/>
              <w:bottom w:val="single" w:sz="6" w:space="0" w:color="B7C9DC"/>
              <w:right w:val="single" w:sz="6" w:space="0" w:color="B7C9DC"/>
            </w:tcBorders>
            <w:vAlign w:val="center"/>
            <w:shd w:fill="F2F4F7"/>
          </w:tcPr>
          <w:p>
            <w:r>
              <w:rPr>
                <w:b/>
              </w:rPr>
              <w:t>Selected website</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r>
              <w:t>nopCommerce demo store</w:t>
            </w:r>
          </w:p>
        </w:tc>
      </w:tr>
      <w:tr>
        <w:tc>
          <w:tcPr>
            <w:tcW w:type="dxa" w:w="2376"/>
            <w:tcBorders>
              <w:top w:val="single" w:sz="6" w:space="0" w:color="B7C9DC"/>
              <w:left w:val="single" w:sz="6" w:space="0" w:color="B7C9DC"/>
              <w:bottom w:val="single" w:sz="6" w:space="0" w:color="B7C9DC"/>
              <w:right w:val="single" w:sz="6" w:space="0" w:color="B7C9DC"/>
            </w:tcBorders>
            <w:vAlign w:val="center"/>
            <w:shd w:fill="F2F4F7"/>
          </w:tcPr>
          <w:p>
            <w:r>
              <w:rPr>
                <w:b/>
              </w:rPr>
              <w:t>Website URL</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r>
              <w:t>https://demo.nopcommerce.com/</w:t>
            </w:r>
          </w:p>
        </w:tc>
      </w:tr>
      <w:tr>
        <w:tc>
          <w:tcPr>
            <w:tcW w:type="dxa" w:w="2376"/>
            <w:tcBorders>
              <w:top w:val="single" w:sz="6" w:space="0" w:color="B7C9DC"/>
              <w:left w:val="single" w:sz="6" w:space="0" w:color="B7C9DC"/>
              <w:bottom w:val="single" w:sz="6" w:space="0" w:color="B7C9DC"/>
              <w:right w:val="single" w:sz="6" w:space="0" w:color="B7C9DC"/>
            </w:tcBorders>
            <w:vAlign w:val="center"/>
            <w:shd w:fill="F2F4F7"/>
          </w:tcPr>
          <w:p>
            <w:r>
              <w:rPr>
                <w:b/>
              </w:rPr>
              <w:t>Testing stack</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r>
              <w:t>Playwright with JavaScript</w:t>
            </w:r>
          </w:p>
        </w:tc>
      </w:tr>
      <w:tr>
        <w:tc>
          <w:tcPr>
            <w:tcW w:type="dxa" w:w="2376"/>
            <w:tcBorders>
              <w:top w:val="single" w:sz="6" w:space="0" w:color="B7C9DC"/>
              <w:left w:val="single" w:sz="6" w:space="0" w:color="B7C9DC"/>
              <w:bottom w:val="single" w:sz="6" w:space="0" w:color="B7C9DC"/>
              <w:right w:val="single" w:sz="6" w:space="0" w:color="B7C9DC"/>
            </w:tcBorders>
            <w:vAlign w:val="center"/>
            <w:shd w:fill="F2F4F7"/>
          </w:tcPr>
          <w:p>
            <w:r>
              <w:rPr>
                <w:b/>
              </w:rPr>
              <w:t>Capstone target</w:t>
            </w:r>
          </w:p>
        </w:tc>
        <w:tc>
          <w:tcPr>
            <w:tcW w:type="dxa" w:w="6984"/>
            <w:tcBorders>
              <w:top w:val="single" w:sz="6" w:space="0" w:color="B7C9DC"/>
              <w:left w:val="single" w:sz="6" w:space="0" w:color="B7C9DC"/>
              <w:bottom w:val="single" w:sz="6" w:space="0" w:color="B7C9DC"/>
              <w:right w:val="single" w:sz="6" w:space="0" w:color="B7C9DC"/>
            </w:tcBorders>
            <w:vAlign w:val="center"/>
            <w:shd w:fill="FFFFFF"/>
          </w:tcPr>
          <w:p>
            <w:r>
              <w:t>Minimum 8 services, 15 test cases per service, total 120 test cases</w:t>
            </w:r>
          </w:p>
        </w:tc>
      </w:tr>
    </w:tbl>
    <w:p/>
    <w:p>
      <w:pPr>
        <w:pStyle w:val="Heading1"/>
      </w:pPr>
      <w:r>
        <w:t>Project Objective</w:t>
      </w:r>
    </w:p>
    <w:p>
      <w:r>
        <w:t>The objective of this capstone project is to test a public e-commerce demo website from a QA perspective. The selected website is the nopCommerce demo store because it has realistic shopping flows, customer account features, product catalog pages, cart and checkout journeys, address handling, wishlist, compare, and customer support pages.</w:t>
      </w:r>
    </w:p>
    <w:p>
      <w:pPr>
        <w:pStyle w:val="Heading1"/>
      </w:pPr>
      <w:r>
        <w:t>Selected Website</w:t>
      </w:r>
    </w:p>
    <w:p>
      <w:r>
        <w:rPr>
          <w:b/>
        </w:rPr>
        <w:t xml:space="preserve">Website name: </w:t>
      </w:r>
      <w:r>
        <w:t>nopCommerce demo store</w:t>
      </w:r>
    </w:p>
    <w:p>
      <w:r>
        <w:t>URL: https://demo.nopcommerce.com/</w:t>
      </w:r>
    </w:p>
    <w:p>
      <w:r>
        <w:t>Reason for selection: The site is a public demo e-commerce application with enough functional areas to design at least 8 services and 120 total test cases. It also looks like a real shopping website, which is useful for a capstone presentation.</w:t>
      </w:r>
    </w:p>
    <w:p>
      <w:r>
        <w:br w:type="page"/>
      </w:r>
    </w:p>
    <w:p>
      <w:pPr>
        <w:pStyle w:val="Heading1"/>
      </w:pPr>
      <w:r>
        <w:t>Planned Services For Testing</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520"/>
            <w:tcBorders>
              <w:top w:val="single" w:sz="6" w:space="0" w:color="B7C9DC"/>
              <w:left w:val="single" w:sz="6" w:space="0" w:color="B7C9DC"/>
              <w:bottom w:val="single" w:sz="6" w:space="0" w:color="B7C9DC"/>
              <w:right w:val="single" w:sz="6" w:space="0" w:color="B7C9DC"/>
            </w:tcBorders>
            <w:vAlign w:val="center"/>
            <w:shd w:fill="E8EEF5"/>
          </w:tcPr>
          <w:p>
            <w:pPr>
              <w:spacing w:after="0"/>
            </w:pPr>
            <w:r>
              <w:rPr>
                <w:b/>
                <w:color w:val="14314E"/>
                <w:sz w:val="21"/>
              </w:rPr>
              <w:t>Service / Module</w:t>
            </w:r>
          </w:p>
        </w:tc>
        <w:tc>
          <w:tcPr>
            <w:tcW w:type="dxa" w:w="5688"/>
            <w:tcBorders>
              <w:top w:val="single" w:sz="6" w:space="0" w:color="B7C9DC"/>
              <w:left w:val="single" w:sz="6" w:space="0" w:color="B7C9DC"/>
              <w:bottom w:val="single" w:sz="6" w:space="0" w:color="B7C9DC"/>
              <w:right w:val="single" w:sz="6" w:space="0" w:color="B7C9DC"/>
            </w:tcBorders>
            <w:vAlign w:val="center"/>
            <w:shd w:fill="E8EEF5"/>
          </w:tcPr>
          <w:p>
            <w:pPr>
              <w:spacing w:after="0"/>
            </w:pPr>
            <w:r>
              <w:rPr>
                <w:b/>
                <w:color w:val="14314E"/>
                <w:sz w:val="21"/>
              </w:rPr>
              <w:t>What will be tested</w:t>
            </w:r>
          </w:p>
        </w:tc>
        <w:tc>
          <w:tcPr>
            <w:tcW w:type="dxa" w:w="1152"/>
            <w:tcBorders>
              <w:top w:val="single" w:sz="6" w:space="0" w:color="B7C9DC"/>
              <w:left w:val="single" w:sz="6" w:space="0" w:color="B7C9DC"/>
              <w:bottom w:val="single" w:sz="6" w:space="0" w:color="B7C9DC"/>
              <w:right w:val="single" w:sz="6" w:space="0" w:color="B7C9DC"/>
            </w:tcBorders>
            <w:vAlign w:val="center"/>
            <w:shd w:fill="E8EEF5"/>
          </w:tcPr>
          <w:p>
            <w:pPr>
              <w:spacing w:after="0"/>
            </w:pPr>
            <w:r>
              <w:rPr>
                <w:b/>
                <w:color w:val="14314E"/>
                <w:sz w:val="21"/>
              </w:rPr>
              <w:t>Planned count</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Registration and Authentication</w:t>
            </w:r>
          </w:p>
        </w:tc>
        <w:tc>
          <w:tcPr>
            <w:tcW w:type="dxa" w:w="5688"/>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Register, login, logout, incorrect credentials, required fields, email validation, and account session behavior.</w:t>
            </w:r>
          </w:p>
        </w:tc>
        <w:tc>
          <w:tcPr>
            <w:tcW w:type="dxa" w:w="1152"/>
            <w:tcBorders>
              <w:top w:val="single" w:sz="6" w:space="0" w:color="B7C9DC"/>
              <w:left w:val="single" w:sz="6" w:space="0" w:color="B7C9DC"/>
              <w:bottom w:val="single" w:sz="6" w:space="0" w:color="B7C9DC"/>
              <w:right w:val="single" w:sz="6" w:space="0" w:color="B7C9DC"/>
            </w:tcBorders>
            <w:vAlign w:val="center"/>
            <w:shd w:fill="FFFFFF"/>
          </w:tcPr>
          <w:p>
            <w:pPr>
              <w:spacing w:after="0"/>
              <w:jc w:val="center"/>
            </w:pPr>
            <w:r>
              <w:rPr>
                <w:sz w:val="21"/>
              </w:rPr>
              <w:t>15</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Product Catalog</w:t>
            </w:r>
          </w:p>
        </w:tc>
        <w:tc>
          <w:tcPr>
            <w:tcW w:type="dxa" w:w="5688"/>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Home page products, category pages, product details, prices, product images, availability, and product attributes.</w:t>
            </w:r>
          </w:p>
        </w:tc>
        <w:tc>
          <w:tcPr>
            <w:tcW w:type="dxa" w:w="1152"/>
            <w:tcBorders>
              <w:top w:val="single" w:sz="6" w:space="0" w:color="B7C9DC"/>
              <w:left w:val="single" w:sz="6" w:space="0" w:color="B7C9DC"/>
              <w:bottom w:val="single" w:sz="6" w:space="0" w:color="B7C9DC"/>
              <w:right w:val="single" w:sz="6" w:space="0" w:color="B7C9DC"/>
            </w:tcBorders>
            <w:vAlign w:val="center"/>
            <w:shd w:fill="FFFFFF"/>
          </w:tcPr>
          <w:p>
            <w:pPr>
              <w:spacing w:after="0"/>
              <w:jc w:val="center"/>
            </w:pPr>
            <w:r>
              <w:rPr>
                <w:sz w:val="21"/>
              </w:rPr>
              <w:t>15</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Search and Filters</w:t>
            </w:r>
          </w:p>
        </w:tc>
        <w:tc>
          <w:tcPr>
            <w:tcW w:type="dxa" w:w="5688"/>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Search box, search results, advanced search, sorting, paging, manufacturer filters, and empty-result behavior.</w:t>
            </w:r>
          </w:p>
        </w:tc>
        <w:tc>
          <w:tcPr>
            <w:tcW w:type="dxa" w:w="1152"/>
            <w:tcBorders>
              <w:top w:val="single" w:sz="6" w:space="0" w:color="B7C9DC"/>
              <w:left w:val="single" w:sz="6" w:space="0" w:color="B7C9DC"/>
              <w:bottom w:val="single" w:sz="6" w:space="0" w:color="B7C9DC"/>
              <w:right w:val="single" w:sz="6" w:space="0" w:color="B7C9DC"/>
            </w:tcBorders>
            <w:vAlign w:val="center"/>
            <w:shd w:fill="FFFFFF"/>
          </w:tcPr>
          <w:p>
            <w:pPr>
              <w:spacing w:after="0"/>
              <w:jc w:val="center"/>
            </w:pPr>
            <w:r>
              <w:rPr>
                <w:sz w:val="21"/>
              </w:rPr>
              <w:t>15</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Cart</w:t>
            </w:r>
          </w:p>
        </w:tc>
        <w:tc>
          <w:tcPr>
            <w:tcW w:type="dxa" w:w="5688"/>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Add to cart, update quantity, remove items, cart subtotal, terms checkbox, continue shopping, and cart persistence.</w:t>
            </w:r>
          </w:p>
        </w:tc>
        <w:tc>
          <w:tcPr>
            <w:tcW w:type="dxa" w:w="1152"/>
            <w:tcBorders>
              <w:top w:val="single" w:sz="6" w:space="0" w:color="B7C9DC"/>
              <w:left w:val="single" w:sz="6" w:space="0" w:color="B7C9DC"/>
              <w:bottom w:val="single" w:sz="6" w:space="0" w:color="B7C9DC"/>
              <w:right w:val="single" w:sz="6" w:space="0" w:color="B7C9DC"/>
            </w:tcBorders>
            <w:vAlign w:val="center"/>
            <w:shd w:fill="FFFFFF"/>
          </w:tcPr>
          <w:p>
            <w:pPr>
              <w:spacing w:after="0"/>
              <w:jc w:val="center"/>
            </w:pPr>
            <w:r>
              <w:rPr>
                <w:sz w:val="21"/>
              </w:rPr>
              <w:t>15</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Wishlist and Compare</w:t>
            </w:r>
          </w:p>
        </w:tc>
        <w:tc>
          <w:tcPr>
            <w:tcW w:type="dxa" w:w="5688"/>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Add to wishlist, remove wishlist item, wishlist quantity, email wishlist, add to compare, remove compare item, and compare table.</w:t>
            </w:r>
          </w:p>
        </w:tc>
        <w:tc>
          <w:tcPr>
            <w:tcW w:type="dxa" w:w="1152"/>
            <w:tcBorders>
              <w:top w:val="single" w:sz="6" w:space="0" w:color="B7C9DC"/>
              <w:left w:val="single" w:sz="6" w:space="0" w:color="B7C9DC"/>
              <w:bottom w:val="single" w:sz="6" w:space="0" w:color="B7C9DC"/>
              <w:right w:val="single" w:sz="6" w:space="0" w:color="B7C9DC"/>
            </w:tcBorders>
            <w:vAlign w:val="center"/>
            <w:shd w:fill="FFFFFF"/>
          </w:tcPr>
          <w:p>
            <w:pPr>
              <w:spacing w:after="0"/>
              <w:jc w:val="center"/>
            </w:pPr>
            <w:r>
              <w:rPr>
                <w:sz w:val="21"/>
              </w:rPr>
              <w:t>15</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Checkout and Payment</w:t>
            </w:r>
          </w:p>
        </w:tc>
        <w:tc>
          <w:tcPr>
            <w:tcW w:type="dxa" w:w="5688"/>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Guest checkout, registered checkout, billing step, shipping step, payment method, payment information, order review, and order confirmation.</w:t>
            </w:r>
          </w:p>
        </w:tc>
        <w:tc>
          <w:tcPr>
            <w:tcW w:type="dxa" w:w="1152"/>
            <w:tcBorders>
              <w:top w:val="single" w:sz="6" w:space="0" w:color="B7C9DC"/>
              <w:left w:val="single" w:sz="6" w:space="0" w:color="B7C9DC"/>
              <w:bottom w:val="single" w:sz="6" w:space="0" w:color="B7C9DC"/>
              <w:right w:val="single" w:sz="6" w:space="0" w:color="B7C9DC"/>
            </w:tcBorders>
            <w:vAlign w:val="center"/>
            <w:shd w:fill="FFFFFF"/>
          </w:tcPr>
          <w:p>
            <w:pPr>
              <w:spacing w:after="0"/>
              <w:jc w:val="center"/>
            </w:pPr>
            <w:r>
              <w:rPr>
                <w:sz w:val="21"/>
              </w:rPr>
              <w:t>15</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Address and Shipping</w:t>
            </w:r>
          </w:p>
        </w:tc>
        <w:tc>
          <w:tcPr>
            <w:tcW w:type="dxa" w:w="5688"/>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Billing address, shipping address, country/state selection, required address fields, shipping method, and address display during checkout.</w:t>
            </w:r>
          </w:p>
        </w:tc>
        <w:tc>
          <w:tcPr>
            <w:tcW w:type="dxa" w:w="1152"/>
            <w:tcBorders>
              <w:top w:val="single" w:sz="6" w:space="0" w:color="B7C9DC"/>
              <w:left w:val="single" w:sz="6" w:space="0" w:color="B7C9DC"/>
              <w:bottom w:val="single" w:sz="6" w:space="0" w:color="B7C9DC"/>
              <w:right w:val="single" w:sz="6" w:space="0" w:color="B7C9DC"/>
            </w:tcBorders>
            <w:vAlign w:val="center"/>
            <w:shd w:fill="FFFFFF"/>
          </w:tcPr>
          <w:p>
            <w:pPr>
              <w:spacing w:after="0"/>
              <w:jc w:val="center"/>
            </w:pPr>
            <w:r>
              <w:rPr>
                <w:sz w:val="21"/>
              </w:rPr>
              <w:t>15</w:t>
            </w:r>
          </w:p>
        </w:tc>
      </w:tr>
      <w:tr>
        <w:tc>
          <w:tcPr>
            <w:tcW w:type="dxa" w:w="2520"/>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Customer Support and Account</w:t>
            </w:r>
          </w:p>
        </w:tc>
        <w:tc>
          <w:tcPr>
            <w:tcW w:type="dxa" w:w="5688"/>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Contact Us form, My Account page, order history, downloadable products, reward points, change password, and account navigation.</w:t>
            </w:r>
          </w:p>
        </w:tc>
        <w:tc>
          <w:tcPr>
            <w:tcW w:type="dxa" w:w="1152"/>
            <w:tcBorders>
              <w:top w:val="single" w:sz="6" w:space="0" w:color="B7C9DC"/>
              <w:left w:val="single" w:sz="6" w:space="0" w:color="B7C9DC"/>
              <w:bottom w:val="single" w:sz="6" w:space="0" w:color="B7C9DC"/>
              <w:right w:val="single" w:sz="6" w:space="0" w:color="B7C9DC"/>
            </w:tcBorders>
            <w:vAlign w:val="center"/>
            <w:shd w:fill="FFFFFF"/>
          </w:tcPr>
          <w:p>
            <w:pPr>
              <w:spacing w:after="0"/>
              <w:jc w:val="center"/>
            </w:pPr>
            <w:r>
              <w:rPr>
                <w:sz w:val="21"/>
              </w:rPr>
              <w:t>15</w:t>
            </w:r>
          </w:p>
        </w:tc>
      </w:tr>
    </w:tbl>
    <w:p/>
    <w:p>
      <w:pPr>
        <w:pStyle w:val="Heading1"/>
      </w:pPr>
      <w:r>
        <w:t>Testing Approach</w:t>
      </w:r>
    </w:p>
    <w:p>
      <w:r>
        <w:t>The testing will focus on functional UI automation. Each service will include positive and negative scenarios, field validation checks, navigation checks, and assertions for expected page behavior.</w:t>
      </w:r>
    </w:p>
    <w:p>
      <w:pPr>
        <w:pStyle w:val="ListBullet"/>
      </w:pPr>
      <w:r>
        <w:t>Prepare 15 test cases for each selected service.</w:t>
      </w:r>
    </w:p>
    <w:p>
      <w:pPr>
        <w:pStyle w:val="ListBullet"/>
      </w:pPr>
      <w:r>
        <w:t>Use Playwright with JavaScript for browser automation.</w:t>
      </w:r>
    </w:p>
    <w:p>
      <w:pPr>
        <w:pStyle w:val="ListBullet"/>
      </w:pPr>
      <w:r>
        <w:t>Use dummy training data only and avoid real payment or personal data.</w:t>
      </w:r>
    </w:p>
    <w:p>
      <w:pPr>
        <w:pStyle w:val="ListBullet"/>
      </w:pPr>
      <w:r>
        <w:t>Create reusable test data for login, registration, cart, checkout, and address flows.</w:t>
      </w:r>
    </w:p>
    <w:p>
      <w:pPr>
        <w:pStyle w:val="ListBullet"/>
      </w:pPr>
      <w:r>
        <w:t>Generate execution evidence such as HTML report, screenshots, or traces as required.</w:t>
      </w:r>
    </w:p>
    <w:p>
      <w:pPr>
        <w:pStyle w:val="Heading1"/>
      </w:pPr>
      <w:r>
        <w:t>Tools And Deliverables</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088"/>
            <w:tcBorders>
              <w:top w:val="single" w:sz="6" w:space="0" w:color="B7C9DC"/>
              <w:left w:val="single" w:sz="6" w:space="0" w:color="B7C9DC"/>
              <w:bottom w:val="single" w:sz="6" w:space="0" w:color="B7C9DC"/>
              <w:right w:val="single" w:sz="6" w:space="0" w:color="B7C9DC"/>
            </w:tcBorders>
            <w:vAlign w:val="center"/>
            <w:shd w:fill="E8EEF5"/>
          </w:tcPr>
          <w:p>
            <w:pPr>
              <w:spacing w:after="0"/>
            </w:pPr>
            <w:r>
              <w:rPr>
                <w:b/>
                <w:color w:val="14314E"/>
                <w:sz w:val="21"/>
              </w:rPr>
              <w:t>Area</w:t>
            </w:r>
          </w:p>
        </w:tc>
        <w:tc>
          <w:tcPr>
            <w:tcW w:type="dxa" w:w="2952"/>
            <w:tcBorders>
              <w:top w:val="single" w:sz="6" w:space="0" w:color="B7C9DC"/>
              <w:left w:val="single" w:sz="6" w:space="0" w:color="B7C9DC"/>
              <w:bottom w:val="single" w:sz="6" w:space="0" w:color="B7C9DC"/>
              <w:right w:val="single" w:sz="6" w:space="0" w:color="B7C9DC"/>
            </w:tcBorders>
            <w:vAlign w:val="center"/>
            <w:shd w:fill="E8EEF5"/>
          </w:tcPr>
          <w:p>
            <w:pPr>
              <w:spacing w:after="0"/>
            </w:pPr>
            <w:r>
              <w:rPr>
                <w:b/>
                <w:color w:val="14314E"/>
                <w:sz w:val="21"/>
              </w:rPr>
              <w:t>Planned tool / output</w:t>
            </w:r>
          </w:p>
        </w:tc>
        <w:tc>
          <w:tcPr>
            <w:tcW w:type="dxa" w:w="4320"/>
            <w:tcBorders>
              <w:top w:val="single" w:sz="6" w:space="0" w:color="B7C9DC"/>
              <w:left w:val="single" w:sz="6" w:space="0" w:color="B7C9DC"/>
              <w:bottom w:val="single" w:sz="6" w:space="0" w:color="B7C9DC"/>
              <w:right w:val="single" w:sz="6" w:space="0" w:color="B7C9DC"/>
            </w:tcBorders>
            <w:vAlign w:val="center"/>
            <w:shd w:fill="E8EEF5"/>
          </w:tcPr>
          <w:p>
            <w:pPr>
              <w:spacing w:after="0"/>
            </w:pPr>
            <w:r>
              <w:rPr>
                <w:b/>
                <w:color w:val="14314E"/>
                <w:sz w:val="21"/>
              </w:rPr>
              <w:t>Purpose</w:t>
            </w:r>
          </w:p>
        </w:tc>
      </w:tr>
      <w:tr>
        <w:tc>
          <w:tcPr>
            <w:tcW w:type="dxa" w:w="2088"/>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Automation tool</w:t>
            </w:r>
          </w:p>
        </w:tc>
        <w:tc>
          <w:tcPr>
            <w:tcW w:type="dxa" w:w="2952"/>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Playwright</w:t>
            </w:r>
          </w:p>
        </w:tc>
        <w:tc>
          <w:tcPr>
            <w:tcW w:type="dxa" w:w="4320"/>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Browser automation and assertions</w:t>
            </w:r>
          </w:p>
        </w:tc>
      </w:tr>
      <w:tr>
        <w:tc>
          <w:tcPr>
            <w:tcW w:type="dxa" w:w="2088"/>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Language</w:t>
            </w:r>
          </w:p>
        </w:tc>
        <w:tc>
          <w:tcPr>
            <w:tcW w:type="dxa" w:w="2952"/>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JavaScript</w:t>
            </w:r>
          </w:p>
        </w:tc>
        <w:tc>
          <w:tcPr>
            <w:tcW w:type="dxa" w:w="4320"/>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Match the training technology stack</w:t>
            </w:r>
          </w:p>
        </w:tc>
      </w:tr>
      <w:tr>
        <w:tc>
          <w:tcPr>
            <w:tcW w:type="dxa" w:w="2088"/>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Test runner</w:t>
            </w:r>
          </w:p>
        </w:tc>
        <w:tc>
          <w:tcPr>
            <w:tcW w:type="dxa" w:w="2952"/>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Playwright Test</w:t>
            </w:r>
          </w:p>
        </w:tc>
        <w:tc>
          <w:tcPr>
            <w:tcW w:type="dxa" w:w="4320"/>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Run tests and generate execution reports</w:t>
            </w:r>
          </w:p>
        </w:tc>
      </w:tr>
      <w:tr>
        <w:tc>
          <w:tcPr>
            <w:tcW w:type="dxa" w:w="2088"/>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Documentation</w:t>
            </w:r>
          </w:p>
        </w:tc>
        <w:tc>
          <w:tcPr>
            <w:tcW w:type="dxa" w:w="2952"/>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Test plan and test case document</w:t>
            </w:r>
          </w:p>
        </w:tc>
        <w:tc>
          <w:tcPr>
            <w:tcW w:type="dxa" w:w="4320"/>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Show testing scope and test design</w:t>
            </w:r>
          </w:p>
        </w:tc>
      </w:tr>
      <w:tr>
        <w:tc>
          <w:tcPr>
            <w:tcW w:type="dxa" w:w="2088"/>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Evidence</w:t>
            </w:r>
          </w:p>
        </w:tc>
        <w:tc>
          <w:tcPr>
            <w:tcW w:type="dxa" w:w="2952"/>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HTML report, screenshots, and traces</w:t>
            </w:r>
          </w:p>
        </w:tc>
        <w:tc>
          <w:tcPr>
            <w:tcW w:type="dxa" w:w="4320"/>
            <w:tcBorders>
              <w:top w:val="single" w:sz="6" w:space="0" w:color="B7C9DC"/>
              <w:left w:val="single" w:sz="6" w:space="0" w:color="B7C9DC"/>
              <w:bottom w:val="single" w:sz="6" w:space="0" w:color="B7C9DC"/>
              <w:right w:val="single" w:sz="6" w:space="0" w:color="B7C9DC"/>
            </w:tcBorders>
            <w:vAlign w:val="center"/>
            <w:shd w:fill="FFFFFF"/>
          </w:tcPr>
          <w:p>
            <w:pPr>
              <w:spacing w:after="0"/>
            </w:pPr>
            <w:r>
              <w:rPr>
                <w:sz w:val="21"/>
              </w:rPr>
              <w:t>Support final capstone submission</w:t>
            </w:r>
          </w:p>
        </w:tc>
      </w:tr>
    </w:tbl>
    <w:p/>
    <w:p>
      <w:pPr>
        <w:pStyle w:val="Heading1"/>
      </w:pPr>
      <w:r>
        <w:t>Scope Notes</w:t>
      </w:r>
    </w:p>
    <w:p>
      <w:pPr>
        <w:pStyle w:val="ListBullet"/>
      </w:pPr>
      <w:r>
        <w:t>The capstone will test the public frontend demo store only.</w:t>
      </w:r>
    </w:p>
    <w:p>
      <w:pPr>
        <w:pStyle w:val="ListBullet"/>
      </w:pPr>
      <w:r>
        <w:t>Any demo store reset or data change will be handled by using fresh dummy data during execution.</w:t>
      </w:r>
    </w:p>
    <w:p>
      <w:pPr>
        <w:pStyle w:val="ListBullet"/>
      </w:pPr>
      <w:r>
        <w:t>The final test case document will contain 120 service-wise test cases.</w:t>
      </w:r>
    </w:p>
    <w:p>
      <w:pPr>
        <w:pStyle w:val="ListBullet"/>
      </w:pPr>
      <w:r>
        <w:t>Automation will begin only after the service scope and test case plan are finalized.</w:t>
      </w:r>
    </w:p>
    <w:p>
      <w:pPr>
        <w:pStyle w:val="Heading1"/>
      </w:pPr>
      <w:r>
        <w:t>Planned Capstone Flow</w:t>
      </w:r>
    </w:p>
    <w:p>
      <w:pPr>
        <w:pStyle w:val="ListNumber"/>
      </w:pPr>
      <w:r>
        <w:t>Finalize the website and service-wise testing scope.</w:t>
      </w:r>
    </w:p>
    <w:p>
      <w:pPr>
        <w:pStyle w:val="ListNumber"/>
      </w:pPr>
      <w:r>
        <w:t>Write 120 manual test cases across 8 services.</w:t>
      </w:r>
    </w:p>
    <w:p>
      <w:pPr>
        <w:pStyle w:val="ListNumber"/>
      </w:pPr>
      <w:r>
        <w:t>Create the Playwright with JavaScript project structure.</w:t>
      </w:r>
    </w:p>
    <w:p>
      <w:pPr>
        <w:pStyle w:val="ListNumber"/>
      </w:pPr>
      <w:r>
        <w:t>Automate the selected test cases service by service.</w:t>
      </w:r>
    </w:p>
    <w:p>
      <w:pPr>
        <w:pStyle w:val="ListNumber"/>
      </w:pPr>
      <w:r>
        <w:t>Run the suite, review failures, and prepare the final report.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8"/>
      </w:rPr>
      <w:t>nopCommerce Capstone Testing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eastAsia="Calibri"/>
      <w:i/>
      <w:iCs/>
      <w:color w:val="50505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