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SYNOPSIS</w:t>
      </w:r>
    </w:p>
    <w:p>
      <w:pPr>
        <w:pStyle w:val="Subtitle"/>
      </w:pPr>
      <w:r>
        <w:t>Day 1 to Day 14 JavaScript, TypeScript, Express, and Playwright Training</w:t>
      </w:r>
    </w:p>
    <w:p>
      <w:pPr>
        <w:pStyle w:val="Subtitle"/>
      </w:pPr>
      <w:r>
        <w:t>Updated through May 16, 2026 using the latest visible workspace files</w:t>
      </w:r>
    </w:p>
    <w:tbl>
      <w:tblGrid>
        <w:gridCol w:w="9360"/>
      </w:tblGrid>
      <w:tblPr>
        <w:tblStyle w:val="TableGrid"/>
        <w:tblW w:type="dxa" w:w="9360"/>
        <w:jc w:val="left"/>
        <w:tblLayout w:type="fixed"/>
        <w:tblLook w:firstColumn="1" w:firstRow="1" w:lastColumn="0" w:lastRow="0" w:noHBand="0" w:noVBand="1" w:val="04A0"/>
        <w:tblInd w:w="120" w:type="dxa"/>
      </w:tblPr>
      <w:tr>
        <w:trPr>
          <w:tblHeader w:val="true"/>
        </w:trPr>
        <w:tc>
          <w:tcPr>
            <w:tcW w:type="dxa" w:w="9360"/>
            <w:tcMar>
              <w:top w:w="80" w:type="dxa"/>
              <w:bottom w:w="80" w:type="dxa"/>
              <w:start w:w="120" w:type="dxa"/>
              <w:end w:w="120" w:type="dxa"/>
            </w:tcMar>
            <w:vAlign w:val="center"/>
            <w:shd w:fill="F4F6F9"/>
          </w:tcPr>
          <w:p>
            <w:pPr>
              <w:spacing w:before="0" w:after="0" w:line="300" w:lineRule="auto"/>
            </w:pPr>
            <w:r/>
            <w:r>
              <w:rPr>
                <w:b/>
                <w:color w:val="0B2545"/>
              </w:rPr>
              <w:t xml:space="preserve">Scope of this update: </w:t>
            </w:r>
            <w:r>
              <w:t>The previous synopsis covered the training path through May 14, 2026. This refresh adds the latest May 16 Day 13 &amp; 14 Playwright/Express project and the new Learning JavaScript Day 2 practice edits. Package-lock changes are summarized as dependency setup because they are generated tooling output, not hand-written learning code.</w:t>
            </w:r>
          </w:p>
        </w:tc>
      </w:tr>
    </w:tbl>
    <w:p>
      <w:pPr>
        <w:spacing w:after="40"/>
      </w:pPr>
    </w:p>
    <w:p>
      <w:pPr>
        <w:pStyle w:val="Heading1"/>
        <w:jc w:val="left"/>
      </w:pPr>
      <w:r>
        <w:t>Updated Topic Map</w:t>
      </w:r>
    </w:p>
    <w:tbl>
      <w:tblGrid>
        <w:gridCol w:w="1500"/>
        <w:gridCol w:w="2100"/>
        <w:gridCol w:w="3660"/>
        <w:gridCol w:w="2100"/>
      </w:tblGrid>
      <w:tblPr>
        <w:tblStyle w:val="TableGrid"/>
        <w:tblW w:type="dxa" w:w="9360"/>
        <w:jc w:val="left"/>
        <w:tblLayout w:type="fixed"/>
        <w:tblLook w:firstColumn="1" w:firstRow="1" w:lastColumn="0" w:lastRow="0" w:noHBand="0" w:noVBand="1" w:val="04A0"/>
        <w:tblInd w:w="120" w:type="dxa"/>
      </w:tblPr>
      <w:tr>
        <w:trPr>
          <w:tblHeader w:val="true"/>
        </w:trPr>
        <w:tc>
          <w:tcPr>
            <w:tcW w:type="dxa" w:w="1500"/>
            <w:tcMar>
              <w:top w:w="80" w:type="dxa"/>
              <w:bottom w:w="80" w:type="dxa"/>
              <w:start w:w="120" w:type="dxa"/>
              <w:end w:w="120" w:type="dxa"/>
            </w:tcMar>
            <w:vAlign w:val="center"/>
            <w:shd w:fill="E8EEF5"/>
          </w:tcPr>
          <w:p>
            <w:pPr>
              <w:spacing w:before="0" w:after="0" w:line="276" w:lineRule="auto"/>
            </w:pPr>
            <w:r/>
            <w:r>
              <w:rPr>
                <w:b/>
                <w:color w:val="0B2545"/>
              </w:rPr>
              <w:t>Area</w:t>
            </w:r>
          </w:p>
        </w:tc>
        <w:tc>
          <w:tcPr>
            <w:tcW w:type="dxa" w:w="2100"/>
            <w:tcMar>
              <w:top w:w="80" w:type="dxa"/>
              <w:bottom w:w="80" w:type="dxa"/>
              <w:start w:w="120" w:type="dxa"/>
              <w:end w:w="120" w:type="dxa"/>
            </w:tcMar>
            <w:vAlign w:val="center"/>
            <w:shd w:fill="E8EEF5"/>
          </w:tcPr>
          <w:p>
            <w:pPr>
              <w:spacing w:before="0" w:after="0" w:line="276" w:lineRule="auto"/>
            </w:pPr>
            <w:r/>
            <w:r>
              <w:rPr>
                <w:b/>
                <w:color w:val="0B2545"/>
              </w:rPr>
              <w:t>Files / Folder</w:t>
            </w:r>
          </w:p>
        </w:tc>
        <w:tc>
          <w:tcPr>
            <w:tcW w:type="dxa" w:w="3660"/>
            <w:tcMar>
              <w:top w:w="80" w:type="dxa"/>
              <w:bottom w:w="80" w:type="dxa"/>
              <w:start w:w="120" w:type="dxa"/>
              <w:end w:w="120" w:type="dxa"/>
            </w:tcMar>
            <w:vAlign w:val="center"/>
            <w:shd w:fill="E8EEF5"/>
          </w:tcPr>
          <w:p>
            <w:pPr>
              <w:spacing w:before="0" w:after="0" w:line="276" w:lineRule="auto"/>
            </w:pPr>
            <w:r/>
            <w:r>
              <w:rPr>
                <w:b/>
                <w:color w:val="0B2545"/>
              </w:rPr>
              <w:t>What was learned or practiced</w:t>
            </w:r>
          </w:p>
        </w:tc>
        <w:tc>
          <w:tcPr>
            <w:tcW w:type="dxa" w:w="2100"/>
            <w:tcMar>
              <w:top w:w="80" w:type="dxa"/>
              <w:bottom w:w="80" w:type="dxa"/>
              <w:start w:w="120" w:type="dxa"/>
              <w:end w:w="120" w:type="dxa"/>
            </w:tcMar>
            <w:vAlign w:val="center"/>
            <w:shd w:fill="E8EEF5"/>
          </w:tcPr>
          <w:p>
            <w:pPr>
              <w:spacing w:before="0" w:after="0" w:line="276" w:lineRule="auto"/>
            </w:pPr>
            <w:r/>
            <w:r>
              <w:rPr>
                <w:b/>
                <w:color w:val="0B2545"/>
              </w:rPr>
              <w:t>Synopsis update</w:t>
            </w:r>
          </w:p>
        </w:tc>
      </w:tr>
      <w:tr>
        <w:tc>
          <w:tcPr>
            <w:tcW w:type="dxa" w:w="1500"/>
            <w:tcMar>
              <w:top w:w="80" w:type="dxa"/>
              <w:bottom w:w="80" w:type="dxa"/>
              <w:start w:w="120" w:type="dxa"/>
              <w:end w:w="120" w:type="dxa"/>
            </w:tcMar>
            <w:vAlign w:val="center"/>
          </w:tcPr>
          <w:p>
            <w:pPr>
              <w:spacing w:before="0" w:after="0" w:line="276" w:lineRule="auto"/>
            </w:pPr>
            <w:r/>
            <w:r>
              <w:rPr>
                <w:b w:val="0"/>
              </w:rPr>
              <w:t>Foundation retained</w:t>
            </w:r>
          </w:p>
        </w:tc>
        <w:tc>
          <w:tcPr>
            <w:tcW w:type="dxa" w:w="2100"/>
            <w:tcMar>
              <w:top w:w="80" w:type="dxa"/>
              <w:bottom w:w="80" w:type="dxa"/>
              <w:start w:w="120" w:type="dxa"/>
              <w:end w:w="120" w:type="dxa"/>
            </w:tcMar>
            <w:vAlign w:val="center"/>
          </w:tcPr>
          <w:p>
            <w:pPr>
              <w:spacing w:before="0" w:after="0" w:line="276" w:lineRule="auto"/>
            </w:pPr>
            <w:r/>
            <w:r>
              <w:rPr>
                <w:b w:val="0"/>
              </w:rPr>
              <w:t>Day 1 to Day 12</w:t>
            </w:r>
          </w:p>
        </w:tc>
        <w:tc>
          <w:tcPr>
            <w:tcW w:type="dxa" w:w="3660"/>
            <w:tcMar>
              <w:top w:w="80" w:type="dxa"/>
              <w:bottom w:w="80" w:type="dxa"/>
              <w:start w:w="120" w:type="dxa"/>
              <w:end w:w="120" w:type="dxa"/>
            </w:tcMar>
            <w:vAlign w:val="center"/>
          </w:tcPr>
          <w:p>
            <w:pPr>
              <w:spacing w:before="0" w:after="0" w:line="276" w:lineRule="auto"/>
            </w:pPr>
            <w:r/>
            <w:r>
              <w:rPr>
                <w:b w:val="0"/>
              </w:rPr>
              <w:t>JavaScript basics, DOM, arrays, Promises, API work, OOP, TypeScript, Express, and first Playwright setup.</w:t>
            </w:r>
          </w:p>
        </w:tc>
        <w:tc>
          <w:tcPr>
            <w:tcW w:type="dxa" w:w="2100"/>
            <w:tcMar>
              <w:top w:w="80" w:type="dxa"/>
              <w:bottom w:w="80" w:type="dxa"/>
              <w:start w:w="120" w:type="dxa"/>
              <w:end w:w="120" w:type="dxa"/>
            </w:tcMar>
            <w:vAlign w:val="center"/>
          </w:tcPr>
          <w:p>
            <w:pPr>
              <w:spacing w:before="0" w:after="0" w:line="276" w:lineRule="auto"/>
            </w:pPr>
            <w:r/>
            <w:r>
              <w:rPr>
                <w:b w:val="0"/>
              </w:rPr>
              <w:t>Preserved from the previous synopsis.</w:t>
            </w:r>
          </w:p>
        </w:tc>
      </w:tr>
      <w:tr>
        <w:tc>
          <w:tcPr>
            <w:tcW w:type="dxa" w:w="1500"/>
            <w:tcMar>
              <w:top w:w="80" w:type="dxa"/>
              <w:bottom w:w="80" w:type="dxa"/>
              <w:start w:w="120" w:type="dxa"/>
              <w:end w:w="120" w:type="dxa"/>
            </w:tcMar>
            <w:vAlign w:val="center"/>
          </w:tcPr>
          <w:p>
            <w:pPr>
              <w:spacing w:before="0" w:after="0" w:line="276" w:lineRule="auto"/>
            </w:pPr>
            <w:r/>
            <w:r>
              <w:rPr>
                <w:b w:val="0"/>
              </w:rPr>
              <w:t>Learning JS Day 2 refresh</w:t>
            </w:r>
          </w:p>
        </w:tc>
        <w:tc>
          <w:tcPr>
            <w:tcW w:type="dxa" w:w="2100"/>
            <w:tcMar>
              <w:top w:w="80" w:type="dxa"/>
              <w:bottom w:w="80" w:type="dxa"/>
              <w:start w:w="120" w:type="dxa"/>
              <w:end w:w="120" w:type="dxa"/>
            </w:tcMar>
            <w:vAlign w:val="center"/>
          </w:tcPr>
          <w:p>
            <w:pPr>
              <w:spacing w:before="0" w:after="0" w:line="276" w:lineRule="auto"/>
            </w:pPr>
            <w:r/>
            <w:r>
              <w:rPr>
                <w:b w:val="0"/>
              </w:rPr>
              <w:t>Learning Java Script/Day2</w:t>
            </w:r>
          </w:p>
        </w:tc>
        <w:tc>
          <w:tcPr>
            <w:tcW w:type="dxa" w:w="3660"/>
            <w:tcMar>
              <w:top w:w="80" w:type="dxa"/>
              <w:bottom w:w="80" w:type="dxa"/>
              <w:start w:w="120" w:type="dxa"/>
              <w:end w:w="120" w:type="dxa"/>
            </w:tcMar>
            <w:vAlign w:val="center"/>
          </w:tcPr>
          <w:p>
            <w:pPr>
              <w:spacing w:before="0" w:after="0" w:line="276" w:lineRule="auto"/>
            </w:pPr>
            <w:r/>
            <w:r>
              <w:rPr>
                <w:b w:val="0"/>
              </w:rPr>
              <w:t>Arithmetic operators, logical operators, if/else-if/else, ternary operator, browser alert(), prompt(), and modulo checks.</w:t>
            </w:r>
          </w:p>
        </w:tc>
        <w:tc>
          <w:tcPr>
            <w:tcW w:type="dxa" w:w="2100"/>
            <w:tcMar>
              <w:top w:w="80" w:type="dxa"/>
              <w:bottom w:w="80" w:type="dxa"/>
              <w:start w:w="120" w:type="dxa"/>
              <w:end w:w="120" w:type="dxa"/>
            </w:tcMar>
            <w:vAlign w:val="center"/>
          </w:tcPr>
          <w:p>
            <w:pPr>
              <w:spacing w:before="0" w:after="0" w:line="276" w:lineRule="auto"/>
            </w:pPr>
            <w:r/>
            <w:r>
              <w:rPr>
                <w:b w:val="0"/>
              </w:rPr>
              <w:t>Updated for the latest Day 2 edits.</w:t>
            </w:r>
          </w:p>
        </w:tc>
      </w:tr>
      <w:tr>
        <w:tc>
          <w:tcPr>
            <w:tcW w:type="dxa" w:w="1500"/>
            <w:tcMar>
              <w:top w:w="80" w:type="dxa"/>
              <w:bottom w:w="80" w:type="dxa"/>
              <w:start w:w="120" w:type="dxa"/>
              <w:end w:w="120" w:type="dxa"/>
            </w:tcMar>
            <w:vAlign w:val="center"/>
          </w:tcPr>
          <w:p>
            <w:pPr>
              <w:spacing w:before="0" w:after="0" w:line="276" w:lineRule="auto"/>
            </w:pPr>
            <w:r/>
            <w:r>
              <w:rPr>
                <w:b w:val="0"/>
              </w:rPr>
              <w:t>Day 13 &amp; 14 web app</w:t>
            </w:r>
          </w:p>
        </w:tc>
        <w:tc>
          <w:tcPr>
            <w:tcW w:type="dxa" w:w="2100"/>
            <w:tcMar>
              <w:top w:w="80" w:type="dxa"/>
              <w:bottom w:w="80" w:type="dxa"/>
              <w:start w:w="120" w:type="dxa"/>
              <w:end w:w="120" w:type="dxa"/>
            </w:tcMar>
            <w:vAlign w:val="center"/>
          </w:tcPr>
          <w:p>
            <w:pPr>
              <w:spacing w:before="0" w:after="0" w:line="276" w:lineRule="auto"/>
            </w:pPr>
            <w:r/>
            <w:r>
              <w:rPr>
                <w:b w:val="0"/>
              </w:rPr>
              <w:t>Day 13 &amp; 14/webapp</w:t>
            </w:r>
          </w:p>
        </w:tc>
        <w:tc>
          <w:tcPr>
            <w:tcW w:type="dxa" w:w="3660"/>
            <w:tcMar>
              <w:top w:w="80" w:type="dxa"/>
              <w:bottom w:w="80" w:type="dxa"/>
              <w:start w:w="120" w:type="dxa"/>
              <w:end w:w="120" w:type="dxa"/>
            </w:tcMar>
            <w:vAlign w:val="center"/>
          </w:tcPr>
          <w:p>
            <w:pPr>
              <w:spacing w:before="0" w:after="0" w:line="276" w:lineRule="auto"/>
            </w:pPr>
            <w:r/>
            <w:r>
              <w:rPr>
                <w:b w:val="0"/>
              </w:rPr>
              <w:t>Express server, static files, dotenv PORT, JSON/urlencoded parsing, login routes, fetch POST, FormData, response.ok, and DOM feedback.</w:t>
            </w:r>
          </w:p>
        </w:tc>
        <w:tc>
          <w:tcPr>
            <w:tcW w:type="dxa" w:w="2100"/>
            <w:tcMar>
              <w:top w:w="80" w:type="dxa"/>
              <w:bottom w:w="80" w:type="dxa"/>
              <w:start w:w="120" w:type="dxa"/>
              <w:end w:w="120" w:type="dxa"/>
            </w:tcMar>
            <w:vAlign w:val="center"/>
          </w:tcPr>
          <w:p>
            <w:pPr>
              <w:spacing w:before="0" w:after="0" w:line="276" w:lineRule="auto"/>
            </w:pPr>
            <w:r/>
            <w:r>
              <w:rPr>
                <w:b w:val="0"/>
              </w:rPr>
              <w:t>Added as the newest web-app practice.</w:t>
            </w:r>
          </w:p>
        </w:tc>
      </w:tr>
      <w:tr>
        <w:tc>
          <w:tcPr>
            <w:tcW w:type="dxa" w:w="1500"/>
            <w:tcMar>
              <w:top w:w="80" w:type="dxa"/>
              <w:bottom w:w="80" w:type="dxa"/>
              <w:start w:w="120" w:type="dxa"/>
              <w:end w:w="120" w:type="dxa"/>
            </w:tcMar>
            <w:vAlign w:val="center"/>
          </w:tcPr>
          <w:p>
            <w:pPr>
              <w:spacing w:before="0" w:after="0" w:line="276" w:lineRule="auto"/>
            </w:pPr>
            <w:r/>
            <w:r>
              <w:rPr>
                <w:b w:val="0"/>
              </w:rPr>
              <w:t>Day 13 &amp; 14 tests</w:t>
            </w:r>
          </w:p>
        </w:tc>
        <w:tc>
          <w:tcPr>
            <w:tcW w:type="dxa" w:w="2100"/>
            <w:tcMar>
              <w:top w:w="80" w:type="dxa"/>
              <w:bottom w:w="80" w:type="dxa"/>
              <w:start w:w="120" w:type="dxa"/>
              <w:end w:w="120" w:type="dxa"/>
            </w:tcMar>
            <w:vAlign w:val="center"/>
          </w:tcPr>
          <w:p>
            <w:pPr>
              <w:spacing w:before="0" w:after="0" w:line="276" w:lineRule="auto"/>
            </w:pPr>
            <w:r/>
            <w:r>
              <w:rPr>
                <w:b w:val="0"/>
              </w:rPr>
              <w:t>Day 13 &amp; 14/tests</w:t>
            </w:r>
          </w:p>
        </w:tc>
        <w:tc>
          <w:tcPr>
            <w:tcW w:type="dxa" w:w="3660"/>
            <w:tcMar>
              <w:top w:w="80" w:type="dxa"/>
              <w:bottom w:w="80" w:type="dxa"/>
              <w:start w:w="120" w:type="dxa"/>
              <w:end w:w="120" w:type="dxa"/>
            </w:tcMar>
            <w:vAlign w:val="center"/>
          </w:tcPr>
          <w:p>
            <w:pPr>
              <w:spacing w:before="0" w:after="0" w:line="276" w:lineRule="auto"/>
            </w:pPr>
            <w:r/>
            <w:r>
              <w:rPr>
                <w:b w:val="0"/>
              </w:rPr>
              <w:t>Data-driven Playwright tests, locators, fill/click actions, expected message assertions, helper extraction, and screenshots-on-failure workflow.</w:t>
            </w:r>
          </w:p>
        </w:tc>
        <w:tc>
          <w:tcPr>
            <w:tcW w:type="dxa" w:w="2100"/>
            <w:tcMar>
              <w:top w:w="80" w:type="dxa"/>
              <w:bottom w:w="80" w:type="dxa"/>
              <w:start w:w="120" w:type="dxa"/>
              <w:end w:w="120" w:type="dxa"/>
            </w:tcMar>
            <w:vAlign w:val="center"/>
          </w:tcPr>
          <w:p>
            <w:pPr>
              <w:spacing w:before="0" w:after="0" w:line="276" w:lineRule="auto"/>
            </w:pPr>
            <w:r/>
            <w:r>
              <w:rPr>
                <w:b w:val="0"/>
              </w:rPr>
              <w:t>Added as the newest automation practice.</w:t>
            </w:r>
          </w:p>
        </w:tc>
      </w:tr>
      <w:tr>
        <w:tc>
          <w:tcPr>
            <w:tcW w:type="dxa" w:w="1500"/>
            <w:tcMar>
              <w:top w:w="80" w:type="dxa"/>
              <w:bottom w:w="80" w:type="dxa"/>
              <w:start w:w="120" w:type="dxa"/>
              <w:end w:w="120" w:type="dxa"/>
            </w:tcMar>
            <w:vAlign w:val="center"/>
          </w:tcPr>
          <w:p>
            <w:pPr>
              <w:spacing w:before="0" w:after="0" w:line="276" w:lineRule="auto"/>
            </w:pPr>
            <w:r/>
            <w:r>
              <w:rPr>
                <w:b w:val="0"/>
              </w:rPr>
              <w:t>Config and CI</w:t>
            </w:r>
          </w:p>
        </w:tc>
        <w:tc>
          <w:tcPr>
            <w:tcW w:type="dxa" w:w="2100"/>
            <w:tcMar>
              <w:top w:w="80" w:type="dxa"/>
              <w:bottom w:w="80" w:type="dxa"/>
              <w:start w:w="120" w:type="dxa"/>
              <w:end w:w="120" w:type="dxa"/>
            </w:tcMar>
            <w:vAlign w:val="center"/>
          </w:tcPr>
          <w:p>
            <w:pPr>
              <w:spacing w:before="0" w:after="0" w:line="276" w:lineRule="auto"/>
            </w:pPr>
            <w:r/>
            <w:r>
              <w:rPr>
                <w:b w:val="0"/>
              </w:rPr>
              <w:t>playwright.config.js; .github/workflows/playwright.yml</w:t>
            </w:r>
          </w:p>
        </w:tc>
        <w:tc>
          <w:tcPr>
            <w:tcW w:type="dxa" w:w="3660"/>
            <w:tcMar>
              <w:top w:w="80" w:type="dxa"/>
              <w:bottom w:w="80" w:type="dxa"/>
              <w:start w:w="120" w:type="dxa"/>
              <w:end w:w="120" w:type="dxa"/>
            </w:tcMar>
            <w:vAlign w:val="center"/>
          </w:tcPr>
          <w:p>
            <w:pPr>
              <w:spacing w:before="0" w:after="0" w:line="276" w:lineRule="auto"/>
            </w:pPr>
            <w:r/>
            <w:r>
              <w:rPr>
                <w:b w:val="0"/>
              </w:rPr>
              <w:t>webServer auto-start, Chromium/Firefox/WebKit projects, traces, screenshots, npm ci, browser install, test run, and report artifact upload.</w:t>
            </w:r>
          </w:p>
        </w:tc>
        <w:tc>
          <w:tcPr>
            <w:tcW w:type="dxa" w:w="2100"/>
            <w:tcMar>
              <w:top w:w="80" w:type="dxa"/>
              <w:bottom w:w="80" w:type="dxa"/>
              <w:start w:w="120" w:type="dxa"/>
              <w:end w:w="120" w:type="dxa"/>
            </w:tcMar>
            <w:vAlign w:val="center"/>
          </w:tcPr>
          <w:p>
            <w:pPr>
              <w:spacing w:before="0" w:after="0" w:line="276" w:lineRule="auto"/>
            </w:pPr>
            <w:r/>
            <w:r>
              <w:rPr>
                <w:b w:val="0"/>
              </w:rPr>
              <w:t>Added as the newest tooling workflow.</w:t>
            </w:r>
          </w:p>
        </w:tc>
      </w:tr>
      <w:tr>
        <w:tc>
          <w:tcPr>
            <w:tcW w:type="dxa" w:w="1500"/>
            <w:tcMar>
              <w:top w:w="80" w:type="dxa"/>
              <w:bottom w:w="80" w:type="dxa"/>
              <w:start w:w="120" w:type="dxa"/>
              <w:end w:w="120" w:type="dxa"/>
            </w:tcMar>
            <w:vAlign w:val="center"/>
          </w:tcPr>
          <w:p>
            <w:pPr>
              <w:spacing w:before="0" w:after="0" w:line="276" w:lineRule="auto"/>
            </w:pPr>
            <w:r/>
            <w:r>
              <w:rPr>
                <w:b w:val="0"/>
              </w:rPr>
              <w:t>ES modules practice</w:t>
            </w:r>
          </w:p>
        </w:tc>
        <w:tc>
          <w:tcPr>
            <w:tcW w:type="dxa" w:w="2100"/>
            <w:tcMar>
              <w:top w:w="80" w:type="dxa"/>
              <w:bottom w:w="80" w:type="dxa"/>
              <w:start w:w="120" w:type="dxa"/>
              <w:end w:w="120" w:type="dxa"/>
            </w:tcMar>
            <w:vAlign w:val="center"/>
          </w:tcPr>
          <w:p>
            <w:pPr>
              <w:spacing w:before="0" w:after="0" w:line="276" w:lineRule="auto"/>
            </w:pPr>
            <w:r/>
            <w:r>
              <w:rPr>
                <w:b w:val="0"/>
              </w:rPr>
              <w:t>cal.mjs; op.mjs</w:t>
            </w:r>
          </w:p>
        </w:tc>
        <w:tc>
          <w:tcPr>
            <w:tcW w:type="dxa" w:w="3660"/>
            <w:tcMar>
              <w:top w:w="80" w:type="dxa"/>
              <w:bottom w:w="80" w:type="dxa"/>
              <w:start w:w="120" w:type="dxa"/>
              <w:end w:w="120" w:type="dxa"/>
            </w:tcMar>
            <w:vAlign w:val="center"/>
          </w:tcPr>
          <w:p>
            <w:pPr>
              <w:spacing w:before="0" w:after="0" w:line="276" w:lineRule="auto"/>
            </w:pPr>
            <w:r/>
            <w:r>
              <w:rPr>
                <w:b w:val="0"/>
              </w:rPr>
              <w:t>Default export/import, .mjs module files, path.resolve(), and comparison notes for CommonJS versus ES module syntax.</w:t>
            </w:r>
          </w:p>
        </w:tc>
        <w:tc>
          <w:tcPr>
            <w:tcW w:type="dxa" w:w="2100"/>
            <w:tcMar>
              <w:top w:w="80" w:type="dxa"/>
              <w:bottom w:w="80" w:type="dxa"/>
              <w:start w:w="120" w:type="dxa"/>
              <w:end w:w="120" w:type="dxa"/>
            </w:tcMar>
            <w:vAlign w:val="center"/>
          </w:tcPr>
          <w:p>
            <w:pPr>
              <w:spacing w:before="0" w:after="0" w:line="276" w:lineRule="auto"/>
            </w:pPr>
            <w:r/>
            <w:r>
              <w:rPr>
                <w:b w:val="0"/>
              </w:rPr>
              <w:t>Added as Node module practice.</w:t>
            </w:r>
          </w:p>
        </w:tc>
      </w:tr>
    </w:tbl>
    <w:p>
      <w:pPr>
        <w:spacing w:after="80"/>
      </w:pPr>
    </w:p>
    <w:p>
      <w:pPr>
        <w:pStyle w:val="Heading1"/>
        <w:jc w:val="left"/>
      </w:pPr>
      <w:r>
        <w:t>Previously Covered: Day 1 to Day 12</w:t>
      </w:r>
    </w:p>
    <w:p>
      <w:pPr>
        <w:spacing w:before="0" w:after="120" w:line="300" w:lineRule="auto"/>
      </w:pPr>
      <w:r>
        <w:t>The existing synopsis already covered the first twelve stages of training: JavaScript fundamentals, DOM input, Day 2 browser and login practice, array methods, Promises and timers, API calls, OOP, data-cleaning exercises, callbacks, constructor/prototype practice, hoisting, prototype chain behavior, TypeScript modeling, Express basics, and early Playwright browser automation.</w:t>
      </w:r>
    </w:p>
    <w:p>
      <w:pPr>
        <w:spacing w:before="0" w:after="100" w:line="300" w:lineRule="auto"/>
      </w:pPr>
      <w:r>
        <w:rPr>
          <w:b/>
          <w:color w:val="0B2545"/>
        </w:rPr>
        <w:t xml:space="preserve">Day 1 to Day 3: </w:t>
      </w:r>
      <w:r>
        <w:t>Established variables, strings, operators, conditionals, DOM input, arrays, map/filter/forEach/reduce, object arrays, average calculation, and flattening.</w:t>
      </w:r>
    </w:p>
    <w:p>
      <w:pPr>
        <w:spacing w:before="0" w:after="100" w:line="300" w:lineRule="auto"/>
      </w:pPr>
      <w:r>
        <w:rPr>
          <w:b/>
          <w:color w:val="0B2545"/>
        </w:rPr>
        <w:t xml:space="preserve">Day 4 and Day 5: </w:t>
      </w:r>
      <w:r>
        <w:t>Added Promises, fetch, JSON parsing, async/await, JSON.stringify(), JSON.parse(), clearTimeout(), clearInterval(), and OOP pillars such as abstraction, encapsulation, inheritance, and polymorphism.</w:t>
      </w:r>
    </w:p>
    <w:p>
      <w:pPr>
        <w:spacing w:before="0" w:after="100" w:line="300" w:lineRule="auto"/>
      </w:pPr>
      <w:r>
        <w:rPr>
          <w:b/>
          <w:color w:val="0B2545"/>
        </w:rPr>
        <w:t xml:space="preserve">Day 6 and Day 7: </w:t>
      </w:r>
      <w:r>
        <w:t>Added practical data-cleaning questions, callback-based rules, delayed Promise results, constructor prototypes, Object.create(), hasOwnProperty(), hoisting notes, reverse(), sort(), and for...of iteration.</w:t>
      </w:r>
    </w:p>
    <w:p>
      <w:pPr>
        <w:spacing w:before="0" w:after="100" w:line="300" w:lineRule="auto"/>
      </w:pPr>
      <w:r>
        <w:rPr>
          <w:b/>
          <w:color w:val="0B2545"/>
        </w:rPr>
        <w:t xml:space="preserve">Day 9: </w:t>
      </w:r>
      <w:r>
        <w:t>Connected browser API display work with TypeScript basics, including axios.get(), DOM rendering, default parameters, spread/rest syntax, destructuring, typed variables, interfaces, enums, tuples, typed arrays, generics, and generic constraints.</w:t>
      </w:r>
    </w:p>
    <w:p>
      <w:pPr>
        <w:spacing w:before="0" w:after="100" w:line="300" w:lineRule="auto"/>
      </w:pPr>
      <w:r>
        <w:rPr>
          <w:b/>
          <w:color w:val="0B2545"/>
        </w:rPr>
        <w:t xml:space="preserve">Day 10: </w:t>
      </w:r>
      <w:r>
        <w:t>Practiced TypeScript utility types and server basics: enums, intersection types, keyof typeof, safe generic property access, Omit, Partial, recursive DeepPartial, Readonly, ReadonlyArray, type narrowing, and a small Express app.</w:t>
      </w:r>
    </w:p>
    <w:p>
      <w:pPr>
        <w:spacing w:before="0" w:after="100" w:line="300" w:lineRule="auto"/>
      </w:pPr>
      <w:r>
        <w:rPr>
          <w:b/>
          <w:color w:val="0B2545"/>
        </w:rPr>
        <w:t xml:space="preserve">Day 11: </w:t>
      </w:r>
      <w:r>
        <w:t>Solved advanced TypeScript questions covering generic API wrappers, Record maps, never exhaustiveness, recursive navigation types, template literal CSS values, conditional infer, Extract/Exclude, async higher-order wrappers, index signatures, and mapped key remapping.</w:t>
      </w:r>
    </w:p>
    <w:p>
      <w:pPr>
        <w:spacing w:before="0" w:after="100" w:line="300" w:lineRule="auto"/>
      </w:pPr>
      <w:r>
        <w:rPr>
          <w:b/>
          <w:color w:val="0B2545"/>
        </w:rPr>
        <w:t xml:space="preserve">Day 12: </w:t>
      </w:r>
      <w:r>
        <w:t>Installed Playwright tooling, configured test projects for Chromium, Firefox, and WebKit, practiced direct browser launch scripting, ran example tests, and added a TechX navigation/contact-page test.</w:t>
      </w:r>
    </w:p>
    <w:p>
      <w:pPr>
        <w:pStyle w:val="Heading1"/>
        <w:jc w:val="left"/>
      </w:pPr>
      <w:r>
        <w:t>Learning JavaScript Day 2 Updates</w:t>
      </w:r>
    </w:p>
    <w:p>
      <w:pPr>
        <w:spacing w:before="0" w:after="120" w:line="300" w:lineRule="auto"/>
      </w:pPr>
      <w:r>
        <w:t>The Learning Java Script/Day2 folder now contains refreshed beginner JavaScript practice. The files reinforce console output, browser interaction, operators, conditionals, and simple decision-making logic.</w:t>
      </w:r>
    </w:p>
    <w:p>
      <w:pPr>
        <w:spacing w:before="0" w:after="100" w:line="300" w:lineRule="auto"/>
      </w:pPr>
      <w:r>
        <w:rPr>
          <w:b/>
          <w:color w:val="0B2545"/>
        </w:rPr>
        <w:t xml:space="preserve">Console and arithmetic practice: </w:t>
      </w:r>
      <w:r>
        <w:t>script.js logs Hello World, creates numeric variables, and practices addition, subtraction, multiplication, division, modulo, exponentiation, post-increment, and post-decrement.</w:t>
      </w:r>
    </w:p>
    <w:p>
      <w:pPr>
        <w:spacing w:before="0" w:after="100" w:line="300" w:lineRule="auto"/>
      </w:pPr>
      <w:r>
        <w:rPr>
          <w:b/>
          <w:color w:val="0B2545"/>
        </w:rPr>
        <w:t xml:space="preserve">Logical operators: </w:t>
      </w:r>
      <w:r>
        <w:t>The same file compares values and combines conditions with &amp;&amp; and || to understand how compound boolean expressions evaluate.</w:t>
      </w:r>
    </w:p>
    <w:p>
      <w:pPr>
        <w:spacing w:before="0" w:after="100" w:line="300" w:lineRule="auto"/>
      </w:pPr>
      <w:r>
        <w:rPr>
          <w:b/>
          <w:color w:val="0B2545"/>
        </w:rPr>
        <w:t xml:space="preserve">Conditional statements: </w:t>
      </w:r>
      <w:r>
        <w:t>conditional_statements.js checks voting eligibility with if, selects a color with if/else-if/else based on mode, and prints the result.</w:t>
      </w:r>
    </w:p>
    <w:p>
      <w:pPr>
        <w:spacing w:before="0" w:after="100" w:line="300" w:lineRule="auto"/>
      </w:pPr>
      <w:r>
        <w:rPr>
          <w:b/>
          <w:color w:val="0B2545"/>
        </w:rPr>
        <w:t xml:space="preserve">Ternary operator: </w:t>
      </w:r>
      <w:r>
        <w:t>The cars example uses cars &gt; 2 ? ... : ... to choose between two messages in one expression.</w:t>
      </w:r>
    </w:p>
    <w:p>
      <w:pPr>
        <w:spacing w:before="0" w:after="100" w:line="300" w:lineRule="auto"/>
      </w:pPr>
      <w:r>
        <w:rPr>
          <w:b/>
          <w:color w:val="0B2545"/>
        </w:rPr>
        <w:t xml:space="preserve">Browser input practice: </w:t>
      </w:r>
      <w:r>
        <w:t>practice.js uses alert() and prompt(), stores user input, displays the entered name, asks for a number, and checks whether it is divisible by 5 using the modulo operator.</w:t>
      </w:r>
    </w:p>
    <w:p>
      <w:pPr>
        <w:spacing w:before="0" w:after="100" w:line="300" w:lineRule="auto"/>
      </w:pPr>
      <w:r>
        <w:rPr>
          <w:b/>
          <w:color w:val="0B2545"/>
        </w:rPr>
        <w:t xml:space="preserve">HTML linkage: </w:t>
      </w:r>
      <w:r>
        <w:t>index.html now links the practice file so the browser dialog and number-checking exercise can run from the page.</w:t>
      </w:r>
    </w:p>
    <w:p>
      <w:pPr>
        <w:pStyle w:val="Heading1"/>
        <w:jc w:val="left"/>
      </w:pPr>
      <w:r>
        <w:t>Day 13 &amp; 14: Express Login Web App</w:t>
      </w:r>
    </w:p>
    <w:p>
      <w:pPr>
        <w:spacing w:before="0" w:after="120" w:line="300" w:lineRule="auto"/>
      </w:pPr>
      <w:r>
        <w:t>The Day 13 &amp; 14 webapp folder builds a small Express-based login application that can be tested manually in the browser and automatically with Playwright.</w:t>
      </w:r>
    </w:p>
    <w:p>
      <w:pPr>
        <w:spacing w:before="0" w:after="100" w:line="300" w:lineRule="auto"/>
      </w:pPr>
      <w:r>
        <w:rPr>
          <w:b/>
          <w:color w:val="0B2545"/>
        </w:rPr>
        <w:t xml:space="preserve">Server setup: </w:t>
      </w:r>
      <w:r>
        <w:t>webapp/index.js imports express and path, loads dotenv, reads PORT from environment variables, enables express.json(), enables express.urlencoded(), and serves static files from the public folder.</w:t>
      </w:r>
    </w:p>
    <w:p>
      <w:pPr>
        <w:spacing w:before="0" w:after="100" w:line="300" w:lineRule="auto"/>
      </w:pPr>
      <w:r>
        <w:rPr>
          <w:b/>
          <w:color w:val="0B2545"/>
        </w:rPr>
        <w:t xml:space="preserve">Routes: </w:t>
      </w:r>
      <w:r>
        <w:t>The app defines GET / for the home page, GET /login for the login page, and POST /loginwithcreds for processing submitted credentials.</w:t>
      </w:r>
    </w:p>
    <w:p>
      <w:pPr>
        <w:spacing w:before="0" w:after="100" w:line="300" w:lineRule="auto"/>
      </w:pPr>
      <w:r>
        <w:rPr>
          <w:b/>
          <w:color w:val="0B2545"/>
        </w:rPr>
        <w:t xml:space="preserve">Validation and login logic: </w:t>
      </w:r>
      <w:r>
        <w:t>The POST route checks username and password length first, returns Login successful only when both username and password are admin123, and returns status 401 with Invalid credentials for wrong valid-length credentials.</w:t>
      </w:r>
    </w:p>
    <w:p>
      <w:pPr>
        <w:spacing w:before="0" w:after="100" w:line="300" w:lineRule="auto"/>
      </w:pPr>
      <w:r>
        <w:rPr>
          <w:b/>
          <w:color w:val="0B2545"/>
        </w:rPr>
        <w:t xml:space="preserve">Frontend form handling: </w:t>
      </w:r>
      <w:r>
        <w:t>login.html contains username and password inputs, a submit button, and a message area. The script prevents page reload, reads values through FormData, sends a JSON fetch POST request, and updates the message text based on the server response.</w:t>
      </w:r>
    </w:p>
    <w:p>
      <w:pPr>
        <w:spacing w:before="0" w:after="100" w:line="300" w:lineRule="auto"/>
      </w:pPr>
      <w:r>
        <w:rPr>
          <w:b/>
          <w:color w:val="0B2545"/>
        </w:rPr>
        <w:t xml:space="preserve">Visual styling: </w:t>
      </w:r>
      <w:r>
        <w:t>login.css styles the form, inputs, button, heading, and message area so the login page is centered and gives visible success/error feedback.</w:t>
      </w:r>
    </w:p>
    <w:p>
      <w:pPr>
        <w:pStyle w:val="Heading1"/>
        <w:jc w:val="left"/>
      </w:pPr>
      <w:r>
        <w:t>Day 13 &amp; 14: Playwright Automation</w:t>
      </w:r>
    </w:p>
    <w:p>
      <w:pPr>
        <w:spacing w:before="0" w:after="120" w:line="300" w:lineRule="auto"/>
      </w:pPr>
      <w:r>
        <w:t>The new Playwright work turns the login page into a repeatable browser-testing exercise. It covers test configuration, automatic server startup, multi-browser projects, and multiple test data cases.</w:t>
      </w:r>
    </w:p>
    <w:p>
      <w:pPr>
        <w:spacing w:before="0" w:after="100" w:line="300" w:lineRule="auto"/>
      </w:pPr>
      <w:r>
        <w:rPr>
          <w:b/>
          <w:color w:val="0B2545"/>
        </w:rPr>
        <w:t xml:space="preserve">Playwright config: </w:t>
      </w:r>
      <w:r>
        <w:t>playwright.config.js sets testDir to ./tests, enables fullyParallel, uses the HTML reporter, records traces on first retry, captures screenshots only on failure, and defines Chromium, Firefox, and WebKit projects.</w:t>
      </w:r>
    </w:p>
    <w:p>
      <w:pPr>
        <w:spacing w:before="0" w:after="100" w:line="300" w:lineRule="auto"/>
      </w:pPr>
      <w:r>
        <w:rPr>
          <w:b/>
          <w:color w:val="0B2545"/>
        </w:rPr>
        <w:t xml:space="preserve">Automatic web server: </w:t>
      </w:r>
      <w:r>
        <w:t>The config starts the Express app from the webapp folder with node index.js, waits for http://localhost:3000, and reuses an existing server outside CI.</w:t>
      </w:r>
    </w:p>
    <w:p>
      <w:pPr>
        <w:spacing w:before="0" w:after="100" w:line="300" w:lineRule="auto"/>
      </w:pPr>
      <w:r>
        <w:rPr>
          <w:b/>
          <w:color w:val="0B2545"/>
        </w:rPr>
        <w:t xml:space="preserve">Data-driven tests: </w:t>
      </w:r>
      <w:r>
        <w:t>tests/example.spec.js stores several username/password/expected-message cases in loginData and uses forEach to create a Playwright test for each case.</w:t>
      </w:r>
    </w:p>
    <w:p>
      <w:pPr>
        <w:spacing w:before="0" w:after="100" w:line="300" w:lineRule="auto"/>
      </w:pPr>
      <w:r>
        <w:rPr>
          <w:b/>
          <w:color w:val="0B2545"/>
        </w:rPr>
        <w:t xml:space="preserve">Locator practice: </w:t>
      </w:r>
      <w:r>
        <w:t>Each test visits /login, locates #username, #password, #loginBtn, and #msg, fills input values, clicks the button, and asserts the displayed message with expect(msg).toHaveText(...).</w:t>
      </w:r>
    </w:p>
    <w:p>
      <w:pPr>
        <w:spacing w:before="0" w:after="100" w:line="300" w:lineRule="auto"/>
      </w:pPr>
      <w:r>
        <w:rPr>
          <w:b/>
          <w:color w:val="0B2545"/>
        </w:rPr>
        <w:t xml:space="preserve">Reusable helper: </w:t>
      </w:r>
      <w:r>
        <w:t>tests/utils.js extracts the repeated login steps into an async testLoginForm(page, user, pass) helper that returns the message text.</w:t>
      </w:r>
    </w:p>
    <w:p>
      <w:pPr>
        <w:spacing w:before="0" w:after="100" w:line="300" w:lineRule="auto"/>
      </w:pPr>
      <w:r>
        <w:rPr>
          <w:b/>
          <w:color w:val="0B2545"/>
        </w:rPr>
        <w:t xml:space="preserve">CI workflow: </w:t>
      </w:r>
      <w:r>
        <w:t>The GitHub Actions workflow installs dependencies with npm ci, installs Playwright browsers, runs npx playwright test, and uploads the Playwright HTML report as an artifact.</w:t>
      </w:r>
    </w:p>
    <w:p>
      <w:pPr>
        <w:pStyle w:val="Heading1"/>
        <w:jc w:val="left"/>
      </w:pPr>
      <w:r>
        <w:t>Day 13 &amp; 14: Node ES Modules</w:t>
      </w:r>
    </w:p>
    <w:p>
      <w:pPr>
        <w:spacing w:before="0" w:after="120" w:line="300" w:lineRule="auto"/>
      </w:pPr>
      <w:r>
        <w:t>The tests folder also includes a small ES module practice area that compares older CommonJS habits with modern import/export syntax.</w:t>
      </w:r>
    </w:p>
    <w:p>
      <w:pPr>
        <w:spacing w:before="0" w:after="100" w:line="300" w:lineRule="auto"/>
      </w:pPr>
      <w:r>
        <w:rPr>
          <w:b/>
          <w:color w:val="0B2545"/>
        </w:rPr>
        <w:t xml:space="preserve">Function export: </w:t>
      </w:r>
      <w:r>
        <w:t>op.mjs defines sum() and sub(), then exports sum as the default export.</w:t>
      </w:r>
    </w:p>
    <w:p>
      <w:pPr>
        <w:spacing w:before="0" w:after="100" w:line="300" w:lineRule="auto"/>
      </w:pPr>
      <w:r>
        <w:rPr>
          <w:b/>
          <w:color w:val="0B2545"/>
        </w:rPr>
        <w:t xml:space="preserve">Function import: </w:t>
      </w:r>
      <w:r>
        <w:t>cal.mjs imports sum from op.mjs, imports Node path, uses sum inside a calculator function, logs the result of calculator(2, 3), and logs path.resolve(process.cwd()).</w:t>
      </w:r>
    </w:p>
    <w:p>
      <w:pPr>
        <w:spacing w:before="0" w:after="100" w:line="300" w:lineRule="auto"/>
      </w:pPr>
      <w:r>
        <w:rPr>
          <w:b/>
          <w:color w:val="0B2545"/>
        </w:rPr>
        <w:t xml:space="preserve">Module syntax notes: </w:t>
      </w:r>
      <w:r>
        <w:t>Comments in the module files compare require()/module.exports with .mjs import/export syntax, showing the difference between CommonJS and ES modules.</w:t>
      </w:r>
    </w:p>
    <w:p>
      <w:pPr>
        <w:pStyle w:val="Heading1"/>
        <w:jc w:val="left"/>
      </w:pPr>
      <w:r>
        <w:t>Dependency and Workflow Notes</w:t>
      </w:r>
    </w:p>
    <w:p>
      <w:pPr>
        <w:spacing w:before="0" w:after="100" w:line="300" w:lineRule="auto"/>
      </w:pPr>
      <w:r>
        <w:rPr>
          <w:b/>
          <w:color w:val="0B2545"/>
        </w:rPr>
        <w:t xml:space="preserve">Generated dependency files: </w:t>
      </w:r>
      <w:r>
        <w:t>package-lock.json files changed because dependencies were installed or synchronized. They support reproducible installs but are not treated as separate learning exercises.</w:t>
      </w:r>
    </w:p>
    <w:p>
      <w:pPr>
        <w:spacing w:before="0" w:after="100" w:line="300" w:lineRule="auto"/>
      </w:pPr>
      <w:r>
        <w:rPr>
          <w:b/>
          <w:color w:val="0B2545"/>
        </w:rPr>
        <w:t xml:space="preserve">Ignored artifacts: </w:t>
      </w:r>
      <w:r>
        <w:t>The gitignore files exclude node_modules, test-results, playwright-report, blob-report, Playwright cache/auth files, and environment files such as .env.</w:t>
      </w:r>
    </w:p>
    <w:p>
      <w:pPr>
        <w:spacing w:before="0" w:after="100" w:line="300" w:lineRule="auto"/>
      </w:pPr>
      <w:r>
        <w:rPr>
          <w:b/>
          <w:color w:val="0B2545"/>
        </w:rPr>
        <w:t xml:space="preserve">Current folder state: </w:t>
      </w:r>
      <w:r>
        <w:t>The synopsis follows the current visible workspace, where the newest project is stored under Day 13 &amp; 14 and includes both the web app and Playwright tests.</w:t>
      </w:r>
    </w:p>
    <w:p>
      <w:pPr>
        <w:spacing w:before="0" w:after="100" w:line="300" w:lineRule="auto"/>
      </w:pPr>
      <w:r>
        <w:rPr>
          <w:b/>
          <w:color w:val="0B2545"/>
        </w:rPr>
        <w:t xml:space="preserve">No Day 8 folder: </w:t>
      </w:r>
      <w:r>
        <w:t>The workspace still does not show a Day 8 folder, so the training path intentionally moves from Day 7 to Day 9 in the preserved history.</w:t>
      </w:r>
    </w:p>
    <w:p>
      <w:pPr>
        <w:pStyle w:val="Heading1"/>
        <w:jc w:val="left"/>
      </w:pPr>
      <w:r>
        <w:t>Conclusion</w:t>
      </w:r>
    </w:p>
    <w:p>
      <w:pPr>
        <w:spacing w:before="0" w:after="120" w:line="300" w:lineRule="auto"/>
      </w:pPr>
      <w:r>
        <w:t>The synopsis now covers the complete visible training path through May 16, 2026. Since the last update, the work expanded from the earlier JavaScript, TypeScript, API, Express, and Playwright foundations into a more complete end-to-end testing setup: a live Express login application, browser-side form submission, Playwright data-driven tests, automatic local server startup, multi-browser configuration, CI execution, and ES module practice. These additions strengthen SDET preparation because they connect programming fundamentals with real browser automation and test workflow habits.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color w:val="555555"/>
        <w:sz w:val="18"/>
      </w:rPr>
      <w:t>Training Synopsis | Updated May 16,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eastAsia="Calibri"/>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