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7365D"/>
          <w:sz w:val="54"/>
        </w:rPr>
        <w:t>DRIVER BEHAVIOR</w:t>
        <w:br/>
        <w:t>ANALYSIS USING MACHINE LEARNING</w:t>
      </w:r>
    </w:p>
    <w:p>
      <w:pPr>
        <w:jc w:val="center"/>
      </w:pPr>
      <w:r>
        <w:rPr>
          <w:i/>
          <w:color w:val="505050"/>
          <w:sz w:val="28"/>
        </w:rPr>
        <w:t>A sensor-based classification and video-analysis prototype</w:t>
      </w:r>
    </w:p>
    <w:p>
      <w:r>
        <w:br/>
      </w:r>
    </w:p>
    <w:p>
      <w:pPr>
        <w:jc w:val="center"/>
      </w:pPr>
      <w:r>
        <w:rPr>
          <w:sz w:val="22"/>
        </w:rPr>
        <w:t>PROJECT MODEL REPORT</w:t>
      </w:r>
    </w:p>
    <w:p>
      <w:pPr>
        <w:jc w:val="center"/>
      </w:pPr>
      <w:r>
        <w:rPr>
          <w:sz w:val="22"/>
        </w:rPr>
        <w:t>Submitted by: [Student Name]</w:t>
      </w:r>
    </w:p>
    <w:p>
      <w:pPr>
        <w:jc w:val="center"/>
      </w:pPr>
      <w:r>
        <w:rPr>
          <w:sz w:val="22"/>
        </w:rPr>
        <w:t>Programme / Department: [Programme and Department]</w:t>
      </w:r>
    </w:p>
    <w:p>
      <w:pPr>
        <w:jc w:val="center"/>
      </w:pPr>
      <w:r>
        <w:rPr>
          <w:sz w:val="22"/>
        </w:rPr>
        <w:t>Institute: [College / University Name]</w:t>
      </w:r>
    </w:p>
    <w:p>
      <w:pPr>
        <w:jc w:val="center"/>
      </w:pPr>
      <w:r>
        <w:rPr>
          <w:sz w:val="22"/>
        </w:rPr>
        <w:t>Guide: [Faculty Guide Name]</w:t>
      </w:r>
    </w:p>
    <w:p>
      <w:pPr>
        <w:jc w:val="center"/>
      </w:pPr>
      <w:r>
        <w:rPr>
          <w:sz w:val="22"/>
        </w:rPr>
        <w:t>Academic Year: 2026–2027</w:t>
      </w:r>
    </w:p>
    <w:p>
      <w:r>
        <w:br w:type="page"/>
      </w:r>
    </w:p>
    <w:p>
      <w:pPr>
        <w:pStyle w:val="Heading1"/>
      </w:pPr>
      <w:r>
        <w:t>Declaration and scope of this report</w:t>
      </w:r>
    </w:p>
    <w:p>
      <w:r>
        <w:t>This report documents the design and current experimental state of an academic prototype for driver-behavior analysis. It describes the intended workflow, data preparation, sensor-model experiments, computer-vision components, evaluation measures, and limitations.</w:t>
      </w:r>
    </w:p>
    <w:p>
      <w:r>
        <w:t>Important reproducibility note: the supplied Colab notebook currently creates a 15,000-row synthetic dataset when preparing the modelling table. Its saved benchmark outputs therefore describe a pipeline demonstration on simulated data, not validated performance on the original DriverSVT dataset. The report preserves that distinction rather than presenting simulated results as real-world findings.</w:t>
      </w:r>
    </w:p>
    <w:p>
      <w:r>
        <w:t>Before formal submission, the student should replace bracketed cover-page fields, rerun experiments on the intended real dataset, and update every result table and figure using the outputs from that run.</w:t>
      </w:r>
    </w:p>
    <w:p>
      <w:pPr>
        <w:pStyle w:val="Heading1"/>
      </w:pPr>
      <w:r>
        <w:t>Abstract</w:t>
      </w:r>
    </w:p>
    <w:p>
      <w:r>
        <w:t>Driver distraction and fatigue are important contributors to unsafe driving. This project explores a low-cost prototype that combines smartphone motion telemetry with video-based cues to study driver behavior. The sensor pipeline considers speed, g-force, three-axis accelerometer readings, three-axis gyroscope readings, and facial proxy variables such as PERCLOS and mouth-opening ratio. Derived kinematic features are also investigated. A multi-class classifier is intended to distinguish nine states: Normal, Distraction, Drowsiness, Using phone, No attention, Eating, Smoking, Unfastened belt, and Camera off. The modelling workflow includes a majority-class baseline, tree-based models, class-imbalance-aware evaluation, driver-separated data splitting, per-class analysis, and feature ablation. A separate computer-vision prototype uses MediaPipe facial landmarks to calculate eye and mouth geometry and YOLO for object detection. Current notebook results must be interpreted cautiously because the notebook's current modelling dataset and fallback video can be synthetic. The project is therefore best described as an experimental academic prototype; real-driver generalization, reliable yawn/eye-closure detection, phone-versus-cigarette discrimination, and a validated trip-risk score remain work to be verified.</w:t>
      </w:r>
    </w:p>
    <w:p>
      <w:pPr>
        <w:pStyle w:val="Heading2"/>
      </w:pPr>
      <w:r>
        <w:t>Keywords</w:t>
      </w:r>
    </w:p>
    <w:p>
      <w:r>
        <w:t>Driver behavior; machine learning; DriverSVT; accelerometer; gyroscope; class imbalance; group split; computer vision; MediaPipe; YOLO; fatigue monitoring.</w:t>
      </w:r>
    </w:p>
    <w:p>
      <w:pPr>
        <w:pStyle w:val="Heading1"/>
      </w:pPr>
      <w:r>
        <w:t>Table of contents</w:t>
      </w:r>
    </w:p>
    <w:p>
      <w:r>
        <w:t>1. Introduction</w:t>
      </w:r>
    </w:p>
    <w:p>
      <w:r>
        <w:t>2. Problem statement and objectives</w:t>
      </w:r>
    </w:p>
    <w:p>
      <w:r>
        <w:t>3. System scope and requirements</w:t>
      </w:r>
    </w:p>
    <w:p>
      <w:r>
        <w:t>4. Dataset and target classes</w:t>
      </w:r>
    </w:p>
    <w:p>
      <w:r>
        <w:t>5. Methodology and workflow</w:t>
      </w:r>
    </w:p>
    <w:p>
      <w:r>
        <w:t>6. Data preparation and feature engineering</w:t>
      </w:r>
    </w:p>
    <w:p>
      <w:r>
        <w:t>7. Exploratory analysis and data splitting</w:t>
      </w:r>
    </w:p>
    <w:p>
      <w:r>
        <w:t>8. Model development</w:t>
      </w:r>
    </w:p>
    <w:p>
      <w:r>
        <w:t>9. Evaluation metrics and current notebook results</w:t>
      </w:r>
    </w:p>
    <w:p>
      <w:r>
        <w:t>10. Computer-vision pipeline</w:t>
      </w:r>
    </w:p>
    <w:p>
      <w:r>
        <w:t>11. Trip summary and monitoring</w:t>
      </w:r>
    </w:p>
    <w:p>
      <w:r>
        <w:t>12. Implementation and deployment</w:t>
      </w:r>
    </w:p>
    <w:p>
      <w:r>
        <w:t>13. Limitations and threats to validity</w:t>
      </w:r>
    </w:p>
    <w:p>
      <w:r>
        <w:t>14. Future work</w:t>
      </w:r>
    </w:p>
    <w:p>
      <w:r>
        <w:t>15. Conclusion</w:t>
      </w:r>
    </w:p>
    <w:p>
      <w:r>
        <w:t>References and appendices</w:t>
      </w:r>
    </w:p>
    <w:p>
      <w:r>
        <w:br w:type="page"/>
      </w:r>
    </w:p>
    <w:p>
      <w:pPr>
        <w:pStyle w:val="Heading1"/>
      </w:pPr>
      <w:r>
        <w:t>1. Introduction</w:t>
      </w:r>
    </w:p>
    <w:p>
      <w:r>
        <w:t>Driving behavior is influenced by vehicle motion, driver attention, fatigue, and secondary activities. A practical monitoring system may benefit from multiple evidence sources: motion sensors can describe vehicle dynamics, while a forward-facing or cabin-facing camera can provide visual cues about the driver and objects in the scene.</w:t>
      </w:r>
    </w:p>
    <w:p>
      <w:r>
        <w:t>This project investigates an affordable, software-first approach using a smartphone-sensor dataset and a video-analysis prototype. The intended workflow is not to make a safety-critical decision from one cue. Instead, it is to extract measurable features, test classification methods, evaluate errors, and present evidence in a dashboard or journey report.</w:t>
      </w:r>
    </w:p>
    <w:p>
      <w:pPr>
        <w:pStyle w:val="Heading2"/>
      </w:pPr>
      <w:r>
        <w:t>1.1 Motivation</w:t>
      </w:r>
    </w:p>
    <w:p>
      <w:pPr>
        <w:pStyle w:val="ListBullet"/>
      </w:pPr>
      <w:r>
        <w:t>Explore whether common sensor signals contain useful information about driving-state labels.</w:t>
      </w:r>
    </w:p>
    <w:p>
      <w:pPr>
        <w:pStyle w:val="ListBullet"/>
      </w:pPr>
      <w:r>
        <w:t>Study the effect of class imbalance and evaluate metrics beyond raw accuracy.</w:t>
      </w:r>
    </w:p>
    <w:p>
      <w:pPr>
        <w:pStyle w:val="ListBullet"/>
      </w:pPr>
      <w:r>
        <w:t>Use driver-separated testing to make the evaluation more representative of unseen drivers.</w:t>
      </w:r>
    </w:p>
    <w:p>
      <w:pPr>
        <w:pStyle w:val="ListBullet"/>
      </w:pPr>
      <w:r>
        <w:t>Prototype visual cues such as eye closure, mouth opening, and visible objects.</w:t>
      </w:r>
    </w:p>
    <w:p>
      <w:pPr>
        <w:pStyle w:val="ListBullet"/>
      </w:pPr>
      <w:r>
        <w:t>Keep the system low-cost and modular so that individual components can be tested independently.</w:t>
      </w:r>
    </w:p>
    <w:p>
      <w:pPr>
        <w:pStyle w:val="Heading1"/>
      </w:pPr>
      <w:r>
        <w:t>2. Problem statement and objectives</w:t>
      </w:r>
    </w:p>
    <w:p>
      <w:r>
        <w:t>Problem statement: develop and evaluate an academic prototype that analyses available motion telemetry and video-derived cues to identify possible driver-behavior states, while clearly reporting uncertainty and limitations.</w:t>
      </w:r>
    </w:p>
    <w:p>
      <w:pPr>
        <w:pStyle w:val="Heading2"/>
      </w:pPr>
      <w:r>
        <w:t>2.1 Objectives</w:t>
      </w:r>
    </w:p>
    <w:p>
      <w:pPr>
        <w:pStyle w:val="ListNumber"/>
      </w:pPr>
      <w:r>
        <w:t>Inspect the available dataset, its schema, target labels, missingness, and class distribution.</w:t>
      </w:r>
    </w:p>
    <w:p>
      <w:pPr>
        <w:pStyle w:val="ListNumber"/>
      </w:pPr>
      <w:r>
        <w:t>Prepare numerical sensor features and derive additional kinematic summaries.</w:t>
      </w:r>
    </w:p>
    <w:p>
      <w:pPr>
        <w:pStyle w:val="ListNumber"/>
      </w:pPr>
      <w:r>
        <w:t>Compare a simple baseline with candidate multi-class classifiers.</w:t>
      </w:r>
    </w:p>
    <w:p>
      <w:pPr>
        <w:pStyle w:val="ListNumber"/>
      </w:pPr>
      <w:r>
        <w:t>Separate drivers between training and test sets to reduce identity leakage.</w:t>
      </w:r>
    </w:p>
    <w:p>
      <w:pPr>
        <w:pStyle w:val="ListNumber"/>
      </w:pPr>
      <w:r>
        <w:t>Report balanced accuracy, Macro-F1, per-class precision/recall, confusion matrix, and runtime where available.</w:t>
      </w:r>
    </w:p>
    <w:p>
      <w:pPr>
        <w:pStyle w:val="ListNumber"/>
      </w:pPr>
      <w:r>
        <w:t>Investigate whether motion features and facial proxy features contribute differently.</w:t>
      </w:r>
    </w:p>
    <w:p>
      <w:pPr>
        <w:pStyle w:val="ListNumber"/>
      </w:pPr>
      <w:r>
        <w:t>Prototype video processing with facial landmarks and object detection.</w:t>
      </w:r>
    </w:p>
    <w:p>
      <w:pPr>
        <w:pStyle w:val="ListNumber"/>
      </w:pPr>
      <w:r>
        <w:t>Export the trained pipeline and define a reproducible path toward a dashboard.</w:t>
      </w:r>
    </w:p>
    <w:p>
      <w:pPr>
        <w:pStyle w:val="ListNumber"/>
      </w:pPr>
      <w:r>
        <w:t>Document limitations, privacy considerations, and further experiments.</w:t>
      </w:r>
    </w:p>
    <w:p>
      <w:pPr>
        <w:pStyle w:val="Heading1"/>
      </w:pPr>
      <w:r>
        <w:t>3. System scope and requirements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7365D"/>
          </w:tcPr>
          <w:p>
            <w:pPr>
              <w:spacing w:after="20"/>
            </w:pPr>
            <w:r/>
            <w:r>
              <w:rPr>
                <w:b/>
                <w:color w:val="FFFFFF"/>
                <w:sz w:val="18"/>
              </w:rPr>
              <w:t>Area</w:t>
            </w:r>
          </w:p>
        </w:tc>
        <w:tc>
          <w:tcPr>
            <w:tcW w:type="dxa" w:w="3293"/>
            <w:vAlign w:val="center"/>
            <w:shd w:fill="17365D"/>
          </w:tcPr>
          <w:p>
            <w:pPr>
              <w:spacing w:after="20"/>
            </w:pPr>
            <w:r/>
            <w:r>
              <w:rPr>
                <w:b/>
                <w:color w:val="FFFFFF"/>
                <w:sz w:val="18"/>
              </w:rPr>
              <w:t>Included in the prototype</w:t>
            </w:r>
          </w:p>
        </w:tc>
        <w:tc>
          <w:tcPr>
            <w:tcW w:type="dxa" w:w="3293"/>
            <w:vAlign w:val="center"/>
            <w:shd w:fill="17365D"/>
          </w:tcPr>
          <w:p>
            <w:pPr>
              <w:spacing w:after="20"/>
            </w:pPr>
            <w:r/>
            <w:r>
              <w:rPr>
                <w:b/>
                <w:color w:val="FFFFFF"/>
                <w:sz w:val="18"/>
              </w:rPr>
              <w:t>Not yet established</w:t>
            </w:r>
          </w:p>
        </w:tc>
      </w:tr>
      <w:tr>
        <w:tc>
          <w:tcPr>
            <w:tcW w:type="dxa" w:w="3293"/>
            <w:vAlign w:val="center"/>
          </w:tcPr>
          <w:p>
            <w:pPr>
              <w:spacing w:after="20"/>
            </w:pPr>
            <w:r/>
            <w:r>
              <w:rPr>
                <w:b w:val="0"/>
                <w:sz w:val="17"/>
              </w:rPr>
              <w:t>Sensor analytics</w:t>
            </w:r>
          </w:p>
        </w:tc>
        <w:tc>
          <w:tcPr>
            <w:tcW w:type="dxa" w:w="3293"/>
            <w:vAlign w:val="center"/>
          </w:tcPr>
          <w:p>
            <w:pPr>
              <w:spacing w:after="20"/>
            </w:pPr>
            <w:r/>
            <w:r>
              <w:rPr>
                <w:b w:val="0"/>
                <w:sz w:val="17"/>
              </w:rPr>
              <w:t>Tabular preprocessing, engineered features, multi-class model experiments</w:t>
            </w:r>
          </w:p>
        </w:tc>
        <w:tc>
          <w:tcPr>
            <w:tcW w:type="dxa" w:w="3293"/>
            <w:vAlign w:val="center"/>
          </w:tcPr>
          <w:p>
            <w:pPr>
              <w:spacing w:after="20"/>
            </w:pPr>
            <w:r/>
            <w:r>
              <w:rPr>
                <w:b w:val="0"/>
                <w:sz w:val="17"/>
              </w:rPr>
              <w:t>Reliable real-world performance unless confirmed on original held-out drivers</w:t>
            </w:r>
          </w:p>
        </w:tc>
      </w:tr>
      <w:tr>
        <w:tc>
          <w:tcPr>
            <w:tcW w:type="dxa" w:w="3293"/>
            <w:vAlign w:val="center"/>
            <w:shd w:fill="F2F6FA"/>
          </w:tcPr>
          <w:p>
            <w:pPr>
              <w:spacing w:after="20"/>
            </w:pPr>
            <w:r/>
            <w:r>
              <w:rPr>
                <w:b w:val="0"/>
                <w:sz w:val="17"/>
              </w:rPr>
              <w:t>Facial analysis</w:t>
            </w:r>
          </w:p>
        </w:tc>
        <w:tc>
          <w:tcPr>
            <w:tcW w:type="dxa" w:w="3293"/>
            <w:vAlign w:val="center"/>
            <w:shd w:fill="F2F6FA"/>
          </w:tcPr>
          <w:p>
            <w:pPr>
              <w:spacing w:after="20"/>
            </w:pPr>
            <w:r/>
            <w:r>
              <w:rPr>
                <w:b w:val="0"/>
                <w:sz w:val="17"/>
              </w:rPr>
              <w:t>EAR/MAR-style geometric measurements when a face is tracked</w:t>
            </w:r>
          </w:p>
        </w:tc>
        <w:tc>
          <w:tcPr>
            <w:tcW w:type="dxa" w:w="3293"/>
            <w:vAlign w:val="center"/>
            <w:shd w:fill="F2F6FA"/>
          </w:tcPr>
          <w:p>
            <w:pPr>
              <w:spacing w:after="20"/>
            </w:pPr>
            <w:r/>
            <w:r>
              <w:rPr>
                <w:b w:val="0"/>
                <w:sz w:val="17"/>
              </w:rPr>
              <w:t>Clinically valid drowsiness diagnosis</w:t>
            </w:r>
          </w:p>
        </w:tc>
      </w:tr>
      <w:tr>
        <w:tc>
          <w:tcPr>
            <w:tcW w:type="dxa" w:w="3293"/>
            <w:vAlign w:val="center"/>
          </w:tcPr>
          <w:p>
            <w:pPr>
              <w:spacing w:after="20"/>
            </w:pPr>
            <w:r/>
            <w:r>
              <w:rPr>
                <w:b w:val="0"/>
                <w:sz w:val="17"/>
              </w:rPr>
              <w:t>Object detection</w:t>
            </w:r>
          </w:p>
        </w:tc>
        <w:tc>
          <w:tcPr>
            <w:tcW w:type="dxa" w:w="3293"/>
            <w:vAlign w:val="center"/>
          </w:tcPr>
          <w:p>
            <w:pPr>
              <w:spacing w:after="20"/>
            </w:pPr>
            <w:r/>
            <w:r>
              <w:rPr>
                <w:b w:val="0"/>
                <w:sz w:val="17"/>
              </w:rPr>
              <w:t>Generic object detector for visible classes it supports</w:t>
            </w:r>
          </w:p>
        </w:tc>
        <w:tc>
          <w:tcPr>
            <w:tcW w:type="dxa" w:w="3293"/>
            <w:vAlign w:val="center"/>
          </w:tcPr>
          <w:p>
            <w:pPr>
              <w:spacing w:after="20"/>
            </w:pPr>
            <w:r/>
            <w:r>
              <w:rPr>
                <w:b w:val="0"/>
                <w:sz w:val="17"/>
              </w:rPr>
              <w:t>Reliable cigarette/phone distinction or proof that an object is being used by the driver</w:t>
            </w:r>
          </w:p>
        </w:tc>
      </w:tr>
      <w:tr>
        <w:tc>
          <w:tcPr>
            <w:tcW w:type="dxa" w:w="3293"/>
            <w:vAlign w:val="center"/>
            <w:shd w:fill="F2F6FA"/>
          </w:tcPr>
          <w:p>
            <w:pPr>
              <w:spacing w:after="20"/>
            </w:pPr>
            <w:r/>
            <w:r>
              <w:rPr>
                <w:b w:val="0"/>
                <w:sz w:val="17"/>
              </w:rPr>
              <w:t>Journey summary</w:t>
            </w:r>
          </w:p>
        </w:tc>
        <w:tc>
          <w:tcPr>
            <w:tcW w:type="dxa" w:w="3293"/>
            <w:vAlign w:val="center"/>
            <w:shd w:fill="F2F6FA"/>
          </w:tcPr>
          <w:p>
            <w:pPr>
              <w:spacing w:after="20"/>
            </w:pPr>
            <w:r/>
            <w:r>
              <w:rPr>
                <w:b w:val="0"/>
                <w:sz w:val="17"/>
              </w:rPr>
              <w:t>Prototype event-penalty formula</w:t>
            </w:r>
          </w:p>
        </w:tc>
        <w:tc>
          <w:tcPr>
            <w:tcW w:type="dxa" w:w="3293"/>
            <w:vAlign w:val="center"/>
            <w:shd w:fill="F2F6FA"/>
          </w:tcPr>
          <w:p>
            <w:pPr>
              <w:spacing w:after="20"/>
            </w:pPr>
            <w:r/>
            <w:r>
              <w:rPr>
                <w:b w:val="0"/>
                <w:sz w:val="17"/>
              </w:rPr>
              <w:t>Validated or calibrated safety score</w:t>
            </w:r>
          </w:p>
        </w:tc>
      </w:tr>
      <w:tr>
        <w:tc>
          <w:tcPr>
            <w:tcW w:type="dxa" w:w="3293"/>
            <w:vAlign w:val="center"/>
          </w:tcPr>
          <w:p>
            <w:pPr>
              <w:spacing w:after="20"/>
            </w:pPr>
            <w:r/>
            <w:r>
              <w:rPr>
                <w:b w:val="0"/>
                <w:sz w:val="17"/>
              </w:rPr>
              <w:t>Deployment</w:t>
            </w:r>
          </w:p>
        </w:tc>
        <w:tc>
          <w:tcPr>
            <w:tcW w:type="dxa" w:w="3293"/>
            <w:vAlign w:val="center"/>
          </w:tcPr>
          <w:p>
            <w:pPr>
              <w:spacing w:after="20"/>
            </w:pPr>
            <w:r/>
            <w:r>
              <w:rPr>
                <w:b w:val="0"/>
                <w:sz w:val="17"/>
              </w:rPr>
              <w:t>Serialized model pipeline and Streamlit-oriented workflow</w:t>
            </w:r>
          </w:p>
        </w:tc>
        <w:tc>
          <w:tcPr>
            <w:tcW w:type="dxa" w:w="3293"/>
            <w:vAlign w:val="center"/>
          </w:tcPr>
          <w:p>
            <w:pPr>
              <w:spacing w:after="20"/>
            </w:pPr>
            <w:r/>
            <w:r>
              <w:rPr>
                <w:b w:val="0"/>
                <w:sz w:val="17"/>
              </w:rPr>
              <w:t>Production-grade safety, latency, robustness, or vehicle integration</w:t>
            </w:r>
          </w:p>
        </w:tc>
      </w:tr>
    </w:tbl>
    <w:p/>
    <w:p>
      <w:pPr>
        <w:pStyle w:val="Heading2"/>
      </w:pPr>
      <w:r>
        <w:t>3.1 Functional requirements</w:t>
      </w:r>
    </w:p>
    <w:p>
      <w:pPr>
        <w:pStyle w:val="ListBullet"/>
      </w:pPr>
      <w:r>
        <w:t>Load a supported sensor table and validate required columns.</w:t>
      </w:r>
    </w:p>
    <w:p>
      <w:pPr>
        <w:pStyle w:val="ListBullet"/>
      </w:pPr>
      <w:r>
        <w:t>Handle missing numerical values consistently using a fitted preprocessing pipeline.</w:t>
      </w:r>
    </w:p>
    <w:p>
      <w:pPr>
        <w:pStyle w:val="ListBullet"/>
      </w:pPr>
      <w:r>
        <w:t>Train and evaluate multi-class classifiers with a driver-aware split.</w:t>
      </w:r>
    </w:p>
    <w:p>
      <w:pPr>
        <w:pStyle w:val="ListBullet"/>
      </w:pPr>
      <w:r>
        <w:t>Show class counts, model comparison, per-class results, and a confusion matrix.</w:t>
      </w:r>
    </w:p>
    <w:p>
      <w:pPr>
        <w:pStyle w:val="ListBullet"/>
      </w:pPr>
      <w:r>
        <w:t>Process a video file frame by frame and record measurable detections where available.</w:t>
      </w:r>
    </w:p>
    <w:p>
      <w:pPr>
        <w:pStyle w:val="ListBullet"/>
      </w:pPr>
      <w:r>
        <w:t>Save model artifacts and structured experiment outputs.</w:t>
      </w:r>
    </w:p>
    <w:p>
      <w:pPr>
        <w:pStyle w:val="Heading2"/>
      </w:pPr>
      <w:r>
        <w:t>3.2 Non-functional requirements</w:t>
      </w:r>
    </w:p>
    <w:p>
      <w:pPr>
        <w:pStyle w:val="ListBullet"/>
      </w:pPr>
      <w:r>
        <w:t>Reproducibility through fixed random seeds and documented dataset versions.</w:t>
      </w:r>
    </w:p>
    <w:p>
      <w:pPr>
        <w:pStyle w:val="ListBullet"/>
      </w:pPr>
      <w:r>
        <w:t>Clear separation between measured outputs, simulated examples, and manually supplied demonstration values.</w:t>
      </w:r>
    </w:p>
    <w:p>
      <w:pPr>
        <w:pStyle w:val="ListBullet"/>
      </w:pPr>
      <w:r>
        <w:t>Privacy-conscious handling of cabin video and explicit consent for any recorded person.</w:t>
      </w:r>
    </w:p>
    <w:p>
      <w:pPr>
        <w:pStyle w:val="ListBullet"/>
      </w:pPr>
      <w:r>
        <w:t>Graceful handling of missing face landmarks, low confidence, and unsupported objects.</w:t>
      </w:r>
    </w:p>
    <w:p>
      <w:pPr>
        <w:pStyle w:val="ListBullet"/>
      </w:pPr>
      <w:r>
        <w:t>Readable outputs that allow a reviewer to trace a conclusion back to an experiment.</w:t>
      </w:r>
    </w:p>
    <w:p>
      <w:pPr>
        <w:pStyle w:val="Heading1"/>
      </w:pPr>
      <w:r>
        <w:t>4. Dataset and target classes</w:t>
      </w:r>
    </w:p>
    <w:p>
      <w:r>
        <w:t>The project context identifies DriverSVT as the intended source of smartphone telemetry. The notebook includes the following fields in its modelling schema: userid, dangerousstate, speed, gforce, acc_X, acc_Y, acc_Z, accelerometer_data_X, accelerometer_data_Y, accelerometer_data_Z, gyroscope_data_X, gyroscope_data_Y, gyroscope_data_Z, perclos, and mouth_open_ratio.</w:t>
      </w:r>
    </w:p>
    <w:p>
      <w:r>
        <w:t>The current notebook's data-preparation cell, however, generates a synthetic table with 15,000 rows, 15 columns, and 50 generated driver IDs if it cannot find the expected cached table. The labels and feature values in that fallback are simulated. This is useful for checking whether code executes, but it is not a substitute for the source dataset.</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17365D"/>
          </w:tcPr>
          <w:p>
            <w:pPr>
              <w:spacing w:after="20"/>
            </w:pPr>
            <w:r/>
            <w:r>
              <w:rPr>
                <w:b/>
                <w:color w:val="FFFFFF"/>
                <w:sz w:val="18"/>
              </w:rPr>
              <w:t>Target label</w:t>
            </w:r>
          </w:p>
        </w:tc>
        <w:tc>
          <w:tcPr>
            <w:tcW w:type="dxa" w:w="4939"/>
            <w:vAlign w:val="center"/>
            <w:shd w:fill="17365D"/>
          </w:tcPr>
          <w:p>
            <w:pPr>
              <w:spacing w:after="20"/>
            </w:pPr>
            <w:r/>
            <w:r>
              <w:rPr>
                <w:b/>
                <w:color w:val="FFFFFF"/>
                <w:sz w:val="18"/>
              </w:rPr>
              <w:t>Interpretation in the project</w:t>
            </w:r>
          </w:p>
        </w:tc>
      </w:tr>
      <w:tr>
        <w:tc>
          <w:tcPr>
            <w:tcW w:type="dxa" w:w="4939"/>
            <w:vAlign w:val="center"/>
          </w:tcPr>
          <w:p>
            <w:pPr>
              <w:spacing w:after="20"/>
            </w:pPr>
            <w:r/>
            <w:r>
              <w:rPr>
                <w:b w:val="0"/>
                <w:sz w:val="17"/>
              </w:rPr>
              <w:t>Normal</w:t>
            </w:r>
          </w:p>
        </w:tc>
        <w:tc>
          <w:tcPr>
            <w:tcW w:type="dxa" w:w="4939"/>
            <w:vAlign w:val="center"/>
          </w:tcPr>
          <w:p>
            <w:pPr>
              <w:spacing w:after="20"/>
            </w:pPr>
            <w:r/>
            <w:r>
              <w:rPr>
                <w:b w:val="0"/>
                <w:sz w:val="17"/>
              </w:rPr>
              <w:t>Reference/ordinary driving state</w:t>
            </w:r>
          </w:p>
        </w:tc>
      </w:tr>
      <w:tr>
        <w:tc>
          <w:tcPr>
            <w:tcW w:type="dxa" w:w="4939"/>
            <w:vAlign w:val="center"/>
            <w:shd w:fill="F2F6FA"/>
          </w:tcPr>
          <w:p>
            <w:pPr>
              <w:spacing w:after="20"/>
            </w:pPr>
            <w:r/>
            <w:r>
              <w:rPr>
                <w:b w:val="0"/>
                <w:sz w:val="17"/>
              </w:rPr>
              <w:t>Distraction</w:t>
            </w:r>
          </w:p>
        </w:tc>
        <w:tc>
          <w:tcPr>
            <w:tcW w:type="dxa" w:w="4939"/>
            <w:vAlign w:val="center"/>
            <w:shd w:fill="F2F6FA"/>
          </w:tcPr>
          <w:p>
            <w:pPr>
              <w:spacing w:after="20"/>
            </w:pPr>
            <w:r/>
            <w:r>
              <w:rPr>
                <w:b w:val="0"/>
                <w:sz w:val="17"/>
              </w:rPr>
              <w:t>Possible distraction state</w:t>
            </w:r>
          </w:p>
        </w:tc>
      </w:tr>
      <w:tr>
        <w:tc>
          <w:tcPr>
            <w:tcW w:type="dxa" w:w="4939"/>
            <w:vAlign w:val="center"/>
          </w:tcPr>
          <w:p>
            <w:pPr>
              <w:spacing w:after="20"/>
            </w:pPr>
            <w:r/>
            <w:r>
              <w:rPr>
                <w:b w:val="0"/>
                <w:sz w:val="17"/>
              </w:rPr>
              <w:t>Drowsiness</w:t>
            </w:r>
          </w:p>
        </w:tc>
        <w:tc>
          <w:tcPr>
            <w:tcW w:type="dxa" w:w="4939"/>
            <w:vAlign w:val="center"/>
          </w:tcPr>
          <w:p>
            <w:pPr>
              <w:spacing w:after="20"/>
            </w:pPr>
            <w:r/>
            <w:r>
              <w:rPr>
                <w:b w:val="0"/>
                <w:sz w:val="17"/>
              </w:rPr>
              <w:t>Possible fatigue-related state</w:t>
            </w:r>
          </w:p>
        </w:tc>
      </w:tr>
      <w:tr>
        <w:tc>
          <w:tcPr>
            <w:tcW w:type="dxa" w:w="4939"/>
            <w:vAlign w:val="center"/>
            <w:shd w:fill="F2F6FA"/>
          </w:tcPr>
          <w:p>
            <w:pPr>
              <w:spacing w:after="20"/>
            </w:pPr>
            <w:r/>
            <w:r>
              <w:rPr>
                <w:b w:val="0"/>
                <w:sz w:val="17"/>
              </w:rPr>
              <w:t>Using phone</w:t>
            </w:r>
          </w:p>
        </w:tc>
        <w:tc>
          <w:tcPr>
            <w:tcW w:type="dxa" w:w="4939"/>
            <w:vAlign w:val="center"/>
            <w:shd w:fill="F2F6FA"/>
          </w:tcPr>
          <w:p>
            <w:pPr>
              <w:spacing w:after="20"/>
            </w:pPr>
            <w:r/>
            <w:r>
              <w:rPr>
                <w:b w:val="0"/>
                <w:sz w:val="17"/>
              </w:rPr>
              <w:t>Phone-use label in the dataset</w:t>
            </w:r>
          </w:p>
        </w:tc>
      </w:tr>
      <w:tr>
        <w:tc>
          <w:tcPr>
            <w:tcW w:type="dxa" w:w="4939"/>
            <w:vAlign w:val="center"/>
          </w:tcPr>
          <w:p>
            <w:pPr>
              <w:spacing w:after="20"/>
            </w:pPr>
            <w:r/>
            <w:r>
              <w:rPr>
                <w:b w:val="0"/>
                <w:sz w:val="17"/>
              </w:rPr>
              <w:t>No attention</w:t>
            </w:r>
          </w:p>
        </w:tc>
        <w:tc>
          <w:tcPr>
            <w:tcW w:type="dxa" w:w="4939"/>
            <w:vAlign w:val="center"/>
          </w:tcPr>
          <w:p>
            <w:pPr>
              <w:spacing w:after="20"/>
            </w:pPr>
            <w:r/>
            <w:r>
              <w:rPr>
                <w:b w:val="0"/>
                <w:sz w:val="17"/>
              </w:rPr>
              <w:t>Dataset-specific attention label</w:t>
            </w:r>
          </w:p>
        </w:tc>
      </w:tr>
      <w:tr>
        <w:tc>
          <w:tcPr>
            <w:tcW w:type="dxa" w:w="4939"/>
            <w:vAlign w:val="center"/>
            <w:shd w:fill="F2F6FA"/>
          </w:tcPr>
          <w:p>
            <w:pPr>
              <w:spacing w:after="20"/>
            </w:pPr>
            <w:r/>
            <w:r>
              <w:rPr>
                <w:b w:val="0"/>
                <w:sz w:val="17"/>
              </w:rPr>
              <w:t>Eating</w:t>
            </w:r>
          </w:p>
        </w:tc>
        <w:tc>
          <w:tcPr>
            <w:tcW w:type="dxa" w:w="4939"/>
            <w:vAlign w:val="center"/>
            <w:shd w:fill="F2F6FA"/>
          </w:tcPr>
          <w:p>
            <w:pPr>
              <w:spacing w:after="20"/>
            </w:pPr>
            <w:r/>
            <w:r>
              <w:rPr>
                <w:b w:val="0"/>
                <w:sz w:val="17"/>
              </w:rPr>
              <w:t>Eating-related label</w:t>
            </w:r>
          </w:p>
        </w:tc>
      </w:tr>
      <w:tr>
        <w:tc>
          <w:tcPr>
            <w:tcW w:type="dxa" w:w="4939"/>
            <w:vAlign w:val="center"/>
          </w:tcPr>
          <w:p>
            <w:pPr>
              <w:spacing w:after="20"/>
            </w:pPr>
            <w:r/>
            <w:r>
              <w:rPr>
                <w:b w:val="0"/>
                <w:sz w:val="17"/>
              </w:rPr>
              <w:t>Smoking</w:t>
            </w:r>
          </w:p>
        </w:tc>
        <w:tc>
          <w:tcPr>
            <w:tcW w:type="dxa" w:w="4939"/>
            <w:vAlign w:val="center"/>
          </w:tcPr>
          <w:p>
            <w:pPr>
              <w:spacing w:after="20"/>
            </w:pPr>
            <w:r/>
            <w:r>
              <w:rPr>
                <w:b w:val="0"/>
                <w:sz w:val="17"/>
              </w:rPr>
              <w:t>Smoking-related label</w:t>
            </w:r>
          </w:p>
        </w:tc>
      </w:tr>
      <w:tr>
        <w:tc>
          <w:tcPr>
            <w:tcW w:type="dxa" w:w="4939"/>
            <w:vAlign w:val="center"/>
            <w:shd w:fill="F2F6FA"/>
          </w:tcPr>
          <w:p>
            <w:pPr>
              <w:spacing w:after="20"/>
            </w:pPr>
            <w:r/>
            <w:r>
              <w:rPr>
                <w:b w:val="0"/>
                <w:sz w:val="17"/>
              </w:rPr>
              <w:t>Unfastened belt</w:t>
            </w:r>
          </w:p>
        </w:tc>
        <w:tc>
          <w:tcPr>
            <w:tcW w:type="dxa" w:w="4939"/>
            <w:vAlign w:val="center"/>
            <w:shd w:fill="F2F6FA"/>
          </w:tcPr>
          <w:p>
            <w:pPr>
              <w:spacing w:after="20"/>
            </w:pPr>
            <w:r/>
            <w:r>
              <w:rPr>
                <w:b w:val="0"/>
                <w:sz w:val="17"/>
              </w:rPr>
              <w:t>Seat-belt state label</w:t>
            </w:r>
          </w:p>
        </w:tc>
      </w:tr>
      <w:tr>
        <w:tc>
          <w:tcPr>
            <w:tcW w:type="dxa" w:w="4939"/>
            <w:vAlign w:val="center"/>
          </w:tcPr>
          <w:p>
            <w:pPr>
              <w:spacing w:after="20"/>
            </w:pPr>
            <w:r/>
            <w:r>
              <w:rPr>
                <w:b w:val="0"/>
                <w:sz w:val="17"/>
              </w:rPr>
              <w:t>Camera off</w:t>
            </w:r>
          </w:p>
        </w:tc>
        <w:tc>
          <w:tcPr>
            <w:tcW w:type="dxa" w:w="4939"/>
            <w:vAlign w:val="center"/>
          </w:tcPr>
          <w:p>
            <w:pPr>
              <w:spacing w:after="20"/>
            </w:pPr>
            <w:r/>
            <w:r>
              <w:rPr>
                <w:b w:val="0"/>
                <w:sz w:val="17"/>
              </w:rPr>
              <w:t>Camera unavailable/off label</w:t>
            </w:r>
          </w:p>
        </w:tc>
      </w:tr>
    </w:tbl>
    <w:p/>
    <w:p>
      <w:r>
        <w:t>The exact operational definitions of these labels should be taken from the dataset documentation. A model can learn only the label conventions and evidence represented in its training data; a label name alone does not prove that a particular visual or sensor pattern is a reliable indicator.</w:t>
      </w:r>
    </w:p>
    <w:p>
      <w:pPr>
        <w:pStyle w:val="Heading1"/>
      </w:pPr>
      <w:r>
        <w:t>5. Methodology and workflow</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7365D"/>
          </w:tcPr>
          <w:p>
            <w:pPr>
              <w:spacing w:after="20"/>
            </w:pPr>
            <w:r/>
            <w:r>
              <w:rPr>
                <w:b/>
                <w:color w:val="FFFFFF"/>
                <w:sz w:val="18"/>
              </w:rPr>
              <w:t>Stage</w:t>
            </w:r>
          </w:p>
        </w:tc>
        <w:tc>
          <w:tcPr>
            <w:tcW w:type="dxa" w:w="3293"/>
            <w:vAlign w:val="center"/>
            <w:shd w:fill="17365D"/>
          </w:tcPr>
          <w:p>
            <w:pPr>
              <w:spacing w:after="20"/>
            </w:pPr>
            <w:r/>
            <w:r>
              <w:rPr>
                <w:b/>
                <w:color w:val="FFFFFF"/>
                <w:sz w:val="18"/>
              </w:rPr>
              <w:t>Purpose</w:t>
            </w:r>
          </w:p>
        </w:tc>
        <w:tc>
          <w:tcPr>
            <w:tcW w:type="dxa" w:w="3293"/>
            <w:vAlign w:val="center"/>
            <w:shd w:fill="17365D"/>
          </w:tcPr>
          <w:p>
            <w:pPr>
              <w:spacing w:after="20"/>
            </w:pPr>
            <w:r/>
            <w:r>
              <w:rPr>
                <w:b/>
                <w:color w:val="FFFFFF"/>
                <w:sz w:val="18"/>
              </w:rPr>
              <w:t>Evidence to retain</w:t>
            </w:r>
          </w:p>
        </w:tc>
      </w:tr>
      <w:tr>
        <w:tc>
          <w:tcPr>
            <w:tcW w:type="dxa" w:w="3293"/>
            <w:vAlign w:val="center"/>
          </w:tcPr>
          <w:p>
            <w:pPr>
              <w:spacing w:after="20"/>
            </w:pPr>
            <w:r/>
            <w:r>
              <w:rPr>
                <w:b w:val="0"/>
                <w:sz w:val="17"/>
              </w:rPr>
              <w:t>1. Problem definition</w:t>
            </w:r>
          </w:p>
        </w:tc>
        <w:tc>
          <w:tcPr>
            <w:tcW w:type="dxa" w:w="3293"/>
            <w:vAlign w:val="center"/>
          </w:tcPr>
          <w:p>
            <w:pPr>
              <w:spacing w:after="20"/>
            </w:pPr>
            <w:r/>
            <w:r>
              <w:rPr>
                <w:b w:val="0"/>
                <w:sz w:val="17"/>
              </w:rPr>
              <w:t>Define target states, intended user, and boundaries</w:t>
            </w:r>
          </w:p>
        </w:tc>
        <w:tc>
          <w:tcPr>
            <w:tcW w:type="dxa" w:w="3293"/>
            <w:vAlign w:val="center"/>
          </w:tcPr>
          <w:p>
            <w:pPr>
              <w:spacing w:after="20"/>
            </w:pPr>
            <w:r/>
            <w:r>
              <w:rPr>
                <w:b w:val="0"/>
                <w:sz w:val="17"/>
              </w:rPr>
              <w:t>Problem statement and requirements</w:t>
            </w:r>
          </w:p>
        </w:tc>
      </w:tr>
      <w:tr>
        <w:tc>
          <w:tcPr>
            <w:tcW w:type="dxa" w:w="3293"/>
            <w:vAlign w:val="center"/>
            <w:shd w:fill="F2F6FA"/>
          </w:tcPr>
          <w:p>
            <w:pPr>
              <w:spacing w:after="20"/>
            </w:pPr>
            <w:r/>
            <w:r>
              <w:rPr>
                <w:b w:val="0"/>
                <w:sz w:val="17"/>
              </w:rPr>
              <w:t>2. Data ingestion</w:t>
            </w:r>
          </w:p>
        </w:tc>
        <w:tc>
          <w:tcPr>
            <w:tcW w:type="dxa" w:w="3293"/>
            <w:vAlign w:val="center"/>
            <w:shd w:fill="F2F6FA"/>
          </w:tcPr>
          <w:p>
            <w:pPr>
              <w:spacing w:after="20"/>
            </w:pPr>
            <w:r/>
            <w:r>
              <w:rPr>
                <w:b w:val="0"/>
                <w:sz w:val="17"/>
              </w:rPr>
              <w:t>Load source files and validate schema</w:t>
            </w:r>
          </w:p>
        </w:tc>
        <w:tc>
          <w:tcPr>
            <w:tcW w:type="dxa" w:w="3293"/>
            <w:vAlign w:val="center"/>
            <w:shd w:fill="F2F6FA"/>
          </w:tcPr>
          <w:p>
            <w:pPr>
              <w:spacing w:after="20"/>
            </w:pPr>
            <w:r/>
            <w:r>
              <w:rPr>
                <w:b w:val="0"/>
                <w:sz w:val="17"/>
              </w:rPr>
              <w:t>Source, version, row/column counts, label dictionary</w:t>
            </w:r>
          </w:p>
        </w:tc>
      </w:tr>
      <w:tr>
        <w:tc>
          <w:tcPr>
            <w:tcW w:type="dxa" w:w="3293"/>
            <w:vAlign w:val="center"/>
          </w:tcPr>
          <w:p>
            <w:pPr>
              <w:spacing w:after="20"/>
            </w:pPr>
            <w:r/>
            <w:r>
              <w:rPr>
                <w:b w:val="0"/>
                <w:sz w:val="17"/>
              </w:rPr>
              <w:t>3. Quality audit</w:t>
            </w:r>
          </w:p>
        </w:tc>
        <w:tc>
          <w:tcPr>
            <w:tcW w:type="dxa" w:w="3293"/>
            <w:vAlign w:val="center"/>
          </w:tcPr>
          <w:p>
            <w:pPr>
              <w:spacing w:after="20"/>
            </w:pPr>
            <w:r/>
            <w:r>
              <w:rPr>
                <w:b w:val="0"/>
                <w:sz w:val="17"/>
              </w:rPr>
              <w:t>Check missing values, duplicates, ranges, and invalid records</w:t>
            </w:r>
          </w:p>
        </w:tc>
        <w:tc>
          <w:tcPr>
            <w:tcW w:type="dxa" w:w="3293"/>
            <w:vAlign w:val="center"/>
          </w:tcPr>
          <w:p>
            <w:pPr>
              <w:spacing w:after="20"/>
            </w:pPr>
            <w:r/>
            <w:r>
              <w:rPr>
                <w:b w:val="0"/>
                <w:sz w:val="17"/>
              </w:rPr>
              <w:t>Audit table and cleaning log</w:t>
            </w:r>
          </w:p>
        </w:tc>
      </w:tr>
      <w:tr>
        <w:tc>
          <w:tcPr>
            <w:tcW w:type="dxa" w:w="3293"/>
            <w:vAlign w:val="center"/>
            <w:shd w:fill="F2F6FA"/>
          </w:tcPr>
          <w:p>
            <w:pPr>
              <w:spacing w:after="20"/>
            </w:pPr>
            <w:r/>
            <w:r>
              <w:rPr>
                <w:b w:val="0"/>
                <w:sz w:val="17"/>
              </w:rPr>
              <w:t>4. EDA</w:t>
            </w:r>
          </w:p>
        </w:tc>
        <w:tc>
          <w:tcPr>
            <w:tcW w:type="dxa" w:w="3293"/>
            <w:vAlign w:val="center"/>
            <w:shd w:fill="F2F6FA"/>
          </w:tcPr>
          <w:p>
            <w:pPr>
              <w:spacing w:after="20"/>
            </w:pPr>
            <w:r/>
            <w:r>
              <w:rPr>
                <w:b w:val="0"/>
                <w:sz w:val="17"/>
              </w:rPr>
              <w:t>Understand labels and sensor distributions</w:t>
            </w:r>
          </w:p>
        </w:tc>
        <w:tc>
          <w:tcPr>
            <w:tcW w:type="dxa" w:w="3293"/>
            <w:vAlign w:val="center"/>
            <w:shd w:fill="F2F6FA"/>
          </w:tcPr>
          <w:p>
            <w:pPr>
              <w:spacing w:after="20"/>
            </w:pPr>
            <w:r/>
            <w:r>
              <w:rPr>
                <w:b w:val="0"/>
                <w:sz w:val="17"/>
              </w:rPr>
              <w:t>Class-count chart, histograms, correlation plot</w:t>
            </w:r>
          </w:p>
        </w:tc>
      </w:tr>
      <w:tr>
        <w:tc>
          <w:tcPr>
            <w:tcW w:type="dxa" w:w="3293"/>
            <w:vAlign w:val="center"/>
          </w:tcPr>
          <w:p>
            <w:pPr>
              <w:spacing w:after="20"/>
            </w:pPr>
            <w:r/>
            <w:r>
              <w:rPr>
                <w:b w:val="0"/>
                <w:sz w:val="17"/>
              </w:rPr>
              <w:t>5. Feature engineering</w:t>
            </w:r>
          </w:p>
        </w:tc>
        <w:tc>
          <w:tcPr>
            <w:tcW w:type="dxa" w:w="3293"/>
            <w:vAlign w:val="center"/>
          </w:tcPr>
          <w:p>
            <w:pPr>
              <w:spacing w:after="20"/>
            </w:pPr>
            <w:r/>
            <w:r>
              <w:rPr>
                <w:b w:val="0"/>
                <w:sz w:val="17"/>
              </w:rPr>
              <w:t>Add justified derived kinematic features</w:t>
            </w:r>
          </w:p>
        </w:tc>
        <w:tc>
          <w:tcPr>
            <w:tcW w:type="dxa" w:w="3293"/>
            <w:vAlign w:val="center"/>
          </w:tcPr>
          <w:p>
            <w:pPr>
              <w:spacing w:after="20"/>
            </w:pPr>
            <w:r/>
            <w:r>
              <w:rPr>
                <w:b w:val="0"/>
                <w:sz w:val="17"/>
              </w:rPr>
              <w:t>Formula table and before/after examples</w:t>
            </w:r>
          </w:p>
        </w:tc>
      </w:tr>
      <w:tr>
        <w:tc>
          <w:tcPr>
            <w:tcW w:type="dxa" w:w="3293"/>
            <w:vAlign w:val="center"/>
            <w:shd w:fill="F2F6FA"/>
          </w:tcPr>
          <w:p>
            <w:pPr>
              <w:spacing w:after="20"/>
            </w:pPr>
            <w:r/>
            <w:r>
              <w:rPr>
                <w:b w:val="0"/>
                <w:sz w:val="17"/>
              </w:rPr>
              <w:t>6. Split design</w:t>
            </w:r>
          </w:p>
        </w:tc>
        <w:tc>
          <w:tcPr>
            <w:tcW w:type="dxa" w:w="3293"/>
            <w:vAlign w:val="center"/>
            <w:shd w:fill="F2F6FA"/>
          </w:tcPr>
          <w:p>
            <w:pPr>
              <w:spacing w:after="20"/>
            </w:pPr>
            <w:r/>
            <w:r>
              <w:rPr>
                <w:b w:val="0"/>
                <w:sz w:val="17"/>
              </w:rPr>
              <w:t>Keep driver identities disjoint across splits</w:t>
            </w:r>
          </w:p>
        </w:tc>
        <w:tc>
          <w:tcPr>
            <w:tcW w:type="dxa" w:w="3293"/>
            <w:vAlign w:val="center"/>
            <w:shd w:fill="F2F6FA"/>
          </w:tcPr>
          <w:p>
            <w:pPr>
              <w:spacing w:after="20"/>
            </w:pPr>
            <w:r/>
            <w:r>
              <w:rPr>
                <w:b w:val="0"/>
                <w:sz w:val="17"/>
              </w:rPr>
              <w:t>Driver counts and overlap check</w:t>
            </w:r>
          </w:p>
        </w:tc>
      </w:tr>
      <w:tr>
        <w:tc>
          <w:tcPr>
            <w:tcW w:type="dxa" w:w="3293"/>
            <w:vAlign w:val="center"/>
          </w:tcPr>
          <w:p>
            <w:pPr>
              <w:spacing w:after="20"/>
            </w:pPr>
            <w:r/>
            <w:r>
              <w:rPr>
                <w:b w:val="0"/>
                <w:sz w:val="17"/>
              </w:rPr>
              <w:t>7. Model training</w:t>
            </w:r>
          </w:p>
        </w:tc>
        <w:tc>
          <w:tcPr>
            <w:tcW w:type="dxa" w:w="3293"/>
            <w:vAlign w:val="center"/>
          </w:tcPr>
          <w:p>
            <w:pPr>
              <w:spacing w:after="20"/>
            </w:pPr>
            <w:r/>
            <w:r>
              <w:rPr>
                <w:b w:val="0"/>
                <w:sz w:val="17"/>
              </w:rPr>
              <w:t>Compare baseline and candidate algorithms</w:t>
            </w:r>
          </w:p>
        </w:tc>
        <w:tc>
          <w:tcPr>
            <w:tcW w:type="dxa" w:w="3293"/>
            <w:vAlign w:val="center"/>
          </w:tcPr>
          <w:p>
            <w:pPr>
              <w:spacing w:after="20"/>
            </w:pPr>
            <w:r/>
            <w:r>
              <w:rPr>
                <w:b w:val="0"/>
                <w:sz w:val="17"/>
              </w:rPr>
              <w:t>Parameters, runtime, and benchmark table</w:t>
            </w:r>
          </w:p>
        </w:tc>
      </w:tr>
      <w:tr>
        <w:tc>
          <w:tcPr>
            <w:tcW w:type="dxa" w:w="3293"/>
            <w:vAlign w:val="center"/>
            <w:shd w:fill="F2F6FA"/>
          </w:tcPr>
          <w:p>
            <w:pPr>
              <w:spacing w:after="20"/>
            </w:pPr>
            <w:r/>
            <w:r>
              <w:rPr>
                <w:b w:val="0"/>
                <w:sz w:val="17"/>
              </w:rPr>
              <w:t>8. Evaluation</w:t>
            </w:r>
          </w:p>
        </w:tc>
        <w:tc>
          <w:tcPr>
            <w:tcW w:type="dxa" w:w="3293"/>
            <w:vAlign w:val="center"/>
            <w:shd w:fill="F2F6FA"/>
          </w:tcPr>
          <w:p>
            <w:pPr>
              <w:spacing w:after="20"/>
            </w:pPr>
            <w:r/>
            <w:r>
              <w:rPr>
                <w:b w:val="0"/>
                <w:sz w:val="17"/>
              </w:rPr>
              <w:t>Measure overall and class-specific errors</w:t>
            </w:r>
          </w:p>
        </w:tc>
        <w:tc>
          <w:tcPr>
            <w:tcW w:type="dxa" w:w="3293"/>
            <w:vAlign w:val="center"/>
            <w:shd w:fill="F2F6FA"/>
          </w:tcPr>
          <w:p>
            <w:pPr>
              <w:spacing w:after="20"/>
            </w:pPr>
            <w:r/>
            <w:r>
              <w:rPr>
                <w:b w:val="0"/>
                <w:sz w:val="17"/>
              </w:rPr>
              <w:t>Metrics, confusion matrix, error examples</w:t>
            </w:r>
          </w:p>
        </w:tc>
      </w:tr>
      <w:tr>
        <w:tc>
          <w:tcPr>
            <w:tcW w:type="dxa" w:w="3293"/>
            <w:vAlign w:val="center"/>
          </w:tcPr>
          <w:p>
            <w:pPr>
              <w:spacing w:after="20"/>
            </w:pPr>
            <w:r/>
            <w:r>
              <w:rPr>
                <w:b w:val="0"/>
                <w:sz w:val="17"/>
              </w:rPr>
              <w:t>9. Ablation</w:t>
            </w:r>
          </w:p>
        </w:tc>
        <w:tc>
          <w:tcPr>
            <w:tcW w:type="dxa" w:w="3293"/>
            <w:vAlign w:val="center"/>
          </w:tcPr>
          <w:p>
            <w:pPr>
              <w:spacing w:after="20"/>
            </w:pPr>
            <w:r/>
            <w:r>
              <w:rPr>
                <w:b w:val="0"/>
                <w:sz w:val="17"/>
              </w:rPr>
              <w:t>Compare feature groups under the same split</w:t>
            </w:r>
          </w:p>
        </w:tc>
        <w:tc>
          <w:tcPr>
            <w:tcW w:type="dxa" w:w="3293"/>
            <w:vAlign w:val="center"/>
          </w:tcPr>
          <w:p>
            <w:pPr>
              <w:spacing w:after="20"/>
            </w:pPr>
            <w:r/>
            <w:r>
              <w:rPr>
                <w:b w:val="0"/>
                <w:sz w:val="17"/>
              </w:rPr>
              <w:t>Motion-only, state-only, combined results</w:t>
            </w:r>
          </w:p>
        </w:tc>
      </w:tr>
      <w:tr>
        <w:tc>
          <w:tcPr>
            <w:tcW w:type="dxa" w:w="3293"/>
            <w:vAlign w:val="center"/>
            <w:shd w:fill="F2F6FA"/>
          </w:tcPr>
          <w:p>
            <w:pPr>
              <w:spacing w:after="20"/>
            </w:pPr>
            <w:r/>
            <w:r>
              <w:rPr>
                <w:b w:val="0"/>
                <w:sz w:val="17"/>
              </w:rPr>
              <w:t>10. Vision prototype</w:t>
            </w:r>
          </w:p>
        </w:tc>
        <w:tc>
          <w:tcPr>
            <w:tcW w:type="dxa" w:w="3293"/>
            <w:vAlign w:val="center"/>
            <w:shd w:fill="F2F6FA"/>
          </w:tcPr>
          <w:p>
            <w:pPr>
              <w:spacing w:after="20"/>
            </w:pPr>
            <w:r/>
            <w:r>
              <w:rPr>
                <w:b w:val="0"/>
                <w:sz w:val="17"/>
              </w:rPr>
              <w:t>Measure face geometry and detect supported objects</w:t>
            </w:r>
          </w:p>
        </w:tc>
        <w:tc>
          <w:tcPr>
            <w:tcW w:type="dxa" w:w="3293"/>
            <w:vAlign w:val="center"/>
            <w:shd w:fill="F2F6FA"/>
          </w:tcPr>
          <w:p>
            <w:pPr>
              <w:spacing w:after="20"/>
            </w:pPr>
            <w:r/>
            <w:r>
              <w:rPr>
                <w:b w:val="0"/>
                <w:sz w:val="17"/>
              </w:rPr>
              <w:t>Video source, valid-frame coverage, event log</w:t>
            </w:r>
          </w:p>
        </w:tc>
      </w:tr>
      <w:tr>
        <w:tc>
          <w:tcPr>
            <w:tcW w:type="dxa" w:w="3293"/>
            <w:vAlign w:val="center"/>
          </w:tcPr>
          <w:p>
            <w:pPr>
              <w:spacing w:after="20"/>
            </w:pPr>
            <w:r/>
            <w:r>
              <w:rPr>
                <w:b w:val="0"/>
                <w:sz w:val="17"/>
              </w:rPr>
              <w:t>11. Reporting</w:t>
            </w:r>
          </w:p>
        </w:tc>
        <w:tc>
          <w:tcPr>
            <w:tcW w:type="dxa" w:w="3293"/>
            <w:vAlign w:val="center"/>
          </w:tcPr>
          <w:p>
            <w:pPr>
              <w:spacing w:after="20"/>
            </w:pPr>
            <w:r/>
            <w:r>
              <w:rPr>
                <w:b w:val="0"/>
                <w:sz w:val="17"/>
              </w:rPr>
              <w:t>Summarize findings and caveats</w:t>
            </w:r>
          </w:p>
        </w:tc>
        <w:tc>
          <w:tcPr>
            <w:tcW w:type="dxa" w:w="3293"/>
            <w:vAlign w:val="center"/>
          </w:tcPr>
          <w:p>
            <w:pPr>
              <w:spacing w:after="20"/>
            </w:pPr>
            <w:r/>
            <w:r>
              <w:rPr>
                <w:b w:val="0"/>
                <w:sz w:val="17"/>
              </w:rPr>
              <w:t>Reproducible report and saved artifacts</w:t>
            </w:r>
          </w:p>
        </w:tc>
      </w:tr>
    </w:tbl>
    <w:p/>
    <w:p>
      <w:pPr>
        <w:pStyle w:val="Heading1"/>
      </w:pPr>
      <w:r>
        <w:t>6. Data preparation and feature engineering</w:t>
      </w:r>
    </w:p>
    <w:p>
      <w:pPr>
        <w:pStyle w:val="Heading2"/>
      </w:pPr>
      <w:r>
        <w:t>6.1 Missing-value audit</w:t>
      </w:r>
    </w:p>
    <w:p>
      <w:r>
        <w:t>The notebook checks missing counts and missing percentages for the 13 raw numerical features: speed, g-force, accelerometer axes, gyroscope axes, PERCLOS, and mouth-opening ratio. In the saved notebook output, the audit table is empty, meaning no missing values were reported in the table used for that run. Because that table is generated synthetically in the current notebook, this finding must not be generalized to the original DriverSVT data.</w:t>
      </w:r>
    </w:p>
    <w:p>
      <w:pPr>
        <w:pStyle w:val="Heading2"/>
      </w:pPr>
      <w:r>
        <w:t>6.2 Engineered features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7365D"/>
          </w:tcPr>
          <w:p>
            <w:pPr>
              <w:spacing w:after="20"/>
            </w:pPr>
            <w:r/>
            <w:r>
              <w:rPr>
                <w:b/>
                <w:color w:val="FFFFFF"/>
                <w:sz w:val="18"/>
              </w:rPr>
              <w:t>Feature</w:t>
            </w:r>
          </w:p>
        </w:tc>
        <w:tc>
          <w:tcPr>
            <w:tcW w:type="dxa" w:w="3293"/>
            <w:vAlign w:val="center"/>
            <w:shd w:fill="17365D"/>
          </w:tcPr>
          <w:p>
            <w:pPr>
              <w:spacing w:after="20"/>
            </w:pPr>
            <w:r/>
            <w:r>
              <w:rPr>
                <w:b/>
                <w:color w:val="FFFFFF"/>
                <w:sz w:val="18"/>
              </w:rPr>
              <w:t>Formula</w:t>
            </w:r>
          </w:p>
        </w:tc>
        <w:tc>
          <w:tcPr>
            <w:tcW w:type="dxa" w:w="3293"/>
            <w:vAlign w:val="center"/>
            <w:shd w:fill="17365D"/>
          </w:tcPr>
          <w:p>
            <w:pPr>
              <w:spacing w:after="20"/>
            </w:pPr>
            <w:r/>
            <w:r>
              <w:rPr>
                <w:b/>
                <w:color w:val="FFFFFF"/>
                <w:sz w:val="18"/>
              </w:rPr>
              <w:t>Purpose / caution</w:t>
            </w:r>
          </w:p>
        </w:tc>
      </w:tr>
      <w:tr>
        <w:tc>
          <w:tcPr>
            <w:tcW w:type="dxa" w:w="3293"/>
            <w:vAlign w:val="center"/>
          </w:tcPr>
          <w:p>
            <w:pPr>
              <w:spacing w:after="20"/>
            </w:pPr>
            <w:r/>
            <w:r>
              <w:rPr>
                <w:b w:val="0"/>
                <w:sz w:val="17"/>
              </w:rPr>
              <w:t>Acceleration magnitude</w:t>
            </w:r>
          </w:p>
        </w:tc>
        <w:tc>
          <w:tcPr>
            <w:tcW w:type="dxa" w:w="3293"/>
            <w:vAlign w:val="center"/>
          </w:tcPr>
          <w:p>
            <w:pPr>
              <w:spacing w:after="20"/>
            </w:pPr>
            <w:r/>
            <w:r>
              <w:rPr>
                <w:b w:val="0"/>
                <w:sz w:val="17"/>
              </w:rPr>
              <w:t>√(acc_X² + acc_Y² + acc_Z²)</w:t>
            </w:r>
          </w:p>
        </w:tc>
        <w:tc>
          <w:tcPr>
            <w:tcW w:type="dxa" w:w="3293"/>
            <w:vAlign w:val="center"/>
          </w:tcPr>
          <w:p>
            <w:pPr>
              <w:spacing w:after="20"/>
            </w:pPr>
            <w:r/>
            <w:r>
              <w:rPr>
                <w:b w:val="0"/>
                <w:sz w:val="17"/>
              </w:rPr>
              <w:t>Summarizes three-axis acceleration; units and gravity handling depend on source signals.</w:t>
            </w:r>
          </w:p>
        </w:tc>
      </w:tr>
      <w:tr>
        <w:tc>
          <w:tcPr>
            <w:tcW w:type="dxa" w:w="3293"/>
            <w:vAlign w:val="center"/>
            <w:shd w:fill="F2F6FA"/>
          </w:tcPr>
          <w:p>
            <w:pPr>
              <w:spacing w:after="20"/>
            </w:pPr>
            <w:r/>
            <w:r>
              <w:rPr>
                <w:b w:val="0"/>
                <w:sz w:val="17"/>
              </w:rPr>
              <w:t>Gyroscope magnitude</w:t>
            </w:r>
          </w:p>
        </w:tc>
        <w:tc>
          <w:tcPr>
            <w:tcW w:type="dxa" w:w="3293"/>
            <w:vAlign w:val="center"/>
            <w:shd w:fill="F2F6FA"/>
          </w:tcPr>
          <w:p>
            <w:pPr>
              <w:spacing w:after="20"/>
            </w:pPr>
            <w:r/>
            <w:r>
              <w:rPr>
                <w:b w:val="0"/>
                <w:sz w:val="17"/>
              </w:rPr>
              <w:t>√(gyro_X² + gyro_Y² + gyro_Z²)</w:t>
            </w:r>
          </w:p>
        </w:tc>
        <w:tc>
          <w:tcPr>
            <w:tcW w:type="dxa" w:w="3293"/>
            <w:vAlign w:val="center"/>
            <w:shd w:fill="F2F6FA"/>
          </w:tcPr>
          <w:p>
            <w:pPr>
              <w:spacing w:after="20"/>
            </w:pPr>
            <w:r/>
            <w:r>
              <w:rPr>
                <w:b w:val="0"/>
                <w:sz w:val="17"/>
              </w:rPr>
              <w:t>Summarizes rotational motion across axes.</w:t>
            </w:r>
          </w:p>
        </w:tc>
      </w:tr>
      <w:tr>
        <w:tc>
          <w:tcPr>
            <w:tcW w:type="dxa" w:w="3293"/>
            <w:vAlign w:val="center"/>
          </w:tcPr>
          <w:p>
            <w:pPr>
              <w:spacing w:after="20"/>
            </w:pPr>
            <w:r/>
            <w:r>
              <w:rPr>
                <w:b w:val="0"/>
                <w:sz w:val="17"/>
              </w:rPr>
              <w:t>Kinetic intensity proxy</w:t>
            </w:r>
          </w:p>
        </w:tc>
        <w:tc>
          <w:tcPr>
            <w:tcW w:type="dxa" w:w="3293"/>
            <w:vAlign w:val="center"/>
          </w:tcPr>
          <w:p>
            <w:pPr>
              <w:spacing w:after="20"/>
            </w:pPr>
            <w:r/>
            <w:r>
              <w:rPr>
                <w:b w:val="0"/>
                <w:sz w:val="17"/>
              </w:rPr>
              <w:t>speed × gforce</w:t>
            </w:r>
          </w:p>
        </w:tc>
        <w:tc>
          <w:tcPr>
            <w:tcW w:type="dxa" w:w="3293"/>
            <w:vAlign w:val="center"/>
          </w:tcPr>
          <w:p>
            <w:pPr>
              <w:spacing w:after="20"/>
            </w:pPr>
            <w:r/>
            <w:r>
              <w:rPr>
                <w:b w:val="0"/>
                <w:sz w:val="17"/>
              </w:rPr>
              <w:t>Simple interaction proxy; units and physical interpretation require validation.</w:t>
            </w:r>
          </w:p>
        </w:tc>
      </w:tr>
    </w:tbl>
    <w:p/>
    <w:p>
      <w:r>
        <w:t>These features reduce dependence on the orientation of individual axes in some settings, but do not remove all device-placement effects. Feature units, sensor calibration, and the meaning of g-force must be checked against the original data documentation.</w:t>
      </w:r>
    </w:p>
    <w:p>
      <w:pPr>
        <w:pStyle w:val="Heading1"/>
      </w:pPr>
      <w:r>
        <w:t>7. Exploratory analysis and data splitting</w:t>
      </w:r>
    </w:p>
    <w:p>
      <w:r>
        <w:t>The notebook plots the target-label distribution and a correlation matrix for speed, g-force, acceleration magnitude, gyroscope magnitude, PERCLOS, and mouth-opening ratio. The purpose is to identify class imbalance, relationships among numerical features, and possible redundancy. Correlation does not establish causation and should not be treated as evidence that a feature alone can identify a behavior.</w:t>
      </w:r>
    </w:p>
    <w:p>
      <w:pPr>
        <w:pStyle w:val="Heading2"/>
      </w:pPr>
      <w:r>
        <w:t>7.1 Driver-separated split</w:t>
      </w:r>
    </w:p>
    <w:p>
      <w:r>
        <w:t>The notebook uses an existing split column when available; otherwise, it applies GroupShuffleSplit using userid as the group. The intended rule is that one driver's samples must not appear in both training and test sets. The split must be audited by reporting the number of unique drivers in each partition and confirming that the intersection is empty.</w:t>
      </w:r>
    </w:p>
    <w:p>
      <w:r>
        <w:t>A split method in code is not, by itself, proof that the saved experiment used the original dataset. The source table and actual split outputs must be confirmed for the final evaluation.</w:t>
      </w:r>
    </w:p>
    <w:p>
      <w:pPr>
        <w:pStyle w:val="Heading1"/>
      </w:pPr>
      <w:r>
        <w:t>8. Model development</w:t>
      </w:r>
    </w:p>
    <w:p>
      <w:r>
        <w:t>The notebook defines a DummyClassifier majority baseline and candidate classifiers including Logistic Regression, Random Forest, ExtraTrees, and HistGradientBoosting, with preprocessing pipelines that include median imputation and class-imbalance handling where configured. Tree-based models can represent non-linear relationships, while Logistic Regression provides a simpler comparison point.</w:t>
      </w:r>
    </w:p>
    <w:p>
      <w:r>
        <w:t>Model selection should be based on a predefined primary metric and per-class safety-relevant error analysis rather than selecting whichever metric looks best after the fact. All candidate models must use the same split and comparable feature inputs for a fair comparison.</w:t>
      </w:r>
    </w:p>
    <w:p>
      <w:pPr>
        <w:pStyle w:val="Heading1"/>
      </w:pPr>
      <w:r>
        <w:t>9. Evaluation metrics and current notebook results</w:t>
      </w:r>
    </w:p>
    <w:p>
      <w:pPr>
        <w:pStyle w:val="Heading2"/>
      </w:pPr>
      <w:r>
        <w:t>9.1 Metrics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7365D"/>
          </w:tcPr>
          <w:p>
            <w:pPr>
              <w:spacing w:after="20"/>
            </w:pPr>
            <w:r/>
            <w:r>
              <w:rPr>
                <w:b/>
                <w:color w:val="FFFFFF"/>
                <w:sz w:val="18"/>
              </w:rPr>
              <w:t>Metric</w:t>
            </w:r>
          </w:p>
        </w:tc>
        <w:tc>
          <w:tcPr>
            <w:tcW w:type="dxa" w:w="3293"/>
            <w:vAlign w:val="center"/>
            <w:shd w:fill="17365D"/>
          </w:tcPr>
          <w:p>
            <w:pPr>
              <w:spacing w:after="20"/>
            </w:pPr>
            <w:r/>
            <w:r>
              <w:rPr>
                <w:b/>
                <w:color w:val="FFFFFF"/>
                <w:sz w:val="18"/>
              </w:rPr>
              <w:t>Meaning</w:t>
            </w:r>
          </w:p>
        </w:tc>
        <w:tc>
          <w:tcPr>
            <w:tcW w:type="dxa" w:w="3293"/>
            <w:vAlign w:val="center"/>
            <w:shd w:fill="17365D"/>
          </w:tcPr>
          <w:p>
            <w:pPr>
              <w:spacing w:after="20"/>
            </w:pPr>
            <w:r/>
            <w:r>
              <w:rPr>
                <w:b/>
                <w:color w:val="FFFFFF"/>
                <w:sz w:val="18"/>
              </w:rPr>
              <w:t>Why it is included</w:t>
            </w:r>
          </w:p>
        </w:tc>
      </w:tr>
      <w:tr>
        <w:tc>
          <w:tcPr>
            <w:tcW w:type="dxa" w:w="3293"/>
            <w:vAlign w:val="center"/>
          </w:tcPr>
          <w:p>
            <w:pPr>
              <w:spacing w:after="20"/>
            </w:pPr>
            <w:r/>
            <w:r>
              <w:rPr>
                <w:b w:val="0"/>
                <w:sz w:val="17"/>
              </w:rPr>
              <w:t>Accuracy</w:t>
            </w:r>
          </w:p>
        </w:tc>
        <w:tc>
          <w:tcPr>
            <w:tcW w:type="dxa" w:w="3293"/>
            <w:vAlign w:val="center"/>
          </w:tcPr>
          <w:p>
            <w:pPr>
              <w:spacing w:after="20"/>
            </w:pPr>
            <w:r/>
            <w:r>
              <w:rPr>
                <w:b w:val="0"/>
                <w:sz w:val="17"/>
              </w:rPr>
              <w:t>Fraction of all predictions that are correct</w:t>
            </w:r>
          </w:p>
        </w:tc>
        <w:tc>
          <w:tcPr>
            <w:tcW w:type="dxa" w:w="3293"/>
            <w:vAlign w:val="center"/>
          </w:tcPr>
          <w:p>
            <w:pPr>
              <w:spacing w:after="20"/>
            </w:pPr>
            <w:r/>
            <w:r>
              <w:rPr>
                <w:b w:val="0"/>
                <w:sz w:val="17"/>
              </w:rPr>
              <w:t>Easy to understand but can hide rare-class failures</w:t>
            </w:r>
          </w:p>
        </w:tc>
      </w:tr>
      <w:tr>
        <w:tc>
          <w:tcPr>
            <w:tcW w:type="dxa" w:w="3293"/>
            <w:vAlign w:val="center"/>
            <w:shd w:fill="F2F6FA"/>
          </w:tcPr>
          <w:p>
            <w:pPr>
              <w:spacing w:after="20"/>
            </w:pPr>
            <w:r/>
            <w:r>
              <w:rPr>
                <w:b w:val="0"/>
                <w:sz w:val="17"/>
              </w:rPr>
              <w:t>Balanced accuracy</w:t>
            </w:r>
          </w:p>
        </w:tc>
        <w:tc>
          <w:tcPr>
            <w:tcW w:type="dxa" w:w="3293"/>
            <w:vAlign w:val="center"/>
            <w:shd w:fill="F2F6FA"/>
          </w:tcPr>
          <w:p>
            <w:pPr>
              <w:spacing w:after="20"/>
            </w:pPr>
            <w:r/>
            <w:r>
              <w:rPr>
                <w:b w:val="0"/>
                <w:sz w:val="17"/>
              </w:rPr>
              <w:t>Mean recall across classes</w:t>
            </w:r>
          </w:p>
        </w:tc>
        <w:tc>
          <w:tcPr>
            <w:tcW w:type="dxa" w:w="3293"/>
            <w:vAlign w:val="center"/>
            <w:shd w:fill="F2F6FA"/>
          </w:tcPr>
          <w:p>
            <w:pPr>
              <w:spacing w:after="20"/>
            </w:pPr>
            <w:r/>
            <w:r>
              <w:rPr>
                <w:b w:val="0"/>
                <w:sz w:val="17"/>
              </w:rPr>
              <w:t>Reduces dominance of frequent classes</w:t>
            </w:r>
          </w:p>
        </w:tc>
      </w:tr>
      <w:tr>
        <w:tc>
          <w:tcPr>
            <w:tcW w:type="dxa" w:w="3293"/>
            <w:vAlign w:val="center"/>
          </w:tcPr>
          <w:p>
            <w:pPr>
              <w:spacing w:after="20"/>
            </w:pPr>
            <w:r/>
            <w:r>
              <w:rPr>
                <w:b w:val="0"/>
                <w:sz w:val="17"/>
              </w:rPr>
              <w:t>Macro-F1</w:t>
            </w:r>
          </w:p>
        </w:tc>
        <w:tc>
          <w:tcPr>
            <w:tcW w:type="dxa" w:w="3293"/>
            <w:vAlign w:val="center"/>
          </w:tcPr>
          <w:p>
            <w:pPr>
              <w:spacing w:after="20"/>
            </w:pPr>
            <w:r/>
            <w:r>
              <w:rPr>
                <w:b w:val="0"/>
                <w:sz w:val="17"/>
              </w:rPr>
              <w:t>Unweighted mean of class-level F1 scores</w:t>
            </w:r>
          </w:p>
        </w:tc>
        <w:tc>
          <w:tcPr>
            <w:tcW w:type="dxa" w:w="3293"/>
            <w:vAlign w:val="center"/>
          </w:tcPr>
          <w:p>
            <w:pPr>
              <w:spacing w:after="20"/>
            </w:pPr>
            <w:r/>
            <w:r>
              <w:rPr>
                <w:b w:val="0"/>
                <w:sz w:val="17"/>
              </w:rPr>
              <w:t>Gives rare classes equal weight in the summary</w:t>
            </w:r>
          </w:p>
        </w:tc>
      </w:tr>
      <w:tr>
        <w:tc>
          <w:tcPr>
            <w:tcW w:type="dxa" w:w="3293"/>
            <w:vAlign w:val="center"/>
            <w:shd w:fill="F2F6FA"/>
          </w:tcPr>
          <w:p>
            <w:pPr>
              <w:spacing w:after="20"/>
            </w:pPr>
            <w:r/>
            <w:r>
              <w:rPr>
                <w:b w:val="0"/>
                <w:sz w:val="17"/>
              </w:rPr>
              <w:t>Precision</w:t>
            </w:r>
          </w:p>
        </w:tc>
        <w:tc>
          <w:tcPr>
            <w:tcW w:type="dxa" w:w="3293"/>
            <w:vAlign w:val="center"/>
            <w:shd w:fill="F2F6FA"/>
          </w:tcPr>
          <w:p>
            <w:pPr>
              <w:spacing w:after="20"/>
            </w:pPr>
            <w:r/>
            <w:r>
              <w:rPr>
                <w:b w:val="0"/>
                <w:sz w:val="17"/>
              </w:rPr>
              <w:t>Of predictions for a class, how many were correct</w:t>
            </w:r>
          </w:p>
        </w:tc>
        <w:tc>
          <w:tcPr>
            <w:tcW w:type="dxa" w:w="3293"/>
            <w:vAlign w:val="center"/>
            <w:shd w:fill="F2F6FA"/>
          </w:tcPr>
          <w:p>
            <w:pPr>
              <w:spacing w:after="20"/>
            </w:pPr>
            <w:r/>
            <w:r>
              <w:rPr>
                <w:b w:val="0"/>
                <w:sz w:val="17"/>
              </w:rPr>
              <w:t>Helps understand false alarms</w:t>
            </w:r>
          </w:p>
        </w:tc>
      </w:tr>
      <w:tr>
        <w:tc>
          <w:tcPr>
            <w:tcW w:type="dxa" w:w="3293"/>
            <w:vAlign w:val="center"/>
          </w:tcPr>
          <w:p>
            <w:pPr>
              <w:spacing w:after="20"/>
            </w:pPr>
            <w:r/>
            <w:r>
              <w:rPr>
                <w:b w:val="0"/>
                <w:sz w:val="17"/>
              </w:rPr>
              <w:t>Recall</w:t>
            </w:r>
          </w:p>
        </w:tc>
        <w:tc>
          <w:tcPr>
            <w:tcW w:type="dxa" w:w="3293"/>
            <w:vAlign w:val="center"/>
          </w:tcPr>
          <w:p>
            <w:pPr>
              <w:spacing w:after="20"/>
            </w:pPr>
            <w:r/>
            <w:r>
              <w:rPr>
                <w:b w:val="0"/>
                <w:sz w:val="17"/>
              </w:rPr>
              <w:t>Of true examples of a class, how many were found</w:t>
            </w:r>
          </w:p>
        </w:tc>
        <w:tc>
          <w:tcPr>
            <w:tcW w:type="dxa" w:w="3293"/>
            <w:vAlign w:val="center"/>
          </w:tcPr>
          <w:p>
            <w:pPr>
              <w:spacing w:after="20"/>
            </w:pPr>
            <w:r/>
            <w:r>
              <w:rPr>
                <w:b w:val="0"/>
                <w:sz w:val="17"/>
              </w:rPr>
              <w:t>Helps understand missed events</w:t>
            </w:r>
          </w:p>
        </w:tc>
      </w:tr>
      <w:tr>
        <w:tc>
          <w:tcPr>
            <w:tcW w:type="dxa" w:w="3293"/>
            <w:vAlign w:val="center"/>
            <w:shd w:fill="F2F6FA"/>
          </w:tcPr>
          <w:p>
            <w:pPr>
              <w:spacing w:after="20"/>
            </w:pPr>
            <w:r/>
            <w:r>
              <w:rPr>
                <w:b w:val="0"/>
                <w:sz w:val="17"/>
              </w:rPr>
              <w:t>Confusion matrix</w:t>
            </w:r>
          </w:p>
        </w:tc>
        <w:tc>
          <w:tcPr>
            <w:tcW w:type="dxa" w:w="3293"/>
            <w:vAlign w:val="center"/>
            <w:shd w:fill="F2F6FA"/>
          </w:tcPr>
          <w:p>
            <w:pPr>
              <w:spacing w:after="20"/>
            </w:pPr>
            <w:r/>
            <w:r>
              <w:rPr>
                <w:b w:val="0"/>
                <w:sz w:val="17"/>
              </w:rPr>
              <w:t>Counts or rates of true vs predicted classes</w:t>
            </w:r>
          </w:p>
        </w:tc>
        <w:tc>
          <w:tcPr>
            <w:tcW w:type="dxa" w:w="3293"/>
            <w:vAlign w:val="center"/>
            <w:shd w:fill="F2F6FA"/>
          </w:tcPr>
          <w:p>
            <w:pPr>
              <w:spacing w:after="20"/>
            </w:pPr>
            <w:r/>
            <w:r>
              <w:rPr>
                <w:b w:val="0"/>
                <w:sz w:val="17"/>
              </w:rPr>
              <w:t>Shows which classes are confused</w:t>
            </w:r>
          </w:p>
        </w:tc>
      </w:tr>
      <w:tr>
        <w:tc>
          <w:tcPr>
            <w:tcW w:type="dxa" w:w="3293"/>
            <w:vAlign w:val="center"/>
          </w:tcPr>
          <w:p>
            <w:pPr>
              <w:spacing w:after="20"/>
            </w:pPr>
            <w:r/>
            <w:r>
              <w:rPr>
                <w:b w:val="0"/>
                <w:sz w:val="17"/>
              </w:rPr>
              <w:t>Inference/runtime</w:t>
            </w:r>
          </w:p>
        </w:tc>
        <w:tc>
          <w:tcPr>
            <w:tcW w:type="dxa" w:w="3293"/>
            <w:vAlign w:val="center"/>
          </w:tcPr>
          <w:p>
            <w:pPr>
              <w:spacing w:after="20"/>
            </w:pPr>
            <w:r/>
            <w:r>
              <w:rPr>
                <w:b w:val="0"/>
                <w:sz w:val="17"/>
              </w:rPr>
              <w:t>Time required to process samples or frames</w:t>
            </w:r>
          </w:p>
        </w:tc>
        <w:tc>
          <w:tcPr>
            <w:tcW w:type="dxa" w:w="3293"/>
            <w:vAlign w:val="center"/>
          </w:tcPr>
          <w:p>
            <w:pPr>
              <w:spacing w:after="20"/>
            </w:pPr>
            <w:r/>
            <w:r>
              <w:rPr>
                <w:b w:val="0"/>
                <w:sz w:val="17"/>
              </w:rPr>
              <w:t>Relevant to deployment, but hardware and batch size must be stated</w:t>
            </w:r>
          </w:p>
        </w:tc>
      </w:tr>
    </w:tbl>
    <w:p/>
    <w:p>
      <w:pPr>
        <w:pStyle w:val="Heading2"/>
      </w:pPr>
      <w:r>
        <w:t>9.2 Saved benchmark output in the supplied notebook</w:t>
      </w:r>
    </w:p>
    <w:p>
      <w:r>
        <w:t>The notebook contains saved benchmark values that should be treated as a pipeline demonstration on the synthetic table created by the notebook, not as validated DriverSVT results.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center"/>
            <w:shd w:fill="17365D"/>
          </w:tcPr>
          <w:p>
            <w:pPr>
              <w:spacing w:after="20"/>
            </w:pPr>
            <w:r/>
            <w:r>
              <w:rPr>
                <w:b/>
                <w:color w:val="FFFFFF"/>
                <w:sz w:val="18"/>
              </w:rPr>
              <w:t>Model</w:t>
            </w:r>
          </w:p>
        </w:tc>
        <w:tc>
          <w:tcPr>
            <w:tcW w:type="dxa" w:w="2469"/>
            <w:vAlign w:val="center"/>
            <w:shd w:fill="17365D"/>
          </w:tcPr>
          <w:p>
            <w:pPr>
              <w:spacing w:after="20"/>
            </w:pPr>
            <w:r/>
            <w:r>
              <w:rPr>
                <w:b/>
                <w:color w:val="FFFFFF"/>
                <w:sz w:val="18"/>
              </w:rPr>
              <w:t>Accuracy</w:t>
            </w:r>
          </w:p>
        </w:tc>
        <w:tc>
          <w:tcPr>
            <w:tcW w:type="dxa" w:w="2469"/>
            <w:vAlign w:val="center"/>
            <w:shd w:fill="17365D"/>
          </w:tcPr>
          <w:p>
            <w:pPr>
              <w:spacing w:after="20"/>
            </w:pPr>
            <w:r/>
            <w:r>
              <w:rPr>
                <w:b/>
                <w:color w:val="FFFFFF"/>
                <w:sz w:val="18"/>
              </w:rPr>
              <w:t>Balanced accuracy</w:t>
            </w:r>
          </w:p>
        </w:tc>
        <w:tc>
          <w:tcPr>
            <w:tcW w:type="dxa" w:w="2469"/>
            <w:vAlign w:val="center"/>
            <w:shd w:fill="17365D"/>
          </w:tcPr>
          <w:p>
            <w:pPr>
              <w:spacing w:after="20"/>
            </w:pPr>
            <w:r/>
            <w:r>
              <w:rPr>
                <w:b/>
                <w:color w:val="FFFFFF"/>
                <w:sz w:val="18"/>
              </w:rPr>
              <w:t>Macro-F1</w:t>
            </w:r>
          </w:p>
        </w:tc>
      </w:tr>
      <w:tr>
        <w:tc>
          <w:tcPr>
            <w:tcW w:type="dxa" w:w="2469"/>
            <w:vAlign w:val="center"/>
          </w:tcPr>
          <w:p>
            <w:pPr>
              <w:spacing w:after="20"/>
            </w:pPr>
            <w:r/>
            <w:r>
              <w:rPr>
                <w:b w:val="0"/>
                <w:sz w:val="17"/>
              </w:rPr>
              <w:t>Majority baseline</w:t>
            </w:r>
          </w:p>
        </w:tc>
        <w:tc>
          <w:tcPr>
            <w:tcW w:type="dxa" w:w="2469"/>
            <w:vAlign w:val="center"/>
          </w:tcPr>
          <w:p>
            <w:pPr>
              <w:spacing w:after="20"/>
            </w:pPr>
            <w:r/>
            <w:r>
              <w:rPr>
                <w:b w:val="0"/>
                <w:sz w:val="17"/>
              </w:rPr>
              <w:t>0.4109</w:t>
            </w:r>
          </w:p>
        </w:tc>
        <w:tc>
          <w:tcPr>
            <w:tcW w:type="dxa" w:w="2469"/>
            <w:vAlign w:val="center"/>
          </w:tcPr>
          <w:p>
            <w:pPr>
              <w:spacing w:after="20"/>
            </w:pPr>
            <w:r/>
            <w:r>
              <w:rPr>
                <w:b w:val="0"/>
                <w:sz w:val="17"/>
              </w:rPr>
              <w:t>Not confirmed in the available saved summary</w:t>
            </w:r>
          </w:p>
        </w:tc>
        <w:tc>
          <w:tcPr>
            <w:tcW w:type="dxa" w:w="2469"/>
            <w:vAlign w:val="center"/>
          </w:tcPr>
          <w:p>
            <w:pPr>
              <w:spacing w:after="20"/>
            </w:pPr>
            <w:r/>
            <w:r>
              <w:rPr>
                <w:b w:val="0"/>
                <w:sz w:val="17"/>
              </w:rPr>
              <w:t>0.0647</w:t>
            </w:r>
          </w:p>
        </w:tc>
      </w:tr>
      <w:tr>
        <w:tc>
          <w:tcPr>
            <w:tcW w:type="dxa" w:w="2469"/>
            <w:vAlign w:val="center"/>
            <w:shd w:fill="F2F6FA"/>
          </w:tcPr>
          <w:p>
            <w:pPr>
              <w:spacing w:after="20"/>
            </w:pPr>
            <w:r/>
            <w:r>
              <w:rPr>
                <w:b w:val="0"/>
                <w:sz w:val="17"/>
              </w:rPr>
              <w:t>Random Forest</w:t>
            </w:r>
          </w:p>
        </w:tc>
        <w:tc>
          <w:tcPr>
            <w:tcW w:type="dxa" w:w="2469"/>
            <w:vAlign w:val="center"/>
            <w:shd w:fill="F2F6FA"/>
          </w:tcPr>
          <w:p>
            <w:pPr>
              <w:spacing w:after="20"/>
            </w:pPr>
            <w:r/>
            <w:r>
              <w:rPr>
                <w:b w:val="0"/>
                <w:sz w:val="17"/>
              </w:rPr>
              <w:t>0.3784</w:t>
            </w:r>
          </w:p>
        </w:tc>
        <w:tc>
          <w:tcPr>
            <w:tcW w:type="dxa" w:w="2469"/>
            <w:vAlign w:val="center"/>
            <w:shd w:fill="F2F6FA"/>
          </w:tcPr>
          <w:p>
            <w:pPr>
              <w:spacing w:after="20"/>
            </w:pPr>
            <w:r/>
            <w:r>
              <w:rPr>
                <w:b w:val="0"/>
                <w:sz w:val="17"/>
              </w:rPr>
              <w:t>Not confirmed in the available saved summary</w:t>
            </w:r>
          </w:p>
        </w:tc>
        <w:tc>
          <w:tcPr>
            <w:tcW w:type="dxa" w:w="2469"/>
            <w:vAlign w:val="center"/>
            <w:shd w:fill="F2F6FA"/>
          </w:tcPr>
          <w:p>
            <w:pPr>
              <w:spacing w:after="20"/>
            </w:pPr>
            <w:r/>
            <w:r>
              <w:rPr>
                <w:b w:val="0"/>
                <w:sz w:val="17"/>
              </w:rPr>
              <w:t>0.2267</w:t>
            </w:r>
          </w:p>
        </w:tc>
      </w:tr>
    </w:tbl>
    <w:p/>
    <w:p>
      <w:r>
        <w:t>Interpretation: in this saved run, Random Forest has a higher Macro-F1 than the majority baseline, while its accuracy is lower. This illustrates why a single overall accuracy number is insufficient in an imbalanced multi-class task. These values must be replaced after training and evaluating on the intended real dataset.</w:t>
      </w:r>
    </w:p>
    <w:p>
      <w:pPr>
        <w:pStyle w:val="Heading2"/>
      </w:pPr>
      <w:r>
        <w:t>9.3 Saved feature-ablation output</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vAlign w:val="center"/>
            <w:shd w:fill="17365D"/>
          </w:tcPr>
          <w:p>
            <w:pPr>
              <w:spacing w:after="20"/>
            </w:pPr>
            <w:r/>
            <w:r>
              <w:rPr>
                <w:b/>
                <w:color w:val="FFFFFF"/>
                <w:sz w:val="18"/>
              </w:rPr>
              <w:t>Feature group</w:t>
            </w:r>
          </w:p>
        </w:tc>
        <w:tc>
          <w:tcPr>
            <w:tcW w:type="dxa" w:w="1976"/>
            <w:vAlign w:val="center"/>
            <w:shd w:fill="17365D"/>
          </w:tcPr>
          <w:p>
            <w:pPr>
              <w:spacing w:after="20"/>
            </w:pPr>
            <w:r/>
            <w:r>
              <w:rPr>
                <w:b/>
                <w:color w:val="FFFFFF"/>
                <w:sz w:val="18"/>
              </w:rPr>
              <w:t>Feature count</w:t>
            </w:r>
          </w:p>
        </w:tc>
        <w:tc>
          <w:tcPr>
            <w:tcW w:type="dxa" w:w="1976"/>
            <w:vAlign w:val="center"/>
            <w:shd w:fill="17365D"/>
          </w:tcPr>
          <w:p>
            <w:pPr>
              <w:spacing w:after="20"/>
            </w:pPr>
            <w:r/>
            <w:r>
              <w:rPr>
                <w:b/>
                <w:color w:val="FFFFFF"/>
                <w:sz w:val="18"/>
              </w:rPr>
              <w:t>Accuracy</w:t>
            </w:r>
          </w:p>
        </w:tc>
        <w:tc>
          <w:tcPr>
            <w:tcW w:type="dxa" w:w="1976"/>
            <w:vAlign w:val="center"/>
            <w:shd w:fill="17365D"/>
          </w:tcPr>
          <w:p>
            <w:pPr>
              <w:spacing w:after="20"/>
            </w:pPr>
            <w:r/>
            <w:r>
              <w:rPr>
                <w:b/>
                <w:color w:val="FFFFFF"/>
                <w:sz w:val="18"/>
              </w:rPr>
              <w:t>Balanced accuracy</w:t>
            </w:r>
          </w:p>
        </w:tc>
        <w:tc>
          <w:tcPr>
            <w:tcW w:type="dxa" w:w="1976"/>
            <w:vAlign w:val="center"/>
            <w:shd w:fill="17365D"/>
          </w:tcPr>
          <w:p>
            <w:pPr>
              <w:spacing w:after="20"/>
            </w:pPr>
            <w:r/>
            <w:r>
              <w:rPr>
                <w:b/>
                <w:color w:val="FFFFFF"/>
                <w:sz w:val="18"/>
              </w:rPr>
              <w:t>Macro-F1</w:t>
            </w:r>
          </w:p>
        </w:tc>
      </w:tr>
      <w:tr>
        <w:tc>
          <w:tcPr>
            <w:tcW w:type="dxa" w:w="1976"/>
            <w:vAlign w:val="center"/>
          </w:tcPr>
          <w:p>
            <w:pPr>
              <w:spacing w:after="20"/>
            </w:pPr>
            <w:r/>
            <w:r>
              <w:rPr>
                <w:b w:val="0"/>
                <w:sz w:val="17"/>
              </w:rPr>
              <w:t>Combined</w:t>
            </w:r>
          </w:p>
        </w:tc>
        <w:tc>
          <w:tcPr>
            <w:tcW w:type="dxa" w:w="1976"/>
            <w:vAlign w:val="center"/>
          </w:tcPr>
          <w:p>
            <w:pPr>
              <w:spacing w:after="20"/>
            </w:pPr>
            <w:r/>
            <w:r>
              <w:rPr>
                <w:b w:val="0"/>
                <w:sz w:val="17"/>
              </w:rPr>
              <w:t>16</w:t>
            </w:r>
          </w:p>
        </w:tc>
        <w:tc>
          <w:tcPr>
            <w:tcW w:type="dxa" w:w="1976"/>
            <w:vAlign w:val="center"/>
          </w:tcPr>
          <w:p>
            <w:pPr>
              <w:spacing w:after="20"/>
            </w:pPr>
            <w:r/>
            <w:r>
              <w:rPr>
                <w:b w:val="0"/>
                <w:sz w:val="17"/>
              </w:rPr>
              <w:t>0.4672</w:t>
            </w:r>
          </w:p>
        </w:tc>
        <w:tc>
          <w:tcPr>
            <w:tcW w:type="dxa" w:w="1976"/>
            <w:vAlign w:val="center"/>
          </w:tcPr>
          <w:p>
            <w:pPr>
              <w:spacing w:after="20"/>
            </w:pPr>
            <w:r/>
            <w:r>
              <w:rPr>
                <w:b w:val="0"/>
                <w:sz w:val="17"/>
              </w:rPr>
              <w:t>0.2410</w:t>
            </w:r>
          </w:p>
        </w:tc>
        <w:tc>
          <w:tcPr>
            <w:tcW w:type="dxa" w:w="1976"/>
            <w:vAlign w:val="center"/>
          </w:tcPr>
          <w:p>
            <w:pPr>
              <w:spacing w:after="20"/>
            </w:pPr>
            <w:r/>
            <w:r>
              <w:rPr>
                <w:b w:val="0"/>
                <w:sz w:val="17"/>
              </w:rPr>
              <w:t>0.2292</w:t>
            </w:r>
          </w:p>
        </w:tc>
      </w:tr>
      <w:tr>
        <w:tc>
          <w:tcPr>
            <w:tcW w:type="dxa" w:w="1976"/>
            <w:vAlign w:val="center"/>
            <w:shd w:fill="F2F6FA"/>
          </w:tcPr>
          <w:p>
            <w:pPr>
              <w:spacing w:after="20"/>
            </w:pPr>
            <w:r/>
            <w:r>
              <w:rPr>
                <w:b w:val="0"/>
                <w:sz w:val="17"/>
              </w:rPr>
              <w:t>State only</w:t>
            </w:r>
          </w:p>
        </w:tc>
        <w:tc>
          <w:tcPr>
            <w:tcW w:type="dxa" w:w="1976"/>
            <w:vAlign w:val="center"/>
            <w:shd w:fill="F2F6FA"/>
          </w:tcPr>
          <w:p>
            <w:pPr>
              <w:spacing w:after="20"/>
            </w:pPr>
            <w:r/>
            <w:r>
              <w:rPr>
                <w:b w:val="0"/>
                <w:sz w:val="17"/>
              </w:rPr>
              <w:t>2</w:t>
            </w:r>
          </w:p>
        </w:tc>
        <w:tc>
          <w:tcPr>
            <w:tcW w:type="dxa" w:w="1976"/>
            <w:vAlign w:val="center"/>
            <w:shd w:fill="F2F6FA"/>
          </w:tcPr>
          <w:p>
            <w:pPr>
              <w:spacing w:after="20"/>
            </w:pPr>
            <w:r/>
            <w:r>
              <w:rPr>
                <w:b w:val="0"/>
                <w:sz w:val="17"/>
              </w:rPr>
              <w:t>0.2985</w:t>
            </w:r>
          </w:p>
        </w:tc>
        <w:tc>
          <w:tcPr>
            <w:tcW w:type="dxa" w:w="1976"/>
            <w:vAlign w:val="center"/>
            <w:shd w:fill="F2F6FA"/>
          </w:tcPr>
          <w:p>
            <w:pPr>
              <w:spacing w:after="20"/>
            </w:pPr>
            <w:r/>
            <w:r>
              <w:rPr>
                <w:b w:val="0"/>
                <w:sz w:val="17"/>
              </w:rPr>
              <w:t>0.1848</w:t>
            </w:r>
          </w:p>
        </w:tc>
        <w:tc>
          <w:tcPr>
            <w:tcW w:type="dxa" w:w="1976"/>
            <w:vAlign w:val="center"/>
            <w:shd w:fill="F2F6FA"/>
          </w:tcPr>
          <w:p>
            <w:pPr>
              <w:spacing w:after="20"/>
            </w:pPr>
            <w:r/>
            <w:r>
              <w:rPr>
                <w:b w:val="0"/>
                <w:sz w:val="17"/>
              </w:rPr>
              <w:t>0.1712</w:t>
            </w:r>
          </w:p>
        </w:tc>
      </w:tr>
      <w:tr>
        <w:tc>
          <w:tcPr>
            <w:tcW w:type="dxa" w:w="1976"/>
            <w:vAlign w:val="center"/>
          </w:tcPr>
          <w:p>
            <w:pPr>
              <w:spacing w:after="20"/>
            </w:pPr>
            <w:r/>
            <w:r>
              <w:rPr>
                <w:b w:val="0"/>
                <w:sz w:val="17"/>
              </w:rPr>
              <w:t>Motion only</w:t>
            </w:r>
          </w:p>
        </w:tc>
        <w:tc>
          <w:tcPr>
            <w:tcW w:type="dxa" w:w="1976"/>
            <w:vAlign w:val="center"/>
          </w:tcPr>
          <w:p>
            <w:pPr>
              <w:spacing w:after="20"/>
            </w:pPr>
            <w:r/>
            <w:r>
              <w:rPr>
                <w:b w:val="0"/>
                <w:sz w:val="17"/>
              </w:rPr>
              <w:t>14</w:t>
            </w:r>
          </w:p>
        </w:tc>
        <w:tc>
          <w:tcPr>
            <w:tcW w:type="dxa" w:w="1976"/>
            <w:vAlign w:val="center"/>
          </w:tcPr>
          <w:p>
            <w:pPr>
              <w:spacing w:after="20"/>
            </w:pPr>
            <w:r/>
            <w:r>
              <w:rPr>
                <w:b w:val="0"/>
                <w:sz w:val="17"/>
              </w:rPr>
              <w:t>0.4187</w:t>
            </w:r>
          </w:p>
        </w:tc>
        <w:tc>
          <w:tcPr>
            <w:tcW w:type="dxa" w:w="1976"/>
            <w:vAlign w:val="center"/>
          </w:tcPr>
          <w:p>
            <w:pPr>
              <w:spacing w:after="20"/>
            </w:pPr>
            <w:r/>
            <w:r>
              <w:rPr>
                <w:b w:val="0"/>
                <w:sz w:val="17"/>
              </w:rPr>
              <w:t>0.1666</w:t>
            </w:r>
          </w:p>
        </w:tc>
        <w:tc>
          <w:tcPr>
            <w:tcW w:type="dxa" w:w="1976"/>
            <w:vAlign w:val="center"/>
          </w:tcPr>
          <w:p>
            <w:pPr>
              <w:spacing w:after="20"/>
            </w:pPr>
            <w:r/>
            <w:r>
              <w:rPr>
                <w:b w:val="0"/>
                <w:sz w:val="17"/>
              </w:rPr>
              <w:t>0.1555</w:t>
            </w:r>
          </w:p>
        </w:tc>
      </w:tr>
    </w:tbl>
    <w:p/>
    <w:p>
      <w:r>
        <w:t>The saved synthetic-data ablation output ranks the combined feature group highest by Macro-F1 among these three configurations. Because the underlying rows are synthetic, this is not evidence that combining motion and facial proxies improves performance on real drivers. The final report should include regenerated results from the real source data and identical driver-separated partitions.</w:t>
      </w:r>
    </w:p>
    <w:p>
      <w:pPr>
        <w:pStyle w:val="Heading2"/>
      </w:pPr>
      <w:r>
        <w:t>9.4 Required result figures</w:t>
      </w:r>
    </w:p>
    <w:p>
      <w:pPr>
        <w:pStyle w:val="ListBullet"/>
      </w:pPr>
      <w:r>
        <w:t>Class distribution bar chart with counts and percentages.</w:t>
      </w:r>
    </w:p>
    <w:p>
      <w:pPr>
        <w:pStyle w:val="ListBullet"/>
      </w:pPr>
      <w:r>
        <w:t>Sensor distribution plots with units and clear source notes.</w:t>
      </w:r>
    </w:p>
    <w:p>
      <w:pPr>
        <w:pStyle w:val="ListBullet"/>
      </w:pPr>
      <w:r>
        <w:t>Model benchmark chart showing accuracy, balanced accuracy, and Macro-F1.</w:t>
      </w:r>
    </w:p>
    <w:p>
      <w:pPr>
        <w:pStyle w:val="ListBullet"/>
      </w:pPr>
      <w:r>
        <w:t>Normalized confusion matrix for the selected model.</w:t>
      </w:r>
    </w:p>
    <w:p>
      <w:pPr>
        <w:pStyle w:val="ListBullet"/>
      </w:pPr>
      <w:r>
        <w:t>Per-class precision, recall, and F1 table.</w:t>
      </w:r>
    </w:p>
    <w:p>
      <w:pPr>
        <w:pStyle w:val="ListBullet"/>
      </w:pPr>
      <w:r>
        <w:t>Feature-ablation comparison with a consistent split.</w:t>
      </w:r>
    </w:p>
    <w:p>
      <w:pPr>
        <w:pStyle w:val="ListBullet"/>
      </w:pPr>
      <w:r>
        <w:t>Training time and inference latency with hardware/runtime conditions.</w:t>
      </w:r>
    </w:p>
    <w:p>
      <w:pPr>
        <w:pStyle w:val="Heading1"/>
      </w:pPr>
      <w:r>
        <w:t>10. Computer-vision pipeline</w:t>
      </w:r>
    </w:p>
    <w:p>
      <w:r>
        <w:t>The notebook defines geometric facial measures using MediaPipe landmarks. Eye Aspect Ratio (EAR) compares vertical eye-opening distances with horizontal eye width; Mouth Aspect Ratio (MAR) compares a mouth-opening distance with mouth width. These measurements can form time series that help identify candidate eye-closure or mouth-opening events, provided a face is visible and landmarks are reliably tracked.</w:t>
      </w:r>
    </w:p>
    <w:p>
      <w:pPr>
        <w:pStyle w:val="Heading2"/>
      </w:pPr>
      <w:r>
        <w:t>10.1 EAR and MAR</w:t>
      </w:r>
    </w:p>
    <w:p>
      <w:r>
        <w:t>For a common six-point eye geometry, EAR is calculated as (distance(P2,P6) + distance(P3,P5)) / (2 × distance(P1,P4)). A smaller value may correspond to a more closed eye, but thresholds depend on camera angle, face geometry, image quality, and implementation.</w:t>
      </w:r>
    </w:p>
    <w:p>
      <w:r>
        <w:t>The notebook's MAR calculation uses a vertical mouth distance divided by a horizontal mouth width. Repeated mouth opening may be consistent with yawning, but mouth opening alone cannot reliably distinguish yawning from talking, singing, or other movement. Temporal duration and context are needed.</w:t>
      </w:r>
    </w:p>
    <w:p>
      <w:pPr>
        <w:pStyle w:val="Heading2"/>
      </w:pPr>
      <w:r>
        <w:t>10.2 Object detection</w:t>
      </w:r>
    </w:p>
    <w:p>
      <w:r>
        <w:t>The notebook initializes YOLOv8n, a generic object detector. A generic detector should only be expected to detect classes supported by its training labels. It may miss a small cigarette or confuse an object in the hand with another class. A detected phone object does not prove the driver is using it, and a cigarette-like object detection does not prove smoking.</w:t>
      </w:r>
    </w:p>
    <w:p>
      <w:pPr>
        <w:pStyle w:val="Heading2"/>
      </w:pPr>
      <w:r>
        <w:t>10.3 Critical video provenance note</w:t>
      </w:r>
    </w:p>
    <w:p>
      <w:r>
        <w:t>In the saved notebook run, the attempted sample-video download returned HTTP 404 and the fallback branch generated a synthetic calibration video. Therefore the saved video-processing output does not establish successful detection on a real driving video. For a valid demonstration, the exact video file, whether it is real or synthetic, frame count, face-landmark success rate, detected classes, and representative frames should be recorded.</w:t>
      </w:r>
    </w:p>
    <w:p>
      <w:pPr>
        <w:pStyle w:val="Heading1"/>
      </w:pPr>
      <w:r>
        <w:t>11. Trip summary and monitoring</w:t>
      </w:r>
    </w:p>
    <w:p>
      <w:r>
        <w:t>The notebook includes a demonstration function that subtracts fixed penalties for drowsiness, yawning, phone distraction, and harsh maneuvers from a score of 100. The saved call manually supplies 1 drowsiness event, 3 yawn events, 1 phone event, and 2 harsh-maneuver events, producing a score of 45.0.</w:t>
      </w:r>
    </w:p>
    <w:p>
      <w:r>
        <w:t>This is an illustrative rule-based calculation, not an automatically measured or validated risk prediction. The event counts are supplied as inputs rather than derived from the video in the saved cell. The score should be labelled 'experimental demonstration score' until the event extraction and penalty weights have been validated.</w:t>
      </w:r>
    </w:p>
    <w:p>
      <w:pPr>
        <w:pStyle w:val="Heading2"/>
      </w:pPr>
      <w:r>
        <w:t>11.1 Drift check</w:t>
      </w:r>
    </w:p>
    <w:p>
      <w:r>
        <w:t>The notebook compares train and test speed distributions with a two-sample Kolmogorov–Smirnov test. The saved output reports KS statistic 0.0295 and p-value 3.2788 × 10⁻², below a 0.05 threshold. This indicates a statistically detectable distribution difference in the compared samples, but the interpretation depends on the sample source, split, and multiple-testing context. It is not, by itself, proof of production drift.</w:t>
      </w:r>
    </w:p>
    <w:p>
      <w:pPr>
        <w:pStyle w:val="Heading1"/>
      </w:pPr>
      <w:r>
        <w:t>12. Implementation and deployment</w:t>
      </w:r>
    </w:p>
    <w:p>
      <w:r>
        <w:t>The project uses Python and common data-science and computer-vision libraries: pandas, NumPy, scikit-learn, Matplotlib/Seaborn, OpenCV, MediaPipe, Ultralytics YOLO, and joblib. The notebook serializes a fitted Random Forest pipeline to models/driver_behavior_rf.joblib; the saved output reports a file size of 12.21 MB.</w:t>
      </w:r>
    </w:p>
    <w:p>
      <w:r>
        <w:t>A deployment-ready workflow should validate input columns and feature order, load the same preprocessing pipeline used in training, version the model and dataset, log confidence and missing-data conditions, and distinguish sensor-model predictions from video detections. The two streams should not be presented as fused into one validated model unless a fusion method is implemented and evaluated.</w:t>
      </w:r>
    </w:p>
    <w:p>
      <w:pPr>
        <w:pStyle w:val="Heading1"/>
      </w:pPr>
      <w:r>
        <w:t>13. Limitations and threats to validity</w:t>
      </w:r>
    </w:p>
    <w:p>
      <w:pPr>
        <w:pStyle w:val="ListNumber"/>
      </w:pPr>
      <w:r>
        <w:t>The supplied notebook currently creates synthetic modelling data when the expected cached dataset is absent; benchmark values from that run do not demonstrate real DriverSVT performance.</w:t>
      </w:r>
    </w:p>
    <w:p>
      <w:pPr>
        <w:pStyle w:val="ListNumber"/>
      </w:pPr>
      <w:r>
        <w:t>The saved video run uses a generated calibration video after a failed download; it does not demonstrate reliable real-video fatigue detection.</w:t>
      </w:r>
    </w:p>
    <w:p>
      <w:pPr>
        <w:pStyle w:val="ListNumber"/>
      </w:pPr>
      <w:r>
        <w:t>The trip safety score uses manually supplied event counts and fixed penalties; the score is not calibrated against ground truth or crash outcomes.</w:t>
      </w:r>
    </w:p>
    <w:p>
      <w:pPr>
        <w:pStyle w:val="ListNumber"/>
      </w:pPr>
      <w:r>
        <w:t>Generic object detection can confuse small or visually similar objects and does not infer the driver's action from object presence alone.</w:t>
      </w:r>
    </w:p>
    <w:p>
      <w:pPr>
        <w:pStyle w:val="ListNumber"/>
      </w:pPr>
      <w:r>
        <w:t>EAR and MAR depend on face visibility, camera position, lighting, occlusion, and landmark quality.</w:t>
      </w:r>
    </w:p>
    <w:p>
      <w:pPr>
        <w:pStyle w:val="ListNumber"/>
      </w:pPr>
      <w:r>
        <w:t>Class imbalance can make accuracy misleading; rare classes need per-class recall and error analysis.</w:t>
      </w:r>
    </w:p>
    <w:p>
      <w:pPr>
        <w:pStyle w:val="ListNumber"/>
      </w:pPr>
      <w:r>
        <w:t>Group splitting must be verified on the actual source data and the exact saved experiment.</w:t>
      </w:r>
    </w:p>
    <w:p>
      <w:pPr>
        <w:pStyle w:val="ListNumber"/>
      </w:pPr>
      <w:r>
        <w:t>Any safety-related conclusion requires a larger, diverse, properly labelled evaluation and should not be treated as medical or automotive certification.</w:t>
      </w:r>
    </w:p>
    <w:p>
      <w:pPr>
        <w:pStyle w:val="Heading1"/>
      </w:pPr>
      <w:r>
        <w:t>14. Future work</w:t>
      </w:r>
    </w:p>
    <w:p>
      <w:pPr>
        <w:pStyle w:val="ListBullet"/>
      </w:pPr>
      <w:r>
        <w:t>Load the original DriverSVT-derived working CSV and confirm its provenance, schema, row count, labels, and driver IDs.</w:t>
      </w:r>
    </w:p>
    <w:p>
      <w:pPr>
        <w:pStyle w:val="ListBullet"/>
      </w:pPr>
      <w:r>
        <w:t>Re-run cleaning and EDA on the real data; preserve the dataset version and cleaning log.</w:t>
      </w:r>
    </w:p>
    <w:p>
      <w:pPr>
        <w:pStyle w:val="ListBullet"/>
      </w:pPr>
      <w:r>
        <w:t>Perform driver-separated training and testing, checking that train/test driver overlap is zero.</w:t>
      </w:r>
    </w:p>
    <w:p>
      <w:pPr>
        <w:pStyle w:val="ListBullet"/>
      </w:pPr>
      <w:r>
        <w:t>Re-run the baseline and candidate models on the same real split and report per-class metrics.</w:t>
      </w:r>
    </w:p>
    <w:p>
      <w:pPr>
        <w:pStyle w:val="ListBullet"/>
      </w:pPr>
      <w:r>
        <w:t>Run feature ablation and threshold tuning only within a training/validation process, keeping the final test set untouched.</w:t>
      </w:r>
    </w:p>
    <w:p>
      <w:pPr>
        <w:pStyle w:val="ListBullet"/>
      </w:pPr>
      <w:r>
        <w:t>Replace synthetic video fallback with an explicit error or clearly labelled simulation mode.</w:t>
      </w:r>
    </w:p>
    <w:p>
      <w:pPr>
        <w:pStyle w:val="ListBullet"/>
      </w:pPr>
      <w:r>
        <w:t>Save annotated sample frames and a timestamped event CSV for real test videos.</w:t>
      </w:r>
    </w:p>
    <w:p>
      <w:pPr>
        <w:pStyle w:val="ListBullet"/>
      </w:pPr>
      <w:r>
        <w:t>Implement temporal eye-closure and yawn event logic, including minimum duration and cooldown rules; evaluate against manually labelled video segments.</w:t>
      </w:r>
    </w:p>
    <w:p>
      <w:pPr>
        <w:pStyle w:val="ListBullet"/>
      </w:pPr>
      <w:r>
        <w:t>Improve phone/cigarette handling using supported classes, close-up crops, temporal evidence, and a manually reviewed test set.</w:t>
      </w:r>
    </w:p>
    <w:p>
      <w:pPr>
        <w:pStyle w:val="ListBullet"/>
      </w:pPr>
      <w:r>
        <w:t>Validate the risk-score design on labelled trips before describing it as predictive.</w:t>
      </w:r>
    </w:p>
    <w:p>
      <w:pPr>
        <w:pStyle w:val="ListBullet"/>
      </w:pPr>
      <w:r>
        <w:t>Measure runtime on stated hardware and test varied lighting, camera angles, devices, and face occlusion.</w:t>
      </w:r>
    </w:p>
    <w:p>
      <w:pPr>
        <w:pStyle w:val="ListBullet"/>
      </w:pPr>
      <w:r>
        <w:t>Document consent, storage, access control, and deletion policy for recorded video.</w:t>
      </w:r>
    </w:p>
    <w:p>
      <w:pPr>
        <w:pStyle w:val="Heading1"/>
      </w:pPr>
      <w:r>
        <w:t>15. Conclusion</w:t>
      </w:r>
    </w:p>
    <w:p>
      <w:r>
        <w:t>This project establishes a modular starting point for studying driver behavior with sensor telemetry and computer vision. Its strongest current contribution is the end-to-end experimental structure: data checks, feature engineering, class-aware modelling, driver-separated split logic, multiple evaluation metrics, face-landmark geometry, object detection, model serialization, and drift monitoring. However, the supplied notebook also contains synthetic data and fallback demonstrations. Consequently, its saved benchmark and video outputs should be treated as pipeline checks rather than evidence of real-world accuracy. The next milestone is to rerun the complete workflow on the intended real dataset and an identified real video, record reproducible results, and present the system as an experimental prototype with explicit limitations.</w:t>
      </w:r>
    </w:p>
    <w:p>
      <w:pPr>
        <w:pStyle w:val="Heading1"/>
      </w:pPr>
      <w:r>
        <w:t>References</w:t>
      </w:r>
    </w:p>
    <w:p>
      <w:pPr>
        <w:pStyle w:val="ListBullet"/>
      </w:pPr>
      <w:r>
        <w:t>DriverSVT dataset — cite the dataset landing page, authors, version, DOI, and license actually used in the project. [Insert verified citation before submission.]</w:t>
      </w:r>
    </w:p>
    <w:p>
      <w:pPr>
        <w:pStyle w:val="ListBullet"/>
      </w:pPr>
      <w:r>
        <w:t>scikit-learn documentation — model selection, classification metrics, group-based splitting, and preprocessing pipelines. https://scikit-learn.org/</w:t>
      </w:r>
    </w:p>
    <w:p>
      <w:pPr>
        <w:pStyle w:val="ListBullet"/>
      </w:pPr>
      <w:r>
        <w:t>MediaPipe documentation — Face Landmarker task and facial landmark processing. https://ai.google.dev/edge/mediapipe/solutions/vision/face_landmarker</w:t>
      </w:r>
    </w:p>
    <w:p>
      <w:pPr>
        <w:pStyle w:val="ListBullet"/>
      </w:pPr>
      <w:r>
        <w:t>Ultralytics documentation — YOLO model usage and supported detection classes. https://docs.ultralytics.com/</w:t>
      </w:r>
    </w:p>
    <w:p>
      <w:pPr>
        <w:pStyle w:val="ListBullet"/>
      </w:pPr>
      <w:r>
        <w:t>OpenCV documentation — video capture and frame processing. https://docs.opencv.org/</w:t>
      </w:r>
    </w:p>
    <w:p>
      <w:pPr>
        <w:pStyle w:val="Heading1"/>
      </w:pPr>
      <w:r>
        <w:t>Appendix A. Reproducibility checklist</w:t>
      </w:r>
    </w:p>
    <w:p>
      <w:r>
        <w:t>☐ Original dataset source and version recorded</w:t>
      </w:r>
    </w:p>
    <w:p>
      <w:r>
        <w:t>☐ Dataset schema and label definitions checked</w:t>
      </w:r>
    </w:p>
    <w:p>
      <w:r>
        <w:t>☐ Real-data row count and driver count reported</w:t>
      </w:r>
    </w:p>
    <w:p>
      <w:r>
        <w:t>☐ Train/test driver overlap confirmed as zero</w:t>
      </w:r>
    </w:p>
    <w:p>
      <w:r>
        <w:t>☐ Random seeds and model parameters recorded</w:t>
      </w:r>
    </w:p>
    <w:p>
      <w:r>
        <w:t>☐ All benchmark metrics regenerated from the same run</w:t>
      </w:r>
    </w:p>
    <w:p>
      <w:r>
        <w:t>☐ Confusion matrix and per-class report saved</w:t>
      </w:r>
    </w:p>
    <w:p>
      <w:r>
        <w:t>☐ Video provenance and face-tracking coverage recorded</w:t>
      </w:r>
    </w:p>
    <w:p>
      <w:r>
        <w:t>☐ Manually supplied values clearly marked as illustrative</w:t>
      </w:r>
    </w:p>
    <w:p>
      <w:r>
        <w:t>☐ Model artifact versioned with training data and code</w:t>
      </w:r>
    </w:p>
    <w:p>
      <w:r>
        <w:t>☐ Limitations and privacy handling reviewed</w:t>
      </w:r>
    </w:p>
    <w:p>
      <w:pPr>
        <w:pStyle w:val="Heading1"/>
      </w:pPr>
      <w:r>
        <w:t>Appendix B. Student completion notes</w:t>
      </w:r>
    </w:p>
    <w:p>
      <w:r>
        <w:t>Before submission, fill in the institute and student details on the cover, add the verified DriverSVT citation, and replace the synthetic-run tables with real-data results when available. If real-data experiments have not yet completed, keep the current caveats and title the numbers as pipeline demonstration results. Do not describe the model as production-ready or claim that it reliably detects drowsiness, yawning, phone use, or smoking until those behaviors have been tested against labelled video.</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Academic prototype report • Replace bracketed fields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DRIVER BEHAVIOR ANALYSIS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