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Document</w:t>
      </w:r>
    </w:p>
    <w:p>
      <w:pPr>
        <w:pStyle w:val="Heading2"/>
      </w:pPr>
      <w:r>
        <w:t>STEP 1 | Understand the Problem</w:t>
      </w:r>
    </w:p>
    <w:p>
      <w:pPr>
        <w:pStyle w:val="Heading3"/>
      </w:pPr>
      <w:r>
        <w:t>Who is affected</w:t>
      </w:r>
    </w:p>
    <w:p>
      <w:pPr>
        <w:pStyle w:val="ListBullet"/>
      </w:pPr>
      <w:r>
        <w:t>End customers: People seeking help with orders, refunds/returns, or basic policy questions.</w:t>
      </w:r>
    </w:p>
    <w:p>
      <w:pPr>
        <w:pStyle w:val="ListBullet"/>
      </w:pPr>
      <w:r>
        <w:t>Support agents: Humans who must triage, investigate, and respond under heavy volume.</w:t>
      </w:r>
    </w:p>
    <w:p>
      <w:pPr>
        <w:pStyle w:val="ListBullet"/>
      </w:pPr>
      <w:r>
        <w:t>Business: Customer experience leadership, operations, finance/risk (refund exposure), and compliance/security.</w:t>
      </w:r>
    </w:p>
    <w:p>
      <w:pPr>
        <w:pStyle w:val="Heading3"/>
      </w:pPr>
      <w:r>
        <w:t>Real pain (human cost)</w:t>
      </w:r>
    </w:p>
    <w:p>
      <w:pPr>
        <w:pStyle w:val="ListBullet"/>
      </w:pPr>
      <w:r>
        <w:t>Waiting and uncertainty: A 6-hour average response time means customers can't resolve</w:t>
        <w:br/>
        <w:t xml:space="preserve">  time-sensitive issues (missed deliveries, wrong items, urgent refunds).</w:t>
      </w:r>
    </w:p>
    <w:p>
      <w:pPr>
        <w:pStyle w:val="ListBullet"/>
      </w:pPr>
      <w:r>
        <w:t>Volume and burnout: At 10,000+ queries per day, human agents face impossible throughput</w:t>
        <w:br/>
        <w:t xml:space="preserve">  demands. Constant queue pressure and repetitive tasks degrade morale and cause inconsistent handling.</w:t>
      </w:r>
    </w:p>
    <w:p>
      <w:pPr>
        <w:pStyle w:val="ListBullet"/>
      </w:pPr>
      <w:r>
        <w:t>Repeat contacts: Customers often re-contact support when resolutions are delayed, further</w:t>
        <w:br/>
        <w:t xml:space="preserve">  increasing the volume and frustration for everyone.</w:t>
      </w:r>
    </w:p>
    <w:p>
      <w:pPr>
        <w:pStyle w:val="Heading3"/>
      </w:pPr>
      <w:r>
        <w:t>Business risk if not solved</w:t>
      </w:r>
    </w:p>
    <w:p>
      <w:pPr>
        <w:pStyle w:val="ListBullet"/>
      </w:pPr>
      <w:r>
        <w:t>Declining CSAT and churn: Slow responses and inconsistent resolutions reduce customer loyalty</w:t>
        <w:br/>
        <w:t xml:space="preserve">  and repeat purchases.</w:t>
      </w:r>
    </w:p>
    <w:p>
      <w:pPr>
        <w:pStyle w:val="ListBullet"/>
      </w:pPr>
      <w:r>
        <w:t>Operational cost growth: Higher volume + repeats increases headcount requirements.</w:t>
      </w:r>
    </w:p>
    <w:p>
      <w:pPr>
        <w:pStyle w:val="ListBullet"/>
      </w:pPr>
      <w:r>
        <w:t>Refund/abuse exposure: Inadequate controls can lead to excessive refunds, fraud, or policy violations.</w:t>
      </w:r>
    </w:p>
    <w:p>
      <w:pPr>
        <w:pStyle w:val="ListBullet"/>
      </w:pPr>
      <w:r>
        <w:t>Privacy/security incidents: Mishandling sensitive data across sessions can cause compliance</w:t>
        <w:br/>
        <w:t xml:space="preserve">  violations and reputational damage.</w:t>
      </w:r>
    </w:p>
    <w:p>
      <w:pPr>
        <w:pStyle w:val="ListBullet"/>
      </w:pPr>
      <w:r>
        <w:t>Brand impact: Social and public feedback loops amplify poor support experiences.</w:t>
      </w:r>
    </w:p>
    <w:p>
      <w:pPr>
        <w:pStyle w:val="Heading2"/>
      </w:pPr>
      <w:r>
        <w:t>STEP 2 | Define the Problem Statement</w:t>
      </w:r>
    </w:p>
    <w:p>
      <w:r>
        <w:t>How might we reduce customer support response time and improve resolution quality for</w:t>
        <w:br/>
        <w:t>e-commerce customers and support agents so that customers get fast, safe resolutions while the</w:t>
        <w:br/>
        <w:t>business reduces cost and risk?</w:t>
      </w:r>
    </w:p>
    <w:p>
      <w:pPr>
        <w:pStyle w:val="Heading2"/>
      </w:pPr>
      <w:r>
        <w:t>STEP 3 | Design the Agent System (high level)</w:t>
      </w:r>
    </w:p>
    <w:p>
      <w:pPr>
        <w:pStyle w:val="Heading3"/>
      </w:pPr>
      <w:r>
        <w:t>Orchestrator responsibilities</w:t>
      </w:r>
    </w:p>
    <w:p>
      <w:pPr>
        <w:pStyle w:val="ListBullet"/>
      </w:pPr>
      <w:r>
        <w:t>Accept each incoming query and route it to the correct specialist.</w:t>
      </w:r>
    </w:p>
    <w:p>
      <w:pPr>
        <w:pStyle w:val="ListBullet"/>
      </w:pPr>
      <w:r>
        <w:t>Maintain workflow state per session (no cross-session memory).</w:t>
      </w:r>
    </w:p>
    <w:p>
      <w:pPr>
        <w:pStyle w:val="ListBullet"/>
      </w:pPr>
      <w:r>
        <w:t>Apply loop limits and escalation logic.</w:t>
      </w:r>
    </w:p>
    <w:p>
      <w:pPr>
        <w:pStyle w:val="ListBullet"/>
      </w:pPr>
      <w:r>
        <w:t>Enforce centralized guardrails before any high-risk action.</w:t>
      </w:r>
    </w:p>
    <w:p>
      <w:pPr>
        <w:pStyle w:val="Heading3"/>
      </w:pPr>
      <w:r>
        <w:t>Specialized agents</w:t>
      </w:r>
    </w:p>
    <w:p>
      <w:pPr>
        <w:pStyle w:val="ListBullet"/>
      </w:pPr>
      <w:r>
        <w:t>Order tracking: status and shipping tracking lookups.</w:t>
      </w:r>
    </w:p>
    <w:p>
      <w:pPr>
        <w:pStyle w:val="ListBullet"/>
      </w:pPr>
      <w:r>
        <w:t>Refund processing: eligibility checks and refund issuance.</w:t>
      </w:r>
    </w:p>
    <w:p>
      <w:pPr>
        <w:pStyle w:val="ListBullet"/>
      </w:pPr>
      <w:r>
        <w:t>FAQ resolution: answer common policy/how-to queries.</w:t>
      </w:r>
    </w:p>
    <w:p>
      <w:pPr>
        <w:pStyle w:val="ListBullet"/>
      </w:pPr>
      <w:r>
        <w:t>Human escalation: create a ticket with redacted context when automation cannot safely proceed.</w:t>
      </w:r>
    </w:p>
    <w:p>
      <w:pPr>
        <w:pStyle w:val="Heading3"/>
      </w:pPr>
      <w:r>
        <w:t>When to escalate</w:t>
      </w:r>
    </w:p>
    <w:p>
      <w:pPr>
        <w:pStyle w:val="ListBullet"/>
      </w:pPr>
      <w:r>
        <w:t>Missing required identifiers (e.g., order id).</w:t>
      </w:r>
    </w:p>
    <w:p>
      <w:pPr>
        <w:pStyle w:val="ListBullet"/>
      </w:pPr>
      <w:r>
        <w:t>Low confidence routing or ambiguous intent.</w:t>
      </w:r>
    </w:p>
    <w:p>
      <w:pPr>
        <w:pStyle w:val="ListBullet"/>
      </w:pPr>
      <w:r>
        <w:t>Guardrail blocks an action (e.g., refund over the limit).</w:t>
      </w:r>
    </w:p>
    <w:p>
      <w:pPr>
        <w:pStyle w:val="ListBullet"/>
      </w:pPr>
      <w:r>
        <w:t>Tool failures or repeated attempts exceed thresholds.</w:t>
      </w:r>
    </w:p>
    <w:p>
      <w:pPr>
        <w:pStyle w:val="Heading3"/>
      </w:pPr>
      <w:r>
        <w:t>How agents communicate</w:t>
      </w:r>
    </w:p>
    <w:p>
      <w:r>
        <w:t>Agents communicate exclusively through a shared FlowState dictionary — a</w:t>
        <w:br/>
        <w:t>session-scoped data structure passed between LangGraph graph nodes. No agent reads</w:t>
        <w:br/>
        <w:t>or writes to shared memory outside its own execution step. All inter-agent</w:t>
        <w:br/>
        <w:t>coordination uses typed state fields (intent, extracted, resolution,</w:t>
        <w:br/>
        <w:t>escalated, escalation_reason, response), guaranteeing session isolation and</w:t>
        <w:br/>
        <w:t>making every state transition traceable in the audit log.</w:t>
      </w:r>
    </w:p>
    <w:p>
      <w:pPr>
        <w:pStyle w:val="Heading2"/>
      </w:pPr>
      <w:r>
        <w:t>STEP 4 | Define the Guardrails (non-negotiable)</w:t>
      </w:r>
    </w:p>
    <w:p>
      <w:pPr>
        <w:pStyle w:val="ListBullet"/>
      </w:pPr>
      <w:r>
        <w:br/>
        <w:t>Refund limit guardrail: refunds above $75 must require human sign-off to control financial</w:t>
        <w:br/>
        <w:t xml:space="preserve">  risk and abuse. Automated high-value approvals create exploitable attack surfaces (e.g., prompt</w:t>
        <w:br/>
        <w:t xml:space="preserve">  injection to trigger large refunds) and may violate financial audit controls. Human review</w:t>
        <w:br/>
        <w:t xml:space="preserve">  is the only reliable gate above the threshold.</w:t>
        <w:br/>
      </w:r>
    </w:p>
    <w:p>
      <w:pPr>
        <w:pStyle w:val="ListBullet"/>
      </w:pPr>
      <w:r>
        <w:br/>
        <w:t>Session isolation: no sensitive customer data may be reused across sessions (prevents privacy breaches).</w:t>
        <w:br/>
        <w:t xml:space="preserve">  Sharing state across sessions risks exposing Customer A's personally identifiable information</w:t>
        <w:br/>
        <w:t xml:space="preserve">  to Customer B's request — a direct GDPR/CCPA violation with regulatory and reputational consequences.</w:t>
        <w:br/>
      </w:r>
    </w:p>
    <w:p>
      <w:pPr>
        <w:pStyle w:val="ListBullet"/>
      </w:pPr>
      <w:r>
        <w:br/>
        <w:t>Loop prevention: hard stop if the workflow doesn't converge within defined steps (prevents</w:t>
        <w:br/>
        <w:t xml:space="preserve">  runaway automation). A looping agent depletes API quotas, degrades response latency for</w:t>
        <w:br/>
        <w:t xml:space="preserve">  concurrent users, and may begin hallucinating if Gemini is called repeatedly on unresolvable input.</w:t>
        <w:br/>
      </w:r>
    </w:p>
    <w:p>
      <w:pPr>
        <w:pStyle w:val="ListBullet"/>
      </w:pPr>
      <w:r>
        <w:br/>
        <w:t>Tool allowlist &amp; data minimization: only approved actions/tools (see ALLOWED_TOOLS in</w:t>
        <w:br/>
        <w:t xml:space="preserve">  guardrails.py); only necessary fields passed and stored. Unrestricted tool access</w:t>
        <w:br/>
        <w:t xml:space="preserve">  enables unapproved side-effects without review; over-retention of data widens breach</w:t>
        <w:br/>
        <w:t xml:space="preserve">  impact and compliance scope.</w:t>
        <w:br/>
      </w:r>
    </w:p>
    <w:p>
      <w:pPr>
        <w:pStyle w:val="Heading2"/>
      </w:pPr>
      <w:r>
        <w:t>STEP 5 | Monitoring and Success Metrics</w:t>
      </w:r>
    </w:p>
    <w:p>
      <w:pPr>
        <w:pStyle w:val="Heading3"/>
      </w:pPr>
      <w:r>
        <w:t>What is logged (real time)</w:t>
      </w:r>
    </w:p>
    <w:p>
      <w:pPr>
        <w:pStyle w:val="ListBullet"/>
      </w:pPr>
      <w:r>
        <w:t>Orchestrator routing decisions (intent + confidence).</w:t>
      </w:r>
    </w:p>
    <w:p>
      <w:pPr>
        <w:pStyle w:val="ListBullet"/>
      </w:pPr>
      <w:r>
        <w:t>Every tool call (name, redacted params, latency, outcome).</w:t>
      </w:r>
    </w:p>
    <w:p>
      <w:pPr>
        <w:pStyle w:val="ListBullet"/>
      </w:pPr>
      <w:r>
        <w:t>Escalation triggers (reason).</w:t>
      </w:r>
    </w:p>
    <w:p>
      <w:pPr>
        <w:pStyle w:val="ListBullet"/>
      </w:pPr>
      <w:r>
        <w:t>Guardrail violations (type, blocked action/threshold).</w:t>
      </w:r>
    </w:p>
    <w:p>
      <w:pPr>
        <w:pStyle w:val="ListBullet"/>
      </w:pPr>
      <w:r>
        <w:t>Errors/exceptions (type, context redacted).</w:t>
      </w:r>
    </w:p>
    <w:p>
      <w:pPr>
        <w:pStyle w:val="Heading3"/>
      </w:pPr>
      <w:r>
        <w:t>Alerts (examples)</w:t>
      </w:r>
    </w:p>
    <w:p>
      <w:pPr>
        <w:pStyle w:val="ListBullet"/>
      </w:pPr>
      <w:r>
        <w:t>Spike in guardrail violations.</w:t>
      </w:r>
    </w:p>
    <w:p>
      <w:pPr>
        <w:pStyle w:val="ListBullet"/>
      </w:pPr>
      <w:r>
        <w:t>Spike in escalation rate due to tool failures.</w:t>
      </w:r>
    </w:p>
    <w:p>
      <w:pPr>
        <w:pStyle w:val="ListBullet"/>
      </w:pPr>
      <w:r>
        <w:t>Elevated error rate or p95 latency.</w:t>
      </w:r>
    </w:p>
    <w:p>
      <w:pPr>
        <w:pStyle w:val="ListBullet"/>
      </w:pPr>
      <w:r>
        <w:t>Unusual refund issuance patterns (even within limit).</w:t>
      </w:r>
    </w:p>
    <w:p>
      <w:pPr>
        <w:pStyle w:val="Heading3"/>
      </w:pPr>
      <w:r>
        <w:t>Success metrics (at least 4)</w:t>
      </w:r>
    </w:p>
    <w:p>
      <w:pPr>
        <w:pStyle w:val="ListBullet"/>
      </w:pPr>
      <w:r>
        <w:t>Mean time to first response (target: minutes, not hours).</w:t>
      </w:r>
    </w:p>
    <w:p>
      <w:pPr>
        <w:pStyle w:val="ListBullet"/>
      </w:pPr>
      <w:r>
        <w:t>Auto-resolution rate (% resolved without human).</w:t>
      </w:r>
    </w:p>
    <w:p>
      <w:pPr>
        <w:pStyle w:val="ListBullet"/>
      </w:pPr>
      <w:r>
        <w:t>Escalation rate (and distribution of reasons).</w:t>
      </w:r>
    </w:p>
    <w:p>
      <w:pPr>
        <w:pStyle w:val="ListBullet"/>
      </w:pPr>
      <w:r>
        <w:t>Guardrail violation count (should be near-zero; any spike is a regression).</w:t>
      </w:r>
    </w:p>
    <w:p>
      <w:pPr>
        <w:pStyle w:val="ListBullet"/>
      </w:pPr>
      <w:r>
        <w:t>(Optional) Tool failure rate and p95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