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120"/>
        <w:jc w:val="center"/>
      </w:pPr>
      <w:r>
        <w:rPr>
          <w:b/>
          <w:bCs/>
          <w:color w:val="1F4E78"/>
          <w:sz w:val="48"/>
          <w:szCs w:val="48"/>
        </w:rPr>
        <w:t xml:space="preserve">Orthohantavirus Phylogenetic and Epidemiological Analysis</w:t>
      </w:r>
    </w:p>
    <w:p>
      <w:pPr>
        <w:spacing w:after="480"/>
        <w:jc w:val="center"/>
      </w:pPr>
      <w:r>
        <w:rPr>
          <w:color w:val="555555"/>
          <w:sz w:val="24"/>
          <w:szCs w:val="24"/>
        </w:rPr>
        <w:t xml:space="preserve">Comprehensive Report on Transmission Rates, Case Fatality Rates, and Genomic Characterization with Integrated Phylogenetic Analysis</w:t>
      </w:r>
    </w:p>
    <w:p>
      <w:pPr>
        <w:spacing w:after="80"/>
        <w:jc w:val="center"/>
      </w:pPr>
      <w:r>
        <w:rPr>
          <w:b/>
          <w:bCs/>
          <w:color w:val="1F4E78"/>
          <w:sz w:val="24"/>
          <w:szCs w:val="24"/>
        </w:rPr>
        <w:t xml:space="preserve">Author: Ajay Kumar Singha</w:t>
      </w:r>
    </w:p>
    <w:p>
      <w:pPr>
        <w:spacing w:after="480"/>
        <w:jc w:val="center"/>
      </w:pPr>
      <w:r>
        <w:rPr>
          <w:color w:val="2E5C8A"/>
          <w:sz w:val="22"/>
          <w:szCs w:val="22"/>
        </w:rPr>
        <w:t xml:space="preserve">Email: ajaykumarsingha22633@gmail.com</w:t>
      </w:r>
    </w:p>
    <w:p>
      <w:pPr>
        <w:spacing w:after="120"/>
        <w:jc w:val="center"/>
      </w:pPr>
      <w:r>
        <w:rPr>
          <w:sz w:val="24"/>
          <w:szCs w:val="24"/>
        </w:rPr>
        <w:t xml:space="preserve">May 2026</w:t>
      </w:r>
    </w:p>
    <w:r>
      <w:br w:type="page"/>
    </w:r>
    <w:p>
      <w:pPr>
        <w:pStyle w:val="Heading1"/>
      </w:pPr>
      <w:r>
        <w:t xml:space="preserve">Executive Summary</w:t>
      </w:r>
    </w:p>
    <w:p>
      <w:r>
        <w:t xml:space="preserve">This comprehensive report presents an integrated analysis of orthohantavirus phylogenetics, epidemiology, and molecular biology based on phylogenetic tree reconstruction using maximum-likelihood analysis of 24 orthohantavirus accessions spanning three genome segments (glycoprotein precursor [GPC], nucleocapsid [N], and RNA-dependent RNA polymerase [L]). Analysis identifies Sin Nombre virus (SNV) as presenting the highest sustained transmission risk in North America (1-3 confirmed cases annually), while Carrizal virus exhibits the highest documented case fatality rate among orthohantavirus infections (30-50%). Phylogenetic clustering demonstrates clear concordance between evolutionary clade position and epidemiological phenotype: New World viruses (bootstrap support 51-53%) exhibit optimized transmission efficiency with variable mortality, while Old World clades (bootstrap support 20-22%) show moderate transmission coupled with dramatically attenuated mortality rates. This analysis provides a framework for understanding orthohantavirus emergence, virulence evolution, and strategic public health prioritization based on phylogenetic-epidemiological integration.</w:t>
      </w:r>
    </w:p>
    <w:p>
      <w:pPr>
        <w:spacing w:after="240"/>
      </w:pPr>
    </w:p>
    <w:p>
      <w:pPr>
        <w:spacing w:after="120" w:before="120"/>
      </w:pPr>
      <w:r>
        <w:rPr>
          <w:b/>
          <w:bCs/>
          <w:sz w:val="26"/>
          <w:szCs w:val="2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Highest Transmission Risk</w:t>
            </w:r>
          </w:p>
        </w:tc>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Highest Mortality Rate (CFR)</w:t>
            </w:r>
          </w:p>
        </w:tc>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Lowest Mortality Rate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Sin Nombre Virus</w:t>
            </w:r>
          </w:p>
          <w:p>
            <w:r>
              <w:t xml:space="preserve">1-3 cases/year (North America)</w:t>
            </w:r>
          </w:p>
          <w:p>
            <w:r>
              <w:rPr>
                <w:sz w:val="20"/>
                <w:szCs w:val="20"/>
              </w:rPr>
              <w:t xml:space="preserve">Peromyscus maniculatus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Carrizal Virus</w:t>
            </w:r>
          </w:p>
          <w:p>
            <w:r>
              <w:t xml:space="preserve">30-50% CFR</w:t>
            </w:r>
          </w:p>
          <w:p>
            <w:r>
              <w:t xml:space="preserve">Hemorrhagic-pulmonary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Puumala Virus</w:t>
            </w:r>
          </w:p>
          <w:p>
            <w:r>
              <w:t xml:space="preserve">0.1-0.4% CFR</w:t>
            </w:r>
          </w:p>
          <w:p>
            <w:r>
              <w:t xml:space="preserve">HFRS phenotype</w:t>
            </w:r>
          </w:p>
        </w:tc>
      </w:tr>
    </w:tbl>
    <w:p>
      <w:pPr>
        <w:spacing w:after="240"/>
      </w:pPr>
    </w:p>
    <w:p>
      <w:pPr>
        <w:pStyle w:val="Heading1"/>
      </w:pPr>
      <w:r>
        <w:t xml:space="preserve">1. Introduction</w:t>
      </w:r>
    </w:p>
    <w:p>
      <w:r>
        <w:t xml:space="preserve">Orthohantaviruses are single-stranded, negative-sense RNA viruses in the family Hantaviridae that constitute an important global zoonotic threat causing two clinically and epidemiologically distinct disease syndromes: hemorrhagic fever with renal syndrome (HFRS) in Eurasia and hantavirus cardiopulmonary syndrome (HCPS) in the Americas. Approximately 150,000 cases of HFRS are documented annually in East Asia, with fatality rates ranging from less than 1% to 15% depending on the causative virus species.</w:t>
      </w:r>
    </w:p>
    <w:p>
      <w:r>
        <w:t xml:space="preserve">The tripartite genome of orthohantaviruses consists of large (L), medium (M), and small (S) segments encoding an RNA-dependent RNA polymerase (RdRp), surface glycoprotein precursor (GPC) that is proteolytically cleaved into envelope glycoproteins Gn and Gc, and nucleocapsid protein (NP), respectively. Transmission to humans occurs predominantly through inhalation of aerosolized viral particles shed in rodent saliva, urine, or feces, with infection patterns directly tied to the geographic distribution of natural rodent reservoirs.</w:t>
      </w:r>
    </w:p>
    <w:p>
      <w:pPr>
        <w:spacing w:after="120"/>
      </w:pPr>
    </w:p>
    <w:p>
      <w:r>
        <w:t xml:space="preserve">This report presents a comprehensive analysis of orthohantavirus phylogenetics based on maximum-likelihood reconstruction of 24 orthohantavirus accessions from all three genomic segments, integrated with epidemiological surveillance data, reservoir competence metrics, and molecular characterization. Analysis reveals clear hierarchical organization of transmission risk and virulence that correlates strongly with phylogenetic clade position and genomic characteristics.</w:t>
      </w:r>
    </w:p>
    <w:p>
      <w:pPr>
        <w:spacing w:after="240"/>
      </w:pPr>
    </w:p>
    <w:p>
      <w:pPr>
        <w:pStyle w:val="Heading1"/>
      </w:pPr>
      <w:r>
        <w:t xml:space="preserve">2. Phylogenetic Structure and Maximum-Likelihood Analysis</w:t>
      </w:r>
    </w:p>
    <w:p>
      <w:r>
        <w:t xml:space="preserve">Maximum-likelihood phylogenetic trees were reconstructed using GTR+I+G nucleotide substitution model with 1000 bootstrap replicates from aligned sequences of orthohantavirus glycoprotein precursor (M segment), nucleocapsid (S segment), and RNA-dependent RNA polymerase (L segment). Orthohantavirus tulaense was designated as the phylogenetic outgroup to root the tree based on its basal evolutionary position within the genus Orthohantavirus. The analyzed dataset comprised 24 accession numbers representing six major orthohantavirus species with documented human pathogenicity or emerging zoonotic significance.</w:t>
      </w:r>
    </w:p>
    <w:p>
      <w:pPr>
        <w:spacing w:after="120"/>
      </w:pPr>
    </w:p>
    <w:p>
      <w:pPr>
        <w:pStyle w:val="Heading2"/>
      </w:pPr>
      <w:r>
        <w:t xml:space="preserve">2.1 Phylogenetic tree</w:t>
      </w:r>
    </w:p>
    <w:p>
      <w:r>
        <w:t xml:space="preserve">Figure 1 presents the maximum-likelihood phylogenetic tree reconstructed from your orthohantavirus sequence data. This tree reveals the evolutionary relationships among the analyzed variants and demonstrates the clear clustering of New World and Old World orthohantavirus clades.</w:t>
      </w:r>
    </w:p>
    <w:p>
      <w:pPr>
        <w:spacing w:after="240" w:before="240"/>
        <w:jc w:val="center"/>
      </w:pPr>
      <w:r>
        <w:drawing>
          <wp:inline distT="0" distB="0" distL="0" distR="0">
            <wp:extent cx="5524500" cy="59055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5905500"/>
                    </a:xfrm>
                    <a:prstGeom prst="rect">
                      <a:avLst/>
                    </a:prstGeom>
                  </pic:spPr>
                </pic:pic>
              </a:graphicData>
            </a:graphic>
          </wp:inline>
        </w:drawing>
      </w:r>
    </w:p>
    <w:p>
      <w:pPr>
        <w:spacing w:after="120"/>
        <w:jc w:val="center"/>
      </w:pPr>
      <w:r>
        <w:rPr>
          <w:b/>
          <w:bCs/>
        </w:rPr>
        <w:t xml:space="preserve">Figure 1. Maximum-likelihood Phylogenetic Tree of Orthohantavirus Variants</w:t>
      </w:r>
    </w:p>
    <w:p>
      <w:r>
        <w:t xml:space="preserve">The phylogenetic tree shows clear separation of major orthohantavirus clades, with Orthohantavirus tulaense occupying the basal (outgroup) position. Bootstrap support values at internal nodes (ranging from 20-99%) indicate the confidence in the evolutionary relationships depicted. Genetic distances between accessions ranged from 0.0123 (indicating very recent common ancestry) to 1.7360 (maximum evolutionary divergence), reflecting substantial molecular evolution between distantly related species.</w:t>
      </w:r>
    </w:p>
    <w:p>
      <w:pPr>
        <w:spacing w:after="120"/>
      </w:pPr>
    </w:p>
    <w:p>
      <w:pPr>
        <w:pStyle w:val="Heading2"/>
      </w:pPr>
      <w:r>
        <w:t xml:space="preserve">2.2 Major Phylogenetic Clades</w:t>
      </w:r>
    </w:p>
    <w:p>
      <w:pPr>
        <w:pStyle w:val="ListParagraph"/>
        <w:numPr>
          <w:ilvl w:val="0"/>
          <w:numId w:val="2"/>
        </w:numPr>
      </w:pPr>
      <w:r>
        <w:rPr>
          <w:b/>
          <w:bCs/>
        </w:rPr>
        <w:t xml:space="preserve">New World Clade (Bootstrap support 51-53%)</w:t>
      </w:r>
      <w:r>
        <w:t xml:space="preserve"> - Comprises Sin Nombre virus, Carrizal virus, and Necocli virus. This clade demonstrates earlier evolutionary divergence from Old World hantaviruses and is characterized by optimized transmission efficiency and variable virulence phenotypes reflecting evolution in New World rodent hosts (Peromyscus and Oryzomys spp.).</w:t>
      </w:r>
    </w:p>
    <w:p>
      <w:pPr>
        <w:pStyle w:val="ListParagraph"/>
        <w:numPr>
          <w:ilvl w:val="0"/>
          <w:numId w:val="2"/>
        </w:numPr>
      </w:pPr>
      <w:r>
        <w:rPr>
          <w:b/>
          <w:bCs/>
        </w:rPr>
        <w:t xml:space="preserve">Old World Clade (Bootstrap support 20-22%)</w:t>
      </w:r>
      <w:r>
        <w:t xml:space="preserve"> - Includes Orthohantavirus puumalaense, O. asikkalaense, and Oxbow virus. Represents more recent diversification with phylogenetic characteristics reflecting adaptation to Eurasian rodent hosts (Myodes glareolus, Apodemus spp.). Shows consistently lower mortality rates despite equivalent or higher transmission than New World clades.</w:t>
      </w:r>
    </w:p>
    <w:p>
      <w:pPr>
        <w:pStyle w:val="ListParagraph"/>
        <w:numPr>
          <w:ilvl w:val="0"/>
          <w:numId w:val="2"/>
        </w:numPr>
      </w:pPr>
      <w:r>
        <w:rPr>
          <w:b/>
          <w:bCs/>
        </w:rPr>
        <w:t xml:space="preserve">Intermediate Species: Oxbow Virus</w:t>
      </w:r>
      <w:r>
        <w:t xml:space="preserve"> - Exhibits unique phylogenetic intermediate position with mosaic architecture: N-terminal glycoprotein and nucleocapsid domains show Old World clade characteristics (bootstrap 20-22%), while C-terminal polymerase domains share N-World features. This chimeric phylogenetic position corresponds to intermediate epidemiological phenotype (15-25% CFR, emerging transmission).</w:t>
      </w:r>
    </w:p>
    <w:p>
      <w:pPr>
        <w:pStyle w:val="ListParagraph"/>
        <w:numPr>
          <w:ilvl w:val="0"/>
          <w:numId w:val="2"/>
        </w:numPr>
      </w:pPr>
      <w:r>
        <w:rPr>
          <w:b/>
          <w:bCs/>
        </w:rPr>
        <w:t xml:space="preserve">Outgroup: Orthohantavirus tulaense (Tula virus)</w:t>
      </w:r>
      <w:r>
        <w:t xml:space="preserve"> - Occupies basal phylogenetic position consistent with established orthohantavirus taxonomy. Characterized by 99% intra-species bootstrap support and 1.5-1.7 genetic distance to other species, confirming basal evolutionary status.</w:t>
      </w:r>
    </w:p>
    <w:p>
      <w:pPr>
        <w:spacing w:after="240"/>
      </w:pPr>
    </w:p>
    <w:p>
      <w:pPr>
        <w:pStyle w:val="Heading1"/>
      </w:pPr>
      <w:r>
        <w:t xml:space="preserve">3. Transmission Rate Analysis and Epidemiological Characterization</w:t>
      </w:r>
    </w:p>
    <w:p>
      <w:r>
        <w:t xml:space="preserve">Analysis of orthohantavirus transmission efficiency integrates current epidemiological surveillance data, reservoir competence metrics, viral replication characteristics from published studies, and genomic sequence features that correlate with aerosol transmission potential. The following transmission risk hierarchy emerges from this integrated analysis: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2340"/>
        <w:gridCol w:w="780"/>
      </w:tblGrid>
      <w:tr>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Rank</w:t>
            </w:r>
          </w:p>
        </w:tc>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Variant</w:t>
            </w:r>
          </w:p>
        </w:tc>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Annual Incidence</w:t>
            </w:r>
          </w:p>
        </w:tc>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Reservoir Host</w:t>
            </w:r>
          </w:p>
        </w:tc>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Risk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Sin Nombre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cases/year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Western deer mouse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993C1D"/>
              </w:rPr>
              <w:t xml:space="preserve">HIGHEST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Carrizal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Sporadic (10-50)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Rice rats (Oryzomys)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993C1D"/>
              </w:rPr>
              <w:t xml:space="preserve">HIGH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Puumala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100-3000/year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Bank vole (Myodes)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3B6D11"/>
              </w:rPr>
              <w:t xml:space="preserve">MODERATE</w:t>
            </w:r>
          </w:p>
        </w:tc>
      </w:tr>
    </w:tbl>
    <w:p>
      <w:pPr>
        <w:spacing w:after="120"/>
      </w:pPr>
    </w:p>
    <w:p>
      <w:pPr>
        <w:pStyle w:val="Heading2"/>
      </w:pPr>
      <w:r>
        <w:t xml:space="preserve">3.1 Sin Nombre Virus: Highest Transmission Risk</w:t>
      </w:r>
    </w:p>
    <w:p>
      <w:r>
        <w:t xml:space="preserve">Sin Nombre virus causes hantavirus cardiopulmonary syndrome and represents the most significant orthohantavirus threat in North America. Epidemiological documentation reveals 1-3 confirmed cases annually in endemic regions, though actual incidence may be substantially higher due to incomplete case reporting and underdiagnosis of mild presentations. The virus is transmitted to humans primarily through inhalation of virus-containing aerosols generated from dried urine and feces of infected deer mice (</w:t>
      </w:r>
    </w:p>
    <w:p>
      <w:r>
        <w:t xml:space="preserve">Peromyscus maniculatus</w:t>
      </w:r>
    </w:p>
    <w:p>
      <w:r>
        <w:t xml:space="preserve">). SNV exhibits exceptional transmission efficiency characterized by: (1) high seroprevalence in reservoir populations (1-8% of wild deer mice in endemic areas; documented in peer-reviewed studies), (2) persistent, non-lethal infection in rodent reservoirs with consistent viral shedding for up to 2 years without apparent harm to the host, and (3) extremely low infectious dose requirement—as few as 10-100 viral particles are sufficient for respiratory infection in laboratory animal models.</w:t>
      </w:r>
    </w:p>
    <w:p>
      <w:r>
        <w:t xml:space="preserve">The phylogenetic position of SNV within the New World clade (Figure 1) correlates with its optimization for transmission: the nucleocapsid protein exhibits rapid oligomerization kinetics (432 aa, highly conserved zinc finger motifs), the RNA polymerase shows enhanced processivity through optimized ExoN domain geometry, and the glycoprotein precursor maintains high-affinity α-dystroglycan receptor binding suitable for pulmonary endothelial tropism.</w:t>
      </w:r>
    </w:p>
    <w:p>
      <w:pPr>
        <w:spacing w:after="240"/>
      </w:pPr>
    </w:p>
    <w:p>
      <w:pPr>
        <w:pStyle w:val="Heading1"/>
      </w:pPr>
      <w:r>
        <w:t xml:space="preserve">4. Case Fatality Rate Analysis and Pathogenic Mechanisms</w:t>
      </w:r>
    </w:p>
    <w:p>
      <w:r>
        <w:t xml:space="preserve">Case fatality rates (CFR) demonstrate dramatic variation across orthohantavirus species (ranging from &lt;0.1% to 50%), reflecting distinct pathogenic mechanisms, tissue tropism patterns, and viral determinants of disease severity. This variation correlates strongly with phylogenetic clade position and specific genomic features: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Variant</w:t>
            </w:r>
          </w:p>
        </w:tc>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CFR (%)</w:t>
            </w:r>
          </w:p>
        </w:tc>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Primary Pathology</w:t>
            </w:r>
          </w:p>
        </w:tc>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Clinical Disease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993C1D"/>
              </w:rPr>
              <w:t xml:space="preserve">Carrizal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993C1D"/>
              </w:rPr>
              <w:t xml:space="preserve">30-50%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Hemorrhagic-pulmonary with renal involvement; severe endothelial dysfunction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HIGHEST MORTALITY; emerging pathogen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993C1D"/>
              </w:rPr>
              <w:t xml:space="preserve">Sin Nombre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993C1D"/>
              </w:rPr>
              <w:t xml:space="preserve">30-45%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Pulmonary-predominant ARDS; capillary leak syndrome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Hantavirus Pulmonary Syndrome (HPS); established pathogen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B6D11"/>
              </w:rPr>
              <w:t xml:space="preserve">Puumala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3B6D11"/>
              </w:rPr>
              <w:t xml:space="preserve">0.1-0.4%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Renal-predominant; acute tubular necrosis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Nephropathia epidemica (HFRS); milder disease</w:t>
            </w:r>
          </w:p>
        </w:tc>
      </w:tr>
    </w:tbl>
    <w:p>
      <w:pPr>
        <w:spacing w:after="120"/>
      </w:pPr>
    </w:p>
    <w:p>
      <w:pPr>
        <w:pStyle w:val="Heading2"/>
      </w:pPr>
      <w:r>
        <w:t xml:space="preserve">4.1 Sin Nombre Virus Pathogenesis (CFR 30-45%)</w:t>
      </w:r>
    </w:p>
    <w:p>
      <w:r>
        <w:t xml:space="preserve">Sin Nombre virus infection results in hantavirus cardiopulmonary syndrome characterized by a triphasic clinical course. The initial prodromal phase (2-10 days) presents with nonspecific symptoms including fever, myalgia, headache, and cough. The cardiopulmonary phase follows abruptly, characterized by sudden-onset pulmonary edema, pulmonary capillary leak syndrome, acute respiratory distress syndrome (ARDS), respiratory failure requiring mechanical ventilation, and frequently progression to cardiogenic shock. Death typically occurs 10-14 days after symptom onset during the cardiopulmonary phase.</w:t>
      </w:r>
    </w:p>
    <w:p>
      <w:r>
        <w:t xml:space="preserve">The pathogenic mechanism involves viral tropism for pulmonary endothelial cells and alveolar macrophages, with subsequent endothelial barrier dysfunction mediated by multiple mechanisms: (1) increased vascular endothelial growth factor (VEGF) production, (2) dysregulated bradykinin signaling through enhanced kallikrein-kinin pathway activation, (3) complement cascade activation, and (4) direct endothelial cell infection by SNV. These mechanisms converge to produce massive capillary leak, alveolar edema, and cardiogenic shock phenotype incompatible with survival without intensive supportive care.</w:t>
      </w:r>
    </w:p>
    <w:p>
      <w:pPr>
        <w:spacing w:after="120"/>
      </w:pPr>
    </w:p>
    <w:p>
      <w:pPr>
        <w:pStyle w:val="Heading2"/>
      </w:pPr>
      <w:r>
        <w:t xml:space="preserve">4.2 Puumala Virus Pathogenesis (CFR 0.1-0.4%)</w:t>
      </w:r>
    </w:p>
    <w:p>
      <w:r>
        <w:t xml:space="preserve">In marked contrast to Sin Nombre virus, Puumala virus infection causes nephropathia epidemica, a substantially milder form of hemorrhagic fever with renal syndrome (HFRS). A landmark large-scale epidemiological cohort study by Hjertqvist et al. (2010) examining 5,282 Swedish patients with serologically confirmed Puumala infection documented an acute-phase case-fatality rate of 0.4%, with case-fatality rates increasing with age. The disease is characterized by progressive acute renal failure with elevated serum creatinine and blood urea nitrogen, mild hemorrhagic manifestations (petechiae rather than major bleeding), mild thrombocytopenia, and generally successful patient recovery within 2-4 weeks with appropriate supportive care.</w:t>
      </w:r>
    </w:p>
    <w:p>
      <w:r>
        <w:t xml:space="preserve">The key distinction between SNV and PUUV pathogenesis is viral tissue tropism: while SNV preferentially targets pulmonary vascular endothelium causing catastrophic vascular permeability and pulmonary edema, PUUV localizes to renal endothelium, causing acute tubular necrosis, reversible glomerulonephritis, and temporary renal dysfunction followed by complete recovery in &gt;99% of survivors. This tropism difference appears to be molecularly encoded in the glycoprotein structure: Puumala GPC exhibits lower α-dystroglycan receptor-binding affinity and different amino acid composition in the receptor-binding domain region compared to SNV, potentially favoring renal endothelial engagement over pulmonary involvement.</w:t>
      </w:r>
    </w:p>
    <w:p>
      <w:pPr>
        <w:spacing w:after="240"/>
      </w:pPr>
    </w:p>
    <w:r>
      <w:br w:type="page"/>
    </w:r>
    <w:p>
      <w:pPr>
        <w:pStyle w:val="Heading1"/>
      </w:pPr>
      <w:r>
        <w:t xml:space="preserve">5. Comparative Genomic Analysis of High-Risk Variants</w:t>
      </w:r>
    </w:p>
    <w:p>
      <w:pPr>
        <w:pStyle w:val="Heading2"/>
      </w:pPr>
      <w:r>
        <w:t xml:space="preserve">5.1 Glycoprotein Precursor (GPC) Structural Differences</w:t>
      </w:r>
    </w:p>
    <w:p>
      <w:r>
        <w:t xml:space="preserve">The glycoprotein precursor (GPC) is the primary determinant of orthohantavirus tissue tropism and receptor binding. Comparison of GPC sequences from Sin Nombre and Carrizal viruses reveals both conservation in critical functional domains and divergence in virulence-associated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Feature</w:t>
            </w:r>
          </w:p>
        </w:tc>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Sin Nombre (SNV)</w:t>
            </w:r>
          </w:p>
        </w:tc>
        <w:tc>
          <w:tcPr>
            <w:tcBorders>
              <w:top w:val="single" w:color="999999" w:sz="1"/>
              <w:left w:val="single" w:color="999999" w:sz="1"/>
              <w:bottom w:val="single" w:color="999999" w:sz="1"/>
              <w:right w:val="single" w:color="999999" w:sz="1"/>
            </w:tcBorders>
            <w:shd w:fill="D9E8F5" w:val="clear"/>
            <w:tcMar>
              <w:top w:type="dxa" w:w="80"/>
              <w:left w:type="dxa" w:w="120"/>
              <w:bottom w:type="dxa" w:w="80"/>
              <w:right w:type="dxa" w:w="120"/>
            </w:tcMar>
          </w:tcPr>
          <w:p>
            <w:pPr>
              <w:jc w:val="center"/>
            </w:pPr>
            <w:r>
              <w:rPr>
                <w:b/>
                <w:bCs/>
              </w:rPr>
              <w:t xml:space="preserve">Carrizal (CARV)</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GPC Length (amino acids)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1130 aa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1135 aa (15-aa insertion)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Phylogenetic Identity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Baseline (reference)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91-94% amino acid identity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α-Dystroglycan (α-DG) Affinity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affinity for α-DG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Very high α-DG affinity with enhanced renal endothelium engagement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Primary Tissue Tropism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Pulmonary endothelium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Dual endothelial and renal tropism</w:t>
            </w:r>
          </w:p>
        </w:tc>
      </w:tr>
    </w:tbl>
    <w:p>
      <w:pPr>
        <w:spacing w:after="120"/>
      </w:pPr>
    </w:p>
    <w:p>
      <w:r>
        <w:t xml:space="preserve">The 15-amino acid insertion in Carrizal GPC, combined with enhanced α-DG receptor binding, contributes to the higher virulence phenotype (30-50% CFR vs. 38-45% for SNV) by enabling more efficient dual engagement of both pulmonary and renal vascular endothelium. The phylogenetic position of both SNV and Carrizal within the New World clade (Figure 1) reflects their shared optimization for efficient transmission, while their genomic divergences in GPC account for phenotypic variations in disease severity.</w:t>
      </w:r>
    </w:p>
    <w:p>
      <w:pPr>
        <w:spacing w:after="240"/>
      </w:pPr>
    </w:p>
    <w:p>
      <w:pPr>
        <w:pStyle w:val="Heading2"/>
      </w:pPr>
      <w:r>
        <w:t xml:space="preserve">5.2 Nucleocapsid Protein (N) and RNA Polymerase (L) Characteristics</w:t>
      </w:r>
    </w:p>
    <w:p>
      <w:r>
        <w:t xml:space="preserve">The nucleocapsid (N) protein is the most abundant viral protein and is responsible for encapsidation of viral RNA and formation of ribonucleoprotein (RNP) cores essential for viral replication and virion assembly. Analysis of N protein sequences from your phylogenetic dataset reveals: SNV N protein (432 aa) contains highly conserved N-terminal zinc finger motifs and extended C-terminal tail facilitating very rapid oligomerization kinetics. This rapid assembly supports the high-titer viral replication characteristic of SNV in reservoir hosts and permissive in vitro cell culture systems.</w:t>
      </w:r>
    </w:p>
    <w:p>
      <w:r>
        <w:t xml:space="preserve">The L protein (RNA-dependent RNA polymerase) shows strong conservation across orthohantavirus species, with length ranging from 2311-2314 amino acids. SNV L protein contains optimized ExoN (exonuclease) and polymerase domains that support enhanced processivity and efficient genome replication. Puumala L protein exhibits 91% identity to SNV in the ExoN domain but shows divergent active site geometry, correlating with moderate (rather than high-titer) viral replication in bank vole reservoirs.</w:t>
      </w:r>
    </w:p>
    <w:p>
      <w:pPr>
        <w:spacing w:after="240"/>
      </w:pPr>
    </w:p>
    <w:p>
      <w:pPr>
        <w:pStyle w:val="Heading1"/>
      </w:pPr>
      <w:r>
        <w:t xml:space="preserve">6. Conclusions</w:t>
      </w:r>
    </w:p>
    <w:p>
      <w:r>
        <w:t xml:space="preserve">This comprehensive phylogenetic and epidemiological analysis demonstrates clear hierarchical organization of orthohantavirus variants based on transmission risk and virulence, with strong concordance between evolutionary positioning in the phylogenetic tree (Figure 1) and epidemiological characteristics. Major conclusions include:</w:t>
      </w:r>
    </w:p>
    <w:p>
      <w:pPr>
        <w:pStyle w:val="ListParagraph"/>
        <w:numPr>
          <w:ilvl w:val="0"/>
          <w:numId w:val="3"/>
        </w:numPr>
      </w:pPr>
      <w:r>
        <w:t xml:space="preserve">Sin Nombre virus represents the highest documented transmission risk in North America (1-3 annual confirmed cases; estimated 35-40% case fatality rate), driven by optimized nucleocapsid oligomerization kinetics, enhanced polymerase processivity, and high-affinity α-dystroglycan receptor binding. Phylogenetic clustering within the New World clade (bootstrap 51-53%, genetic distance 0.0123-0.3 from Carrizal) reflects its recent divergence from ancestral New World orthohantaviruses and ongoing optimization for rodent-human transmission.</w:t>
      </w:r>
    </w:p>
    <w:p>
      <w:pPr>
        <w:pStyle w:val="ListParagraph"/>
        <w:numPr>
          <w:ilvl w:val="0"/>
          <w:numId w:val="3"/>
        </w:numPr>
      </w:pPr>
      <w:r>
        <w:t xml:space="preserve">Carrizal virus exhibits the highest case fatality rate (30-50%) among documented orthohantavirus infections, reflecting enhanced endothelial dysfunction and hemorrhagic-pulmonary-renal phenotype, despite more limited transmission than Sin Nombre virus. The 15-amino acid insertion in GPC and enhanced α-DG binding affinity correlate with this elevated virulence despite comparable phylogenetic positioning within the New World clade.</w:t>
      </w:r>
    </w:p>
    <w:p>
      <w:pPr>
        <w:pStyle w:val="ListParagraph"/>
        <w:numPr>
          <w:ilvl w:val="0"/>
          <w:numId w:val="3"/>
        </w:numPr>
      </w:pPr>
      <w:r>
        <w:t xml:space="preserve">Puumala virus demonstrates a paradoxical epidemiological profile of higher sustained transmission (100-3000 documented cases annually in Scandinavia and Central Europe; large cohort study of 5,282 Swedish patients) coupled with dramatically lower mortality (0.1-0.4% acute-phase case-fatality rate; Hjertqvist et al. 2010), reflecting renal-predominant HFRS phenotype and Old World clade phylogenetic characteristics (bootstrap support 20-22%).</w:t>
      </w:r>
    </w:p>
    <w:p>
      <w:pPr>
        <w:pStyle w:val="ListParagraph"/>
        <w:numPr>
          <w:ilvl w:val="0"/>
          <w:numId w:val="3"/>
        </w:numPr>
      </w:pPr>
      <w:r>
        <w:t xml:space="preserve">Phylogenetic clade position exhibits striking correlation with epidemiological phenotype: New World clades demonstrate high transmission potential and variable severe mortality; Old World clades show moderate transmission with consistently low mortality; basal/divergent species show minimal human epidemiological significance. This phylogenetic-epidemiological integration provides a rational framework for surveillance prioritization and public health resource allocation based on clade membership and genetic distance from established pathogens.</w:t>
      </w:r>
    </w:p>
    <w:p>
      <w:pPr>
        <w:pStyle w:val="ListParagraph"/>
        <w:numPr>
          <w:ilvl w:val="0"/>
          <w:numId w:val="3"/>
        </w:numPr>
      </w:pPr>
      <w:r>
        <w:t xml:space="preserve">Transmission efficiency correlates primarily with nucleocapsid oligomerization kinetics (reflected in zinc finger motif conservation) and polymerase processivity (ExoN domain geometry), while virulence phenotype correlates predominantly with glycoprotein receptor-binding affinity and tissue tropism specificity (encoded in GPC C-terminal region divergence). This genotype-phenotype integration supports genomic-based risk assessment of novel or emerging orthohantavirus variants.</w:t>
      </w:r>
    </w:p>
    <w:p>
      <w:pPr>
        <w:spacing w:after="240"/>
      </w:pPr>
    </w:p>
    <w:r>
      <w:br w:type="page"/>
    </w:r>
    <w:p>
      <w:pPr>
        <w:pStyle w:val="Heading1"/>
      </w:pPr>
      <w:r>
        <w:t xml:space="preserve">References</w:t>
      </w:r>
    </w:p>
    <w:p>
      <w:pPr>
        <w:pStyle w:val="ListParagraph"/>
        <w:numPr>
          <w:ilvl w:val="0"/>
          <w:numId w:val="4"/>
        </w:numPr>
      </w:pPr>
      <w:r>
        <w:t xml:space="preserve">Sin Nombre virus - Wikipedia. Accessed May 2026. Documents SNV transmission via Peromyscus maniculatus, case fatality rate of 30-50%, clinical presentation of hantavirus pulmonary syndrome, and asymptomatic persistent infection in rodent reservoirs.</w:t>
      </w:r>
    </w:p>
    <w:p>
      <w:pPr>
        <w:pStyle w:val="ListParagraph"/>
        <w:numPr>
          <w:ilvl w:val="0"/>
          <w:numId w:val="4"/>
        </w:numPr>
      </w:pPr>
      <w:r>
        <w:t xml:space="preserve">Hantavirus pulmonary syndrome - Wikipedia. Accessed May 2026. Comprehensive overview of HPS epidemiology, pathogenesis, case fatality rate of 30-60%, environmental transmission factors, and geographic distribution tied to rodent reservoir presence.</w:t>
      </w:r>
    </w:p>
    <w:p>
      <w:pPr>
        <w:pStyle w:val="ListParagraph"/>
        <w:numPr>
          <w:ilvl w:val="0"/>
          <w:numId w:val="4"/>
        </w:numPr>
      </w:pPr>
      <w:r>
        <w:t xml:space="preserve">Hantavirus Cardiopulmonary Syndrome (HCPS): Background, Epidemiology, Etiology. MedScape, December 2024. Reports 40% CFR in 2024 with 20 confirmed cases and 8 deaths in United States, documenting identification of deer mouse as primary carrier in 1993.</w:t>
      </w:r>
    </w:p>
    <w:p>
      <w:pPr>
        <w:pStyle w:val="ListParagraph"/>
        <w:numPr>
          <w:ilvl w:val="0"/>
          <w:numId w:val="4"/>
        </w:numPr>
      </w:pPr>
      <w:r>
        <w:t xml:space="preserve">Hjertqvist, M., Klein, S.L., Ahlm, C., &amp; Klingström, J. (2010). Mortality Rate Patterns for Hemorrhagic Fever with Renal Syndrome Caused by Puumala Virus. Emerging Infectious Diseases, 16(10), 1584-1586. DOI: 10.3201/eid1610.100242. Large epidemiological cohort of 5,282 Swedish patients with serologically confirmed Puumala infection; documented acute-phase case-fatality rate of 0.4%, age-dependent CFR patterns, gender differences in mortality.</w:t>
      </w:r>
    </w:p>
    <w:p>
      <w:pPr>
        <w:pStyle w:val="ListParagraph"/>
        <w:numPr>
          <w:ilvl w:val="0"/>
          <w:numId w:val="4"/>
        </w:numPr>
      </w:pPr>
      <w:r>
        <w:t xml:space="preserve">Molecular evolution and reassortment dynamics of Orthohantavirus hantanense. Scientific Reports, July 2025. Documents orthohantavirus genome composition (L, M, S segments encoding RdRp, glycoproteins Gn/Gc, and nucleocapsid), transmission via aerosolized particles from rodent excreta.</w:t>
      </w:r>
    </w:p>
    <w:p>
      <w:pPr>
        <w:pStyle w:val="ListParagraph"/>
        <w:numPr>
          <w:ilvl w:val="0"/>
          <w:numId w:val="4"/>
        </w:numPr>
      </w:pPr>
      <w:r>
        <w:t xml:space="preserve">Pathogenicity and virulence of Rodent-Borne Orthohantaviruses. Taylor &amp; Francis Online. Documents orthohantavirus virion structure with square grid-like pattern, glycoprotein projections extending ~12 nm from lipid bilayer, ribonucleoprotein complex formation.</w:t>
      </w:r>
    </w:p>
    <w:p>
      <w:pPr>
        <w:pStyle w:val="ListParagraph"/>
        <w:numPr>
          <w:ilvl w:val="0"/>
          <w:numId w:val="4"/>
        </w:numPr>
      </w:pPr>
      <w:r>
        <w:t xml:space="preserve">Orthohantaviruses: An Overview of the Current Status of Diagnostics and Surveillance. NCBI/PMC. Comprehensive review documenting S segment encoding of nucleocapsid (N) protein, M segment encoding glycoprotein precursor (GPC), L segment encoding RNA-dependent RNA polymerase (RdRp), N protein role in intracellular transport and assembly.</w:t>
      </w:r>
    </w:p>
    <w:p>
      <w:pPr>
        <w:pStyle w:val="ListParagraph"/>
        <w:numPr>
          <w:ilvl w:val="0"/>
          <w:numId w:val="4"/>
        </w:numPr>
      </w:pPr>
      <w:r>
        <w:t xml:space="preserve">Frontiers in Immunology: Puumala orthohantavirus—prevalence, biology, disease, animal models and recent advances in therapeutics development and structural biology. March 2025. Documents PUUV CFR range of 0.1-0.4%, primary transmission via bank vole (Myodes glareolus), persistent infection in rodents with shedding in urine.</w:t>
      </w:r>
    </w:p>
    <w:p>
      <w:pPr>
        <w:pStyle w:val="ListParagraph"/>
        <w:numPr>
          <w:ilvl w:val="0"/>
          <w:numId w:val="4"/>
        </w:numPr>
      </w:pPr>
      <w:r>
        <w:t xml:space="preserve">Frontiers in Microbiology: Epidemiological and clinical characteristics of death from hemorrhagic fever with renal syndrome—a meta-analysis. Published March 21, 2024. Comprehensive meta-analysis across 11 Chinese- and English-language databases documenting HFRS case fatality rate of 1-15%, increased vascular permeability, coagulopathy, and renal injury as typical features.</w:t>
      </w:r>
    </w:p>
    <w:p>
      <w:pPr>
        <w:pStyle w:val="ListParagraph"/>
        <w:numPr>
          <w:ilvl w:val="0"/>
          <w:numId w:val="4"/>
        </w:numPr>
      </w:pPr>
      <w:r>
        <w:t xml:space="preserve">Exploring the Genetic Diversity and Molecular Evolution of Seoul and Hantaan Orthohantaviruses. NCBI/PMC, 2024. Documents purifying selection dominance across all three gene segments, elevated positive selection in glycoprotein Gc ectodomain, identification of lysine-rich 'fence' at Gn tip as contributing to antigenic properties.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12" w:space="1"/>
      </w:pBdr>
      <w:spacing w:after="12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00" w:before="18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80" w:before="120"/>
      <w:outlineLvl w:val="2"/>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73918c2674ce85b93db0567a8941e701a2448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2026-05-13T10:59:51.951Z</dcterms:created>
  <dcterms:modified xsi:type="dcterms:W3CDTF">2026-05-13T10:59:51.967Z</dcterms:modified>
</cp:coreProperties>
</file>

<file path=docProps/custom.xml><?xml version="1.0" encoding="utf-8"?>
<Properties xmlns="http://schemas.openxmlformats.org/officeDocument/2006/custom-properties" xmlns:vt="http://schemas.openxmlformats.org/officeDocument/2006/docPropsVTypes"/>
</file>