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sz w:val="30"/>
          <w:szCs w:val="30"/>
        </w:rPr>
        <w:t xml:space="preserve">BreathCam: Literature Review</w:t>
      </w:r>
    </w:p>
    <w:p>
      <w:pPr>
        <w:pBdr>
          <w:bottom w:val="single" w:color="444444" w:sz="6" w:space="4"/>
        </w:pBdr>
        <w:spacing w:after="120"/>
      </w:pPr>
      <w:r>
        <w:rPr>
          <w:rFonts w:ascii="Times New Roman" w:cs="Times New Roman" w:eastAsia="Times New Roman" w:hAnsi="Times New Roman"/>
          <w:i/>
          <w:iCs/>
          <w:sz w:val="19"/>
          <w:szCs w:val="19"/>
        </w:rPr>
        <w:t xml:space="preserve">Signal processing, machine learning and digital health for camera-based respiratory-rate estimation. Research prototype, not a medical device.</w:t>
      </w:r>
    </w:p>
    <w:p>
      <w:pPr>
        <w:keepNext/>
        <w:spacing w:after="30" w:before="120"/>
      </w:pPr>
      <w:r>
        <w:rPr>
          <w:rFonts w:ascii="Times New Roman" w:cs="Times New Roman" w:eastAsia="Times New Roman" w:hAnsi="Times New Roman"/>
          <w:b/>
          <w:bCs/>
          <w:sz w:val="22"/>
          <w:szCs w:val="22"/>
        </w:rPr>
        <w:t xml:space="preserve">1. Motivation</w:t>
      </w:r>
    </w:p>
    <w:p>
      <w:pPr>
        <w:spacing w:after="60" w:line="252"/>
        <w:jc w:val="both"/>
      </w:pPr>
      <w:r>
        <w:rPr>
          <w:rFonts w:ascii="Times New Roman" w:cs="Times New Roman" w:eastAsia="Times New Roman" w:hAnsi="Times New Roman"/>
          <w:sz w:val="21"/>
          <w:szCs w:val="21"/>
        </w:rPr>
        <w:t xml:space="preserve">Respiratory rate is a core vital sign, yet normal values shift steeply with age: a systematic review found the median falls from about 44 breaths/min at birth to about 26 at age two, and that published reference ranges disagreed markedly with the pooled centiles (Fleming et al., 2011). Measurement methods divide into contact and contactless approaches (Massaroni et al., 2019), and camera-based sensing is a contactless option whose fit for clinical and home settings is still being assessed (Rehouma et al., 2020). That motivates digital-health uses such as monitoring children with asthma, but BreathCam is an adult research prototype and makes no asthma or pediatric claims.</w:t>
      </w:r>
    </w:p>
    <w:p>
      <w:pPr>
        <w:keepNext/>
        <w:spacing w:after="30" w:before="120"/>
      </w:pPr>
      <w:r>
        <w:rPr>
          <w:rFonts w:ascii="Times New Roman" w:cs="Times New Roman" w:eastAsia="Times New Roman" w:hAnsi="Times New Roman"/>
          <w:b/>
          <w:bCs/>
          <w:sz w:val="22"/>
          <w:szCs w:val="22"/>
        </w:rPr>
        <w:t xml:space="preserve">2. Video-based signal extraction</w:t>
      </w:r>
    </w:p>
    <w:p>
      <w:pPr>
        <w:spacing w:after="60" w:line="252"/>
        <w:jc w:val="both"/>
      </w:pPr>
      <w:r>
        <w:rPr>
          <w:rFonts w:ascii="Times New Roman" w:cs="Times New Roman" w:eastAsia="Times New Roman" w:hAnsi="Times New Roman"/>
          <w:sz w:val="21"/>
          <w:szCs w:val="21"/>
        </w:rPr>
        <w:t xml:space="preserve">Camera methods turn chest motion into a one-dimensional trace; Rehouma et al. (2020) organise the field by technique and by the breathing parameter measured. Dense optical flow estimates per-pixel motion between frames, for instance via polynomial expansion (Farnebäck, 2003), while pose models such as BlazePose detect 33 body keypoints in real time for one person, which can locate the torso (Bazarevsky et al., 2020). BreathCam averages vertical Farnebäck flow inside a chest box and compares it with a cheaper frame-differencing (brightness-constancy) estimate, which agreed with it on its clips (MAE 0.11 vs 0.12 breaths/min against the metronome target).</w:t>
      </w:r>
    </w:p>
    <w:p>
      <w:pPr>
        <w:keepNext/>
        <w:spacing w:after="30" w:before="120"/>
      </w:pPr>
      <w:r>
        <w:rPr>
          <w:rFonts w:ascii="Times New Roman" w:cs="Times New Roman" w:eastAsia="Times New Roman" w:hAnsi="Times New Roman"/>
          <w:b/>
          <w:bCs/>
          <w:sz w:val="22"/>
          <w:szCs w:val="22"/>
        </w:rPr>
        <w:t xml:space="preserve">3. Filtering and spectral estimation</w:t>
      </w:r>
    </w:p>
    <w:p>
      <w:pPr>
        <w:spacing w:after="60" w:line="252"/>
        <w:jc w:val="both"/>
      </w:pPr>
      <w:r>
        <w:rPr>
          <w:rFonts w:ascii="Times New Roman" w:cs="Times New Roman" w:eastAsia="Times New Roman" w:hAnsi="Times New Roman"/>
          <w:sz w:val="21"/>
          <w:szCs w:val="21"/>
        </w:rPr>
        <w:t xml:space="preserve">Band-pass filtering isolates the respiratory band, and Welch's method estimates a power spectrum by averaging short, modified periodograms to reduce variance (Welch, 1967); both are standard routines in SciPy (Virtanen et al., 2020). BreathCam applies a zero-phase Butterworth band-pass (0.1–0.7 Hz for BIDMC, 0.1–1.0 Hz for video) to 30 s windows every 5 s and converts the strongest in-band peak to breaths/min. In this implementation each window is a single Welch segment, so segment averaging is not exploited.</w:t>
      </w:r>
    </w:p>
    <w:p>
      <w:pPr>
        <w:keepNext/>
        <w:spacing w:after="30" w:before="120"/>
      </w:pPr>
      <w:r>
        <w:rPr>
          <w:rFonts w:ascii="Times New Roman" w:cs="Times New Roman" w:eastAsia="Times New Roman" w:hAnsi="Times New Roman"/>
          <w:b/>
          <w:bCs/>
          <w:sz w:val="22"/>
          <w:szCs w:val="22"/>
        </w:rPr>
        <w:t xml:space="preserve">4. Signal quality and rejection of unreliable windows</w:t>
      </w:r>
    </w:p>
    <w:p>
      <w:pPr>
        <w:spacing w:after="60" w:line="252"/>
        <w:jc w:val="both"/>
      </w:pPr>
      <w:r>
        <w:rPr>
          <w:rFonts w:ascii="Times New Roman" w:cs="Times New Roman" w:eastAsia="Times New Roman" w:hAnsi="Times New Roman"/>
          <w:sz w:val="21"/>
          <w:szCs w:val="21"/>
        </w:rPr>
        <w:t xml:space="preserve">Signal-quality indices let a monitor discard segments too corrupted to trust. One study derived such indices for wearable ECG and PPG, checked them against manual labels (PPG sensitivity and specificity about 91% and 95%), and reported that gating improved PPG-derived respiratory rate (Orphanidou et al., 2015). BreathCam's gate is simpler: the share of in-band power within ±0.05 Hz of the main peak, with a 0.6 threshold; a hand-wave window scored 0.53 and was rejected, whereas a 0.5 threshold had let it through. On BIDMC the gate kept 3,800 of 4,809 windows, but it is Welch's own confidence, so the gated comparison (Welch 0.55, CNN 0.68 MAE) favours Welch.</w:t>
      </w:r>
    </w:p>
    <w:p>
      <w:pPr>
        <w:keepNext/>
        <w:spacing w:after="30" w:before="120"/>
      </w:pPr>
      <w:r>
        <w:rPr>
          <w:rFonts w:ascii="Times New Roman" w:cs="Times New Roman" w:eastAsia="Times New Roman" w:hAnsi="Times New Roman"/>
          <w:b/>
          <w:bCs/>
          <w:sz w:val="22"/>
          <w:szCs w:val="22"/>
        </w:rPr>
        <w:t xml:space="preserve">5. Learning-based estimators</w:t>
      </w:r>
    </w:p>
    <w:p>
      <w:pPr>
        <w:spacing w:after="60" w:line="252"/>
        <w:jc w:val="both"/>
      </w:pPr>
      <w:r>
        <w:rPr>
          <w:rFonts w:ascii="Times New Roman" w:cs="Times New Roman" w:eastAsia="Times New Roman" w:hAnsi="Times New Roman"/>
          <w:sz w:val="21"/>
          <w:szCs w:val="21"/>
        </w:rPr>
        <w:t xml:space="preserve">Deep networks can recover respiration from physiological signals; one fully convolutional encoder-decoder maps PPG to a respiration waveform and beat two conventional methods on two public datasets (Ravichandran et al., 2019). For video, 3D and (2+1)D residual networks model space and time jointly and match or exceed earlier action-recognition results (Tran et al., 2018). Reported accuracy depends on how data are split: a survey found leakage affecting 294 papers across 17 fields (Kapoor &amp; Narayanan, 2023). BreathCam trains a small 1D CNN (about 100k parameters) on BIDMC with patient-level 5-fold cross-validation (MAE 0.98 vs 1.16 for Welch, a difference not distinguishable from zero); the same network with random-window splits scored 0.46. A pretrained 3D CNN (r3d_18) is named as future work and was not trained.</w:t>
      </w:r>
    </w:p>
    <w:p>
      <w:pPr>
        <w:keepNext/>
        <w:spacing w:after="30" w:before="120"/>
      </w:pPr>
      <w:r>
        <w:rPr>
          <w:rFonts w:ascii="Times New Roman" w:cs="Times New Roman" w:eastAsia="Times New Roman" w:hAnsi="Times New Roman"/>
          <w:b/>
          <w:bCs/>
          <w:sz w:val="22"/>
          <w:szCs w:val="22"/>
        </w:rPr>
        <w:t xml:space="preserve">6. Evaluation methods and datasets</w:t>
      </w:r>
    </w:p>
    <w:p>
      <w:pPr>
        <w:spacing w:after="60" w:line="252"/>
        <w:jc w:val="both"/>
      </w:pPr>
      <w:r>
        <w:rPr>
          <w:rFonts w:ascii="Times New Roman" w:cs="Times New Roman" w:eastAsia="Times New Roman" w:hAnsi="Times New Roman"/>
          <w:sz w:val="21"/>
          <w:szCs w:val="21"/>
        </w:rPr>
        <w:t xml:space="preserve">BIDMC holds 8-minute recordings from 53 critically ill patients with breath annotations by two annotators on the impedance signal (Pimentel et al., 2016; PhysioNet BIDMC dataset). Bland and Altman (1986) argue that correlation is not agreement and propose plotting differences against means, with bias and limits of agreement. Chai and Draxler (2014) recommend combining error metrics rather than relying on one, and cluster-bootstrap methods are consistent under common models of clustered data (Field &amp; Welsh, 2007). BreathCam reports MAE, RMSE, share within ±2 breaths/min, Bland-Altman limits (Welch −0.34 to +0.39 against the metronome) and 95% intervals that resample patients (Welch 0.81–1.55).</w:t>
      </w:r>
    </w:p>
    <w:p>
      <w:pPr>
        <w:keepNext/>
        <w:spacing w:after="30" w:before="120"/>
      </w:pPr>
      <w:r>
        <w:rPr>
          <w:rFonts w:ascii="Times New Roman" w:cs="Times New Roman" w:eastAsia="Times New Roman" w:hAnsi="Times New Roman"/>
          <w:b/>
          <w:bCs/>
          <w:sz w:val="22"/>
          <w:szCs w:val="22"/>
        </w:rPr>
        <w:t xml:space="preserve">7. Explainability</w:t>
      </w:r>
    </w:p>
    <w:p>
      <w:pPr>
        <w:spacing w:after="60" w:line="252"/>
        <w:jc w:val="both"/>
      </w:pPr>
      <w:r>
        <w:rPr>
          <w:rFonts w:ascii="Times New Roman" w:cs="Times New Roman" w:eastAsia="Times New Roman" w:hAnsi="Times New Roman"/>
          <w:sz w:val="21"/>
          <w:szCs w:val="21"/>
        </w:rPr>
        <w:t xml:space="preserve">Grad-CAM weights a convolutional layer's activations by gradient to produce a coarse heatmap (Selvaraju et al., 2019), but Adebayo et al. (2018) showed that some convincing saliency maps are independent of the model and data, so explanations must be tested, not judged by eye. BreathCam adapts Grad-CAM to its 1D regression: attention at annotated breaths was 1.01x against 1.01x for a shifted control, the randomised-weights check passed (correlation 0.00), and occluding the highest-attention 5 s changed predictions by 1.28 bpm against 1.23 for random, a weak effect.</w:t>
      </w:r>
    </w:p>
    <w:p>
      <w:pPr>
        <w:keepNext/>
        <w:spacing w:after="30" w:before="120"/>
      </w:pPr>
      <w:r>
        <w:rPr>
          <w:rFonts w:ascii="Times New Roman" w:cs="Times New Roman" w:eastAsia="Times New Roman" w:hAnsi="Times New Roman"/>
          <w:b/>
          <w:bCs/>
          <w:sz w:val="22"/>
          <w:szCs w:val="22"/>
        </w:rPr>
        <w:t xml:space="preserve">8. Privacy, de-identification and research ethics</w:t>
      </w:r>
    </w:p>
    <w:p>
      <w:pPr>
        <w:spacing w:after="60" w:line="252"/>
        <w:jc w:val="both"/>
      </w:pPr>
      <w:r>
        <w:rPr>
          <w:rFonts w:ascii="Times New Roman" w:cs="Times New Roman" w:eastAsia="Times New Roman" w:hAnsi="Times New Roman"/>
          <w:sz w:val="21"/>
          <w:szCs w:val="21"/>
        </w:rPr>
        <w:t xml:space="preserve">BlazeFace is a lightweight detector built for mobile GPUs and suited to locating faces as a first processing stage (Bazarevsky et al., 2019), and TCPS 2 (2022) sets Canada's framework for research with humans, covering consent, privacy and ethics-board review. BreathCam blurs faces with BlazeFace (detected in 2,777 of 2,782 frames, the other 5 filled from neighbours), drops audio and strips GPS and device metadata; the breathing estimate stayed 12.0 breaths/min. The author completed the TCPS 2 CORE-2022 tutorial, but no ethics board reviewed the project and the consent form is an unfinished draft.</w:t>
      </w:r>
    </w:p>
    <w:p>
      <w:pPr>
        <w:keepNext/>
        <w:spacing w:after="30" w:before="120"/>
      </w:pPr>
      <w:r>
        <w:rPr>
          <w:rFonts w:ascii="Times New Roman" w:cs="Times New Roman" w:eastAsia="Times New Roman" w:hAnsi="Times New Roman"/>
          <w:b/>
          <w:bCs/>
          <w:sz w:val="22"/>
          <w:szCs w:val="22"/>
        </w:rPr>
        <w:t xml:space="preserve">9. Gaps and limits</w:t>
      </w:r>
    </w:p>
    <w:p>
      <w:pPr>
        <w:spacing w:after="60" w:line="252"/>
        <w:jc w:val="both"/>
      </w:pPr>
      <w:r>
        <w:rPr>
          <w:rFonts w:ascii="Times New Roman" w:cs="Times New Roman" w:eastAsia="Times New Roman" w:hAnsi="Times New Roman"/>
          <w:sz w:val="21"/>
          <w:szCs w:val="21"/>
        </w:rPr>
        <w:t xml:space="preserve">BreathCam's video results come from one volunteer, five clips and a metronome target, not an independent measurement, so per-condition analysis is empty and subject-level intervals cannot be estimated. The learned model reads a clinical impedance signal, not video, and BIDMC annotations come from that same signal. De-identification was verified on one clip. No children were recorded, nothing here detects asthma, wheeze or retractions, and no comparison under comparable conditions supports any claim of outperforming published methods. It is a research prototype, not clinically validated.</w:t>
      </w:r>
    </w:p>
    <w:p>
      <w:pPr>
        <w:keepNext/>
        <w:spacing w:after="40" w:before="200"/>
      </w:pPr>
      <w:r>
        <w:rPr>
          <w:rFonts w:ascii="Times New Roman" w:cs="Times New Roman" w:eastAsia="Times New Roman" w:hAnsi="Times New Roman"/>
          <w:b/>
          <w:bCs/>
          <w:sz w:val="22"/>
          <w:szCs w:val="22"/>
        </w:rPr>
        <w:t xml:space="preserve">References</w:t>
      </w:r>
    </w:p>
    <w:p>
      <w:pPr>
        <w:spacing w:after="40"/>
        <w:ind w:left="360" w:hanging="360"/>
      </w:pPr>
      <w:r>
        <w:rPr>
          <w:rFonts w:ascii="Times New Roman" w:cs="Times New Roman" w:eastAsia="Times New Roman" w:hAnsi="Times New Roman"/>
          <w:i w:val="false"/>
          <w:iCs w:val="false"/>
          <w:sz w:val="18"/>
          <w:szCs w:val="18"/>
        </w:rPr>
        <w:t xml:space="preserve">Adebayo, J., Gilmer, J., Muelly, M., Goodfellow, I., Hardt, M., &amp; Kim, B. (2018). Sanity checks for saliency maps. </w:t>
      </w:r>
      <w:r>
        <w:rPr>
          <w:rFonts w:ascii="Times New Roman" w:cs="Times New Roman" w:eastAsia="Times New Roman" w:hAnsi="Times New Roman"/>
          <w:i/>
          <w:iCs/>
          <w:sz w:val="18"/>
          <w:szCs w:val="18"/>
        </w:rPr>
        <w:t xml:space="preserve">Advances in Neural Information Processing Systems 31 (NeurIPS 2018).</w:t>
      </w:r>
      <w:r>
        <w:rPr>
          <w:rFonts w:ascii="Times New Roman" w:cs="Times New Roman" w:eastAsia="Times New Roman" w:hAnsi="Times New Roman"/>
          <w:i w:val="false"/>
          <w:iCs w:val="false"/>
          <w:sz w:val="18"/>
          <w:szCs w:val="18"/>
        </w:rPr>
        <w:t xml:space="preserve"> arXiv:1810.03292</w:t>
      </w:r>
    </w:p>
    <w:p>
      <w:pPr>
        <w:spacing w:after="40"/>
        <w:ind w:left="360" w:hanging="360"/>
      </w:pPr>
      <w:r>
        <w:rPr>
          <w:rFonts w:ascii="Times New Roman" w:cs="Times New Roman" w:eastAsia="Times New Roman" w:hAnsi="Times New Roman"/>
          <w:i w:val="false"/>
          <w:iCs w:val="false"/>
          <w:sz w:val="18"/>
          <w:szCs w:val="18"/>
        </w:rPr>
        <w:t xml:space="preserve">Bazarevsky, V., Grishchenko, I., Raveendran, K., Zhu, T., Zhang, F., &amp; Grundmann, M. (2020). BlazePose: On-device real-time body pose tracking. arXiv:2006.10204</w:t>
      </w:r>
    </w:p>
    <w:p>
      <w:pPr>
        <w:spacing w:after="40"/>
        <w:ind w:left="360" w:hanging="360"/>
      </w:pPr>
      <w:r>
        <w:rPr>
          <w:rFonts w:ascii="Times New Roman" w:cs="Times New Roman" w:eastAsia="Times New Roman" w:hAnsi="Times New Roman"/>
          <w:i w:val="false"/>
          <w:iCs w:val="false"/>
          <w:sz w:val="18"/>
          <w:szCs w:val="18"/>
        </w:rPr>
        <w:t xml:space="preserve">Bazarevsky, V., Kartynnik, Y., Vakunov, A., Raveendran, K., &amp; Grundmann, M. (2019). BlazeFace: Sub-millisecond neural face detection on mobile GPUs. arXiv:1907.05047</w:t>
      </w:r>
    </w:p>
    <w:p>
      <w:pPr>
        <w:spacing w:after="40"/>
        <w:ind w:left="360" w:hanging="360"/>
      </w:pPr>
      <w:r>
        <w:rPr>
          <w:rFonts w:ascii="Times New Roman" w:cs="Times New Roman" w:eastAsia="Times New Roman" w:hAnsi="Times New Roman"/>
          <w:i w:val="false"/>
          <w:iCs w:val="false"/>
          <w:sz w:val="18"/>
          <w:szCs w:val="18"/>
        </w:rPr>
        <w:t xml:space="preserve">Bland, J. M., &amp; Altman, D. G. (1986). Statistical methods for assessing agreement between two methods of clinical measurement. </w:t>
      </w:r>
      <w:r>
        <w:rPr>
          <w:rFonts w:ascii="Times New Roman" w:cs="Times New Roman" w:eastAsia="Times New Roman" w:hAnsi="Times New Roman"/>
          <w:i/>
          <w:iCs/>
          <w:sz w:val="18"/>
          <w:szCs w:val="18"/>
        </w:rPr>
        <w:t xml:space="preserve">The Lancet, i,</w:t>
      </w:r>
      <w:r>
        <w:rPr>
          <w:rFonts w:ascii="Times New Roman" w:cs="Times New Roman" w:eastAsia="Times New Roman" w:hAnsi="Times New Roman"/>
          <w:i w:val="false"/>
          <w:iCs w:val="false"/>
          <w:sz w:val="18"/>
          <w:szCs w:val="18"/>
        </w:rPr>
        <w:t xml:space="preserve"> 307–310. https://doi.org/10.1016/S0140-6736(86)90837-8</w:t>
      </w:r>
    </w:p>
    <w:p>
      <w:pPr>
        <w:spacing w:after="40"/>
        <w:ind w:left="360" w:hanging="360"/>
      </w:pPr>
      <w:r>
        <w:rPr>
          <w:rFonts w:ascii="Times New Roman" w:cs="Times New Roman" w:eastAsia="Times New Roman" w:hAnsi="Times New Roman"/>
          <w:i w:val="false"/>
          <w:iCs w:val="false"/>
          <w:sz w:val="18"/>
          <w:szCs w:val="18"/>
        </w:rPr>
        <w:t xml:space="preserve">Chai, T., &amp; Draxler, R. R. (2014). Root mean square error (RMSE) or mean absolute error (MAE)? Arguments against avoiding RMSE in the literature. </w:t>
      </w:r>
      <w:r>
        <w:rPr>
          <w:rFonts w:ascii="Times New Roman" w:cs="Times New Roman" w:eastAsia="Times New Roman" w:hAnsi="Times New Roman"/>
          <w:i/>
          <w:iCs/>
          <w:sz w:val="18"/>
          <w:szCs w:val="18"/>
        </w:rPr>
        <w:t xml:space="preserve">Geoscientific Model Development, 7</w:t>
      </w:r>
      <w:r>
        <w:rPr>
          <w:rFonts w:ascii="Times New Roman" w:cs="Times New Roman" w:eastAsia="Times New Roman" w:hAnsi="Times New Roman"/>
          <w:i w:val="false"/>
          <w:iCs w:val="false"/>
          <w:sz w:val="18"/>
          <w:szCs w:val="18"/>
        </w:rPr>
        <w:t xml:space="preserve">(3), 1247–1250. https://doi.org/10.5194/gmd-7-1247-2014</w:t>
      </w:r>
    </w:p>
    <w:p>
      <w:pPr>
        <w:spacing w:after="40"/>
        <w:ind w:left="360" w:hanging="360"/>
      </w:pPr>
      <w:r>
        <w:rPr>
          <w:rFonts w:ascii="Times New Roman" w:cs="Times New Roman" w:eastAsia="Times New Roman" w:hAnsi="Times New Roman"/>
          <w:i w:val="false"/>
          <w:iCs w:val="false"/>
          <w:sz w:val="18"/>
          <w:szCs w:val="18"/>
        </w:rPr>
        <w:t xml:space="preserve">Farnebäck, G. (2003). Two-frame motion estimation based on polynomial expansion. In J. Bigun &amp; T. Gustavsson (Eds.), </w:t>
      </w:r>
      <w:r>
        <w:rPr>
          <w:rFonts w:ascii="Times New Roman" w:cs="Times New Roman" w:eastAsia="Times New Roman" w:hAnsi="Times New Roman"/>
          <w:i/>
          <w:iCs/>
          <w:sz w:val="18"/>
          <w:szCs w:val="18"/>
        </w:rPr>
        <w:t xml:space="preserve">Image Analysis (SCIA 2003)</w:t>
      </w:r>
      <w:r>
        <w:rPr>
          <w:rFonts w:ascii="Times New Roman" w:cs="Times New Roman" w:eastAsia="Times New Roman" w:hAnsi="Times New Roman"/>
          <w:i w:val="false"/>
          <w:iCs w:val="false"/>
          <w:sz w:val="18"/>
          <w:szCs w:val="18"/>
        </w:rPr>
        <w:t xml:space="preserve">, LNCS 2749, 363–370. https://doi.org/10.1007/3-540-45103-X_50</w:t>
      </w:r>
    </w:p>
    <w:p>
      <w:pPr>
        <w:spacing w:after="40"/>
        <w:ind w:left="360" w:hanging="360"/>
      </w:pPr>
      <w:r>
        <w:rPr>
          <w:rFonts w:ascii="Times New Roman" w:cs="Times New Roman" w:eastAsia="Times New Roman" w:hAnsi="Times New Roman"/>
          <w:i w:val="false"/>
          <w:iCs w:val="false"/>
          <w:sz w:val="18"/>
          <w:szCs w:val="18"/>
        </w:rPr>
        <w:t xml:space="preserve">Field, C. A., &amp; Welsh, A. H. (2007). Bootstrapping clustered data. </w:t>
      </w:r>
      <w:r>
        <w:rPr>
          <w:rFonts w:ascii="Times New Roman" w:cs="Times New Roman" w:eastAsia="Times New Roman" w:hAnsi="Times New Roman"/>
          <w:i/>
          <w:iCs/>
          <w:sz w:val="18"/>
          <w:szCs w:val="18"/>
        </w:rPr>
        <w:t xml:space="preserve">Journal of the Royal Statistical Society: Series B, 69</w:t>
      </w:r>
      <w:r>
        <w:rPr>
          <w:rFonts w:ascii="Times New Roman" w:cs="Times New Roman" w:eastAsia="Times New Roman" w:hAnsi="Times New Roman"/>
          <w:i w:val="false"/>
          <w:iCs w:val="false"/>
          <w:sz w:val="18"/>
          <w:szCs w:val="18"/>
        </w:rPr>
        <w:t xml:space="preserve">(3), 369–390. https://doi.org/10.1111/j.1467-9868.2007.00593.x</w:t>
      </w:r>
    </w:p>
    <w:p>
      <w:pPr>
        <w:spacing w:after="40"/>
        <w:ind w:left="360" w:hanging="360"/>
      </w:pPr>
      <w:r>
        <w:rPr>
          <w:rFonts w:ascii="Times New Roman" w:cs="Times New Roman" w:eastAsia="Times New Roman" w:hAnsi="Times New Roman"/>
          <w:i w:val="false"/>
          <w:iCs w:val="false"/>
          <w:sz w:val="18"/>
          <w:szCs w:val="18"/>
        </w:rPr>
        <w:t xml:space="preserve">Fleming, S., Thompson, M., Stevens, R., Heneghan, C., Plüddemann, A., Maconochie, I., Tarassenko, L., &amp; Mant, D. (2011). Normal ranges of heart rate and respiratory rate in children from birth to 18 years of age: A systematic review of observational studies. </w:t>
      </w:r>
      <w:r>
        <w:rPr>
          <w:rFonts w:ascii="Times New Roman" w:cs="Times New Roman" w:eastAsia="Times New Roman" w:hAnsi="Times New Roman"/>
          <w:i/>
          <w:iCs/>
          <w:sz w:val="18"/>
          <w:szCs w:val="18"/>
        </w:rPr>
        <w:t xml:space="preserve">The Lancet, 377</w:t>
      </w:r>
      <w:r>
        <w:rPr>
          <w:rFonts w:ascii="Times New Roman" w:cs="Times New Roman" w:eastAsia="Times New Roman" w:hAnsi="Times New Roman"/>
          <w:i w:val="false"/>
          <w:iCs w:val="false"/>
          <w:sz w:val="18"/>
          <w:szCs w:val="18"/>
        </w:rPr>
        <w:t xml:space="preserve">(9770), 1011–1018. https://doi.org/10.1016/S0140-6736(10)62226-X</w:t>
      </w:r>
    </w:p>
    <w:p>
      <w:pPr>
        <w:spacing w:after="40"/>
        <w:ind w:left="360" w:hanging="360"/>
      </w:pPr>
      <w:r>
        <w:rPr>
          <w:rFonts w:ascii="Times New Roman" w:cs="Times New Roman" w:eastAsia="Times New Roman" w:hAnsi="Times New Roman"/>
          <w:i w:val="false"/>
          <w:iCs w:val="false"/>
          <w:sz w:val="18"/>
          <w:szCs w:val="18"/>
        </w:rPr>
        <w:t xml:space="preserve">Interagency Advisory Panel on Research Ethics. (2022). </w:t>
      </w:r>
      <w:r>
        <w:rPr>
          <w:rFonts w:ascii="Times New Roman" w:cs="Times New Roman" w:eastAsia="Times New Roman" w:hAnsi="Times New Roman"/>
          <w:i/>
          <w:iCs/>
          <w:sz w:val="18"/>
          <w:szCs w:val="18"/>
        </w:rPr>
        <w:t xml:space="preserve">Tri-Council Policy Statement: Ethical Conduct for Research Involving Humans – TCPS 2 (2022)</w:t>
      </w:r>
      <w:r>
        <w:rPr>
          <w:rFonts w:ascii="Times New Roman" w:cs="Times New Roman" w:eastAsia="Times New Roman" w:hAnsi="Times New Roman"/>
          <w:i w:val="false"/>
          <w:iCs w:val="false"/>
          <w:sz w:val="18"/>
          <w:szCs w:val="18"/>
        </w:rPr>
        <w:t xml:space="preserve">. Government of Canada. https://ethics.gc.ca/eng/policy-politique_tcps2-eptc2_2022.html</w:t>
      </w:r>
    </w:p>
    <w:p>
      <w:pPr>
        <w:spacing w:after="40"/>
        <w:ind w:left="360" w:hanging="360"/>
      </w:pPr>
      <w:r>
        <w:rPr>
          <w:rFonts w:ascii="Times New Roman" w:cs="Times New Roman" w:eastAsia="Times New Roman" w:hAnsi="Times New Roman"/>
          <w:i w:val="false"/>
          <w:iCs w:val="false"/>
          <w:sz w:val="18"/>
          <w:szCs w:val="18"/>
        </w:rPr>
        <w:t xml:space="preserve">Kapoor, S., &amp; Narayanan, A. (2023). Leakage and the reproducibility crisis in machine-learning-based science. </w:t>
      </w:r>
      <w:r>
        <w:rPr>
          <w:rFonts w:ascii="Times New Roman" w:cs="Times New Roman" w:eastAsia="Times New Roman" w:hAnsi="Times New Roman"/>
          <w:i/>
          <w:iCs/>
          <w:sz w:val="18"/>
          <w:szCs w:val="18"/>
        </w:rPr>
        <w:t xml:space="preserve">Patterns, 4</w:t>
      </w:r>
      <w:r>
        <w:rPr>
          <w:rFonts w:ascii="Times New Roman" w:cs="Times New Roman" w:eastAsia="Times New Roman" w:hAnsi="Times New Roman"/>
          <w:i w:val="false"/>
          <w:iCs w:val="false"/>
          <w:sz w:val="18"/>
          <w:szCs w:val="18"/>
        </w:rPr>
        <w:t xml:space="preserve">(9), 100804. https://doi.org/10.1016/j.patter.2023.100804</w:t>
      </w:r>
    </w:p>
    <w:p>
      <w:pPr>
        <w:spacing w:after="40"/>
        <w:ind w:left="360" w:hanging="360"/>
      </w:pPr>
      <w:r>
        <w:rPr>
          <w:rFonts w:ascii="Times New Roman" w:cs="Times New Roman" w:eastAsia="Times New Roman" w:hAnsi="Times New Roman"/>
          <w:i w:val="false"/>
          <w:iCs w:val="false"/>
          <w:sz w:val="18"/>
          <w:szCs w:val="18"/>
        </w:rPr>
        <w:t xml:space="preserve">Massaroni, C., Nicolò, A., Lo Presti, D., Sacchetti, M., Silvestri, S., &amp; Schena, E. (2019). Contact-based methods for measuring respiratory rate. </w:t>
      </w:r>
      <w:r>
        <w:rPr>
          <w:rFonts w:ascii="Times New Roman" w:cs="Times New Roman" w:eastAsia="Times New Roman" w:hAnsi="Times New Roman"/>
          <w:i/>
          <w:iCs/>
          <w:sz w:val="18"/>
          <w:szCs w:val="18"/>
        </w:rPr>
        <w:t xml:space="preserve">Sensors, 19</w:t>
      </w:r>
      <w:r>
        <w:rPr>
          <w:rFonts w:ascii="Times New Roman" w:cs="Times New Roman" w:eastAsia="Times New Roman" w:hAnsi="Times New Roman"/>
          <w:i w:val="false"/>
          <w:iCs w:val="false"/>
          <w:sz w:val="18"/>
          <w:szCs w:val="18"/>
        </w:rPr>
        <w:t xml:space="preserve">(4), 908. https://doi.org/10.3390/s19040908</w:t>
      </w:r>
    </w:p>
    <w:p>
      <w:pPr>
        <w:spacing w:after="40"/>
        <w:ind w:left="360" w:hanging="360"/>
      </w:pPr>
      <w:r>
        <w:rPr>
          <w:rFonts w:ascii="Times New Roman" w:cs="Times New Roman" w:eastAsia="Times New Roman" w:hAnsi="Times New Roman"/>
          <w:i w:val="false"/>
          <w:iCs w:val="false"/>
          <w:sz w:val="18"/>
          <w:szCs w:val="18"/>
        </w:rPr>
        <w:t xml:space="preserve">Orphanidou, C., et al. (2015). Signal-quality indices for the electrocardiogram and photoplethysmogram: Derivation and applications to wireless monitoring. </w:t>
      </w:r>
      <w:r>
        <w:rPr>
          <w:rFonts w:ascii="Times New Roman" w:cs="Times New Roman" w:eastAsia="Times New Roman" w:hAnsi="Times New Roman"/>
          <w:i/>
          <w:iCs/>
          <w:sz w:val="18"/>
          <w:szCs w:val="18"/>
        </w:rPr>
        <w:t xml:space="preserve">IEEE Journal of Biomedical and Health Informatics, 19,</w:t>
      </w:r>
      <w:r>
        <w:rPr>
          <w:rFonts w:ascii="Times New Roman" w:cs="Times New Roman" w:eastAsia="Times New Roman" w:hAnsi="Times New Roman"/>
          <w:i w:val="false"/>
          <w:iCs w:val="false"/>
          <w:sz w:val="18"/>
          <w:szCs w:val="18"/>
        </w:rPr>
        <w:t xml:space="preserve"> 832–838. https://doi.org/10.1109/JBHI.2014.2338351</w:t>
      </w:r>
    </w:p>
    <w:p>
      <w:pPr>
        <w:spacing w:after="40"/>
        <w:ind w:left="360" w:hanging="360"/>
      </w:pPr>
      <w:r>
        <w:rPr>
          <w:rFonts w:ascii="Times New Roman" w:cs="Times New Roman" w:eastAsia="Times New Roman" w:hAnsi="Times New Roman"/>
          <w:i w:val="false"/>
          <w:iCs w:val="false"/>
          <w:sz w:val="18"/>
          <w:szCs w:val="18"/>
        </w:rPr>
        <w:t xml:space="preserve">Pimentel, M. A. F., Johnson, A., Charlton, P., Birrenkott, D., Watkinson, P., Tarassenko, L., &amp; Clifton, D. (2016). Towards a robust estimation of respiratory rate from pulse oximeters. </w:t>
      </w:r>
      <w:r>
        <w:rPr>
          <w:rFonts w:ascii="Times New Roman" w:cs="Times New Roman" w:eastAsia="Times New Roman" w:hAnsi="Times New Roman"/>
          <w:i/>
          <w:iCs/>
          <w:sz w:val="18"/>
          <w:szCs w:val="18"/>
        </w:rPr>
        <w:t xml:space="preserve">IEEE Transactions on Biomedical Engineering, 64</w:t>
      </w:r>
      <w:r>
        <w:rPr>
          <w:rFonts w:ascii="Times New Roman" w:cs="Times New Roman" w:eastAsia="Times New Roman" w:hAnsi="Times New Roman"/>
          <w:i w:val="false"/>
          <w:iCs w:val="false"/>
          <w:sz w:val="18"/>
          <w:szCs w:val="18"/>
        </w:rPr>
        <w:t xml:space="preserve">(8), 1914–1923. https://doi.org/10.1109/TBME.2016.2613124. Dataset: BIDMC PPG and Respiration Dataset v1.0.0, PhysioNet. https://doi.org/10.13026/C2208R</w:t>
      </w:r>
    </w:p>
    <w:p>
      <w:pPr>
        <w:spacing w:after="40"/>
        <w:ind w:left="360" w:hanging="360"/>
      </w:pPr>
      <w:r>
        <w:rPr>
          <w:rFonts w:ascii="Times New Roman" w:cs="Times New Roman" w:eastAsia="Times New Roman" w:hAnsi="Times New Roman"/>
          <w:i w:val="false"/>
          <w:iCs w:val="false"/>
          <w:sz w:val="18"/>
          <w:szCs w:val="18"/>
        </w:rPr>
        <w:t xml:space="preserve">Ravichandran, V., Murugesan, B., Balakarthikeyan, V., Shankaranarayana, S. M., Ram, K., Preejith, S. P., Joseph, J., &amp; Sivaprakasam, M. (2019). RespNet: A deep learning model for extraction of respiration from photoplethysmogram. arXiv:1902.04236</w:t>
      </w:r>
    </w:p>
    <w:p>
      <w:pPr>
        <w:spacing w:after="40"/>
        <w:ind w:left="360" w:hanging="360"/>
      </w:pPr>
      <w:r>
        <w:rPr>
          <w:rFonts w:ascii="Times New Roman" w:cs="Times New Roman" w:eastAsia="Times New Roman" w:hAnsi="Times New Roman"/>
          <w:i w:val="false"/>
          <w:iCs w:val="false"/>
          <w:sz w:val="18"/>
          <w:szCs w:val="18"/>
        </w:rPr>
        <w:t xml:space="preserve">Rehouma, H., Noumeir, R., Essouri, S., &amp; Jouvet, P. (2020). Advancements in methods and camera-based sensors for the quantification of respiration. </w:t>
      </w:r>
      <w:r>
        <w:rPr>
          <w:rFonts w:ascii="Times New Roman" w:cs="Times New Roman" w:eastAsia="Times New Roman" w:hAnsi="Times New Roman"/>
          <w:i/>
          <w:iCs/>
          <w:sz w:val="18"/>
          <w:szCs w:val="18"/>
        </w:rPr>
        <w:t xml:space="preserve">Sensors, 20</w:t>
      </w:r>
      <w:r>
        <w:rPr>
          <w:rFonts w:ascii="Times New Roman" w:cs="Times New Roman" w:eastAsia="Times New Roman" w:hAnsi="Times New Roman"/>
          <w:i w:val="false"/>
          <w:iCs w:val="false"/>
          <w:sz w:val="18"/>
          <w:szCs w:val="18"/>
        </w:rPr>
        <w:t xml:space="preserve">(24), 7252. https://doi.org/10.3390/s20247252</w:t>
      </w:r>
    </w:p>
    <w:p>
      <w:pPr>
        <w:spacing w:after="40"/>
        <w:ind w:left="360" w:hanging="360"/>
      </w:pPr>
      <w:r>
        <w:rPr>
          <w:rFonts w:ascii="Times New Roman" w:cs="Times New Roman" w:eastAsia="Times New Roman" w:hAnsi="Times New Roman"/>
          <w:i w:val="false"/>
          <w:iCs w:val="false"/>
          <w:sz w:val="18"/>
          <w:szCs w:val="18"/>
        </w:rPr>
        <w:t xml:space="preserve">Selvaraju, R. R., Cogswell, M., Das, A., Vedantam, R., Parikh, D., &amp; Batra, D. (2019). Grad-CAM: Visual explanations from deep networks via gradient-based localization. arXiv:1610.02391. https://doi.org/10.1007/s11263-019-01228-7</w:t>
      </w:r>
    </w:p>
    <w:p>
      <w:pPr>
        <w:spacing w:after="40"/>
        <w:ind w:left="360" w:hanging="360"/>
      </w:pPr>
      <w:r>
        <w:rPr>
          <w:rFonts w:ascii="Times New Roman" w:cs="Times New Roman" w:eastAsia="Times New Roman" w:hAnsi="Times New Roman"/>
          <w:i w:val="false"/>
          <w:iCs w:val="false"/>
          <w:sz w:val="18"/>
          <w:szCs w:val="18"/>
        </w:rPr>
        <w:t xml:space="preserve">Tran, D., Wang, H., Torresani, L., Ray, J., LeCun, Y., &amp; Paluri, M. (2018). A closer look at spatiotemporal convolutions for action recognition. </w:t>
      </w:r>
      <w:r>
        <w:rPr>
          <w:rFonts w:ascii="Times New Roman" w:cs="Times New Roman" w:eastAsia="Times New Roman" w:hAnsi="Times New Roman"/>
          <w:i/>
          <w:iCs/>
          <w:sz w:val="18"/>
          <w:szCs w:val="18"/>
        </w:rPr>
        <w:t xml:space="preserve">Proceedings of the IEEE Conference on Computer Vision and Pattern Recognition (CVPR)</w:t>
      </w:r>
      <w:r>
        <w:rPr>
          <w:rFonts w:ascii="Times New Roman" w:cs="Times New Roman" w:eastAsia="Times New Roman" w:hAnsi="Times New Roman"/>
          <w:i w:val="false"/>
          <w:iCs w:val="false"/>
          <w:sz w:val="18"/>
          <w:szCs w:val="18"/>
        </w:rPr>
        <w:t xml:space="preserve">, 6450–6459. arXiv:1711.11248</w:t>
      </w:r>
    </w:p>
    <w:p>
      <w:pPr>
        <w:spacing w:after="40"/>
        <w:ind w:left="360" w:hanging="360"/>
      </w:pPr>
      <w:r>
        <w:rPr>
          <w:rFonts w:ascii="Times New Roman" w:cs="Times New Roman" w:eastAsia="Times New Roman" w:hAnsi="Times New Roman"/>
          <w:i w:val="false"/>
          <w:iCs w:val="false"/>
          <w:sz w:val="18"/>
          <w:szCs w:val="18"/>
        </w:rPr>
        <w:t xml:space="preserve">Virtanen, P., et al. (2020). SciPy 1.0: Fundamental algorithms for scientific computing in Python. </w:t>
      </w:r>
      <w:r>
        <w:rPr>
          <w:rFonts w:ascii="Times New Roman" w:cs="Times New Roman" w:eastAsia="Times New Roman" w:hAnsi="Times New Roman"/>
          <w:i/>
          <w:iCs/>
          <w:sz w:val="18"/>
          <w:szCs w:val="18"/>
        </w:rPr>
        <w:t xml:space="preserve">Nature Methods, 17</w:t>
      </w:r>
      <w:r>
        <w:rPr>
          <w:rFonts w:ascii="Times New Roman" w:cs="Times New Roman" w:eastAsia="Times New Roman" w:hAnsi="Times New Roman"/>
          <w:i w:val="false"/>
          <w:iCs w:val="false"/>
          <w:sz w:val="18"/>
          <w:szCs w:val="18"/>
        </w:rPr>
        <w:t xml:space="preserve">(3), 261–272. https://doi.org/10.1038/s41592-019-0686-2</w:t>
      </w:r>
    </w:p>
    <w:p>
      <w:pPr>
        <w:spacing w:after="40"/>
        <w:ind w:left="360" w:hanging="360"/>
      </w:pPr>
      <w:r>
        <w:rPr>
          <w:rFonts w:ascii="Times New Roman" w:cs="Times New Roman" w:eastAsia="Times New Roman" w:hAnsi="Times New Roman"/>
          <w:i w:val="false"/>
          <w:iCs w:val="false"/>
          <w:sz w:val="18"/>
          <w:szCs w:val="18"/>
        </w:rPr>
        <w:t xml:space="preserve">Welch, P. D. (1967). The use of fast Fourier transform for the estimation of power spectra: A method based on time averaging over short, modified periodograms. </w:t>
      </w:r>
      <w:r>
        <w:rPr>
          <w:rFonts w:ascii="Times New Roman" w:cs="Times New Roman" w:eastAsia="Times New Roman" w:hAnsi="Times New Roman"/>
          <w:i/>
          <w:iCs/>
          <w:sz w:val="18"/>
          <w:szCs w:val="18"/>
        </w:rPr>
        <w:t xml:space="preserve">IEEE Transactions on Audio and Electroacoustics, 15</w:t>
      </w:r>
      <w:r>
        <w:rPr>
          <w:rFonts w:ascii="Times New Roman" w:cs="Times New Roman" w:eastAsia="Times New Roman" w:hAnsi="Times New Roman"/>
          <w:i w:val="false"/>
          <w:iCs w:val="false"/>
          <w:sz w:val="18"/>
          <w:szCs w:val="18"/>
        </w:rPr>
        <w:t xml:space="preserve">(2), 70–73. https://doi.org/10.1109/TAU.1967.1161901</w:t>
      </w:r>
    </w:p>
    <w:sectPr>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2026-10-25T14:29:09.385Z</dcterms:created>
  <dcterms:modified xsi:type="dcterms:W3CDTF">2026-10-25T14:29:09.393Z</dcterms:modified>
</cp:coreProperties>
</file>

<file path=docProps/custom.xml><?xml version="1.0" encoding="utf-8"?>
<Properties xmlns="http://schemas.openxmlformats.org/officeDocument/2006/custom-properties" xmlns:vt="http://schemas.openxmlformats.org/officeDocument/2006/docPropsVTypes"/>
</file>