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Research References</w:t>
      </w:r>
    </w:p>
    <w:p>
      <w:r>
        <w:t>Sources for the LANL Learn platform's market and pricing research, its learning-science design and its financial feasibility. Formatted in APA style (7th edition); journal articles include DOIs checked against Crossref. Undated web pages show “n.d.” with the date they were retrieved.</w:t>
      </w:r>
    </w:p>
    <w:p>
      <w:pPr>
        <w:pStyle w:val="Heading2"/>
      </w:pPr>
      <w:r>
        <w:t>Market research and pricing</w:t>
      </w:r>
    </w:p>
    <w:p>
      <w:pPr>
        <w:ind w:left="720" w:right="720"/>
      </w:pPr>
      <w:r>
        <w:t>Industry spending benchmarks, LMS market size estimates, and published pricing from comparable learning platforms. Market-size figures come from commercial research firms whose definitions differ, so compare them as ranges.</w:t>
      </w:r>
    </w:p>
    <w:p>
      <w:pPr>
        <w:ind w:left="720" w:hanging="720"/>
      </w:pPr>
      <w:r>
        <w:t xml:space="preserve">Absorb Software. (n.d.). </w:t>
      </w:r>
      <w:r>
        <w:rPr>
          <w:i/>
        </w:rPr>
        <w:t>Get pricing: Absorb LMS software</w:t>
      </w:r>
      <w:r>
        <w:t xml:space="preserve">. Retrieved October 25, 2026, from </w:t>
      </w:r>
      <w:hyperlink r:id="rId9">
        <w:r>
          <w:rPr>
            <w:color w:val="0563C1"/>
            <w:u w:val="single"/>
          </w:rPr>
          <w:t xml:space="preserve">https://www.absorblms.com/pricing</w:t>
        </w:r>
      </w:hyperlink>
    </w:p>
    <w:p>
      <w:pPr>
        <w:ind w:left="720" w:hanging="720"/>
      </w:pPr>
      <w:r>
        <w:t xml:space="preserve">Association for Talent Development. (2025). </w:t>
      </w:r>
      <w:r>
        <w:rPr>
          <w:i/>
        </w:rPr>
        <w:t>2025 state of the industry: Talent development benchmarks and trends</w:t>
      </w:r>
      <w:r>
        <w:t xml:space="preserve">. </w:t>
      </w:r>
      <w:hyperlink r:id="rId10">
        <w:r>
          <w:rPr>
            <w:color w:val="0563C1"/>
            <w:u w:val="single"/>
          </w:rPr>
          <w:t xml:space="preserve">https://assets.td.org/m/483691e33fbdf4db/original/State_of_the_Industry_PDF_Download_2025.pdf</w:t>
        </w:r>
      </w:hyperlink>
    </w:p>
    <w:p>
      <w:pPr>
        <w:ind w:left="720" w:hanging="720"/>
      </w:pPr>
      <w:r>
        <w:t xml:space="preserve">Docebo. (n.d.). </w:t>
      </w:r>
      <w:r>
        <w:rPr>
          <w:i/>
        </w:rPr>
        <w:t>Docebo LMS pricing and plans</w:t>
      </w:r>
      <w:r>
        <w:t xml:space="preserve">. Retrieved October 25, 2026, from </w:t>
      </w:r>
      <w:hyperlink r:id="rId11">
        <w:r>
          <w:rPr>
            <w:color w:val="0563C1"/>
            <w:u w:val="single"/>
          </w:rPr>
          <w:t xml:space="preserve">https://www.docebo.com/pricing/</w:t>
        </w:r>
      </w:hyperlink>
    </w:p>
    <w:p>
      <w:pPr>
        <w:ind w:left="720" w:hanging="720"/>
      </w:pPr>
      <w:r>
        <w:t xml:space="preserve">Freifeld, L. (Ed.). (2025, November 10). 2025 training industry report. </w:t>
      </w:r>
      <w:r>
        <w:rPr>
          <w:i/>
        </w:rPr>
        <w:t>Training</w:t>
      </w:r>
      <w:r>
        <w:t xml:space="preserve">. </w:t>
      </w:r>
      <w:hyperlink r:id="rId12">
        <w:r>
          <w:rPr>
            <w:color w:val="0563C1"/>
            <w:u w:val="single"/>
          </w:rPr>
          <w:t xml:space="preserve">https://trainingmag.com/2025-training-industry-report/</w:t>
        </w:r>
      </w:hyperlink>
    </w:p>
    <w:p>
      <w:pPr>
        <w:ind w:left="720" w:hanging="720"/>
      </w:pPr>
      <w:r>
        <w:t xml:space="preserve">Grand View Research. (n.d.). </w:t>
      </w:r>
      <w:r>
        <w:rPr>
          <w:i/>
        </w:rPr>
        <w:t>Corporate learning management system market report, 2033</w:t>
      </w:r>
      <w:r>
        <w:t xml:space="preserve">. Retrieved October 25, 2026, from </w:t>
      </w:r>
      <w:hyperlink r:id="rId13">
        <w:r>
          <w:rPr>
            <w:color w:val="0563C1"/>
            <w:u w:val="single"/>
          </w:rPr>
          <w:t xml:space="preserve">https://grandviewresearch.com/industry-analysis/corporate-learning-management-system-lms-market-report</w:t>
        </w:r>
      </w:hyperlink>
    </w:p>
    <w:p>
      <w:pPr>
        <w:ind w:left="720" w:hanging="720"/>
      </w:pPr>
      <w:r>
        <w:t xml:space="preserve">MarketsandMarkets. (n.d.). </w:t>
      </w:r>
      <w:r>
        <w:rPr>
          <w:i/>
        </w:rPr>
        <w:t>US learning management system market size, share, trends, growth analysis report, 2030</w:t>
      </w:r>
      <w:r>
        <w:t xml:space="preserve">. Retrieved October 25, 2026, from </w:t>
      </w:r>
      <w:hyperlink r:id="rId14">
        <w:r>
          <w:rPr>
            <w:color w:val="0563C1"/>
            <w:u w:val="single"/>
          </w:rPr>
          <w:t xml:space="preserve">https://www.marketsandmarkets.com/Market-Reports/geography/learning-management-systems-market/us</w:t>
        </w:r>
      </w:hyperlink>
    </w:p>
    <w:p>
      <w:pPr>
        <w:ind w:left="720" w:hanging="720"/>
      </w:pPr>
      <w:r>
        <w:t xml:space="preserve">Statista. (2025). </w:t>
      </w:r>
      <w:r>
        <w:rPr>
          <w:i/>
        </w:rPr>
        <w:t>U.S. training expenditure per learner 2025</w:t>
      </w:r>
      <w:r>
        <w:t xml:space="preserve">. Retrieved October 25, 2026, from </w:t>
      </w:r>
      <w:hyperlink r:id="rId15">
        <w:r>
          <w:rPr>
            <w:color w:val="0563C1"/>
            <w:u w:val="single"/>
          </w:rPr>
          <w:t xml:space="preserve">https://www.statista.com/statistics/795795/training-expenditure-per-learner-and-company-size-us</w:t>
        </w:r>
      </w:hyperlink>
    </w:p>
    <w:p>
      <w:pPr>
        <w:ind w:left="720" w:hanging="720"/>
      </w:pPr>
      <w:r>
        <w:t xml:space="preserve">TalentLMS. (n.d.). </w:t>
      </w:r>
      <w:r>
        <w:rPr>
          <w:i/>
        </w:rPr>
        <w:t>TalentLMS pricing: Choose your plan</w:t>
      </w:r>
      <w:r>
        <w:t xml:space="preserve">. Retrieved October 25, 2026, from </w:t>
      </w:r>
      <w:hyperlink r:id="rId16">
        <w:r>
          <w:rPr>
            <w:color w:val="0563C1"/>
            <w:u w:val="single"/>
          </w:rPr>
          <w:t xml:space="preserve">https://www.talentlms.com/pricing</w:t>
        </w:r>
      </w:hyperlink>
    </w:p>
    <w:p>
      <w:pPr>
        <w:pStyle w:val="Heading2"/>
      </w:pPr>
      <w:r>
        <w:t>Learning science and learning styles</w:t>
      </w:r>
    </w:p>
    <w:p>
      <w:pPr>
        <w:ind w:left="720" w:right="720"/>
      </w:pPr>
      <w:r>
        <w:t>Note on learning styles: research does not support the “meshing” idea that teaching to a person's preferred style (for example, visual or auditory) improves learning (Pashler et al., 2008; Rohrer &amp; Pashler, 2012; Kirschner, 2017; Husmann &amp; O'Loughlin, 2019). The platform therefore treats a stated style as a starting preference only, and adapts to measured results instead: knowledge tracing (Corbett &amp; Anderson, 1994), a multi-armed bandit that keeps the delivery formats that actually work for each person (Clement et al., 2015), retrieval practice and spacing (Roediger &amp; Karpicke, 2006; Cepeda et al., 2006; Dunlosky et al., 2013), multimedia design principles (Mayer, 2020), and situational interviews modeled on the multiple mini-interview and CASPer (Eva et al., 2004; Dore et al., 2009).</w:t>
      </w:r>
    </w:p>
    <w:p>
      <w:pPr>
        <w:ind w:left="720" w:hanging="720"/>
      </w:pPr>
      <w:r>
        <w:t xml:space="preserve">Bloom, B. S. (1984). The 2 sigma problem: The search for methods of group instruction as effective as one-to-one tutoring. </w:t>
      </w:r>
      <w:r>
        <w:rPr>
          <w:i/>
        </w:rPr>
        <w:t>Educational Researcher, 13</w:t>
      </w:r>
      <w:r>
        <w:t xml:space="preserve">(6), 4–16. </w:t>
      </w:r>
      <w:hyperlink r:id="rId17">
        <w:r>
          <w:rPr>
            <w:color w:val="0563C1"/>
            <w:u w:val="single"/>
          </w:rPr>
          <w:t xml:space="preserve">https://doi.org/10.3102/0013189X013006004</w:t>
        </w:r>
      </w:hyperlink>
    </w:p>
    <w:p>
      <w:pPr>
        <w:ind w:left="720" w:hanging="720"/>
      </w:pPr>
      <w:r>
        <w:t xml:space="preserve">Cepeda, N. J., Pashler, H., Vul, E., Wixted, J. T., &amp; Rohrer, D. (2006). Distributed practice in verbal recall tasks: A review and quantitative synthesis. </w:t>
      </w:r>
      <w:r>
        <w:rPr>
          <w:i/>
        </w:rPr>
        <w:t>Psychological Bulletin, 132</w:t>
      </w:r>
      <w:r>
        <w:t xml:space="preserve">(3), 354–380. </w:t>
      </w:r>
      <w:hyperlink r:id="rId18">
        <w:r>
          <w:rPr>
            <w:color w:val="0563C1"/>
            <w:u w:val="single"/>
          </w:rPr>
          <w:t xml:space="preserve">https://doi.org/10.1037/0033-2909.132.3.354</w:t>
        </w:r>
      </w:hyperlink>
    </w:p>
    <w:p>
      <w:pPr>
        <w:ind w:left="720" w:hanging="720"/>
      </w:pPr>
      <w:r>
        <w:t xml:space="preserve">Clement, B., Roy, D., Oudeyer, P.-Y., &amp; Lopes, M. (2015). Multi-armed bandits for intelligent tutoring systems. </w:t>
      </w:r>
      <w:r>
        <w:rPr>
          <w:i/>
        </w:rPr>
        <w:t>Journal of Educational Data Mining, 7</w:t>
      </w:r>
      <w:r>
        <w:t xml:space="preserve">(2), 20–48. </w:t>
      </w:r>
      <w:hyperlink r:id="rId19">
        <w:r>
          <w:rPr>
            <w:color w:val="0563C1"/>
            <w:u w:val="single"/>
          </w:rPr>
          <w:t xml:space="preserve">https://doi.org/10.5281/zenodo.3554667</w:t>
        </w:r>
      </w:hyperlink>
    </w:p>
    <w:p>
      <w:pPr>
        <w:ind w:left="720" w:hanging="720"/>
      </w:pPr>
      <w:r>
        <w:t xml:space="preserve">Corbett, A. T., &amp; Anderson, J. R. (1994). Knowledge tracing: Modeling the acquisition of procedural knowledge. </w:t>
      </w:r>
      <w:r>
        <w:rPr>
          <w:i/>
        </w:rPr>
        <w:t>User Modeling and User-Adapted Interaction, 4</w:t>
      </w:r>
      <w:r>
        <w:t xml:space="preserve">(4), 253–278. </w:t>
      </w:r>
      <w:hyperlink r:id="rId20">
        <w:r>
          <w:rPr>
            <w:color w:val="0563C1"/>
            <w:u w:val="single"/>
          </w:rPr>
          <w:t xml:space="preserve">https://doi.org/10.1007/BF01099821</w:t>
        </w:r>
      </w:hyperlink>
    </w:p>
    <w:p>
      <w:pPr>
        <w:ind w:left="720" w:hanging="720"/>
      </w:pPr>
      <w:r>
        <w:t xml:space="preserve">Dore, K. L., Reiter, H. I., Eva, K. W., Krueger, S., Scriven, E., Siu, E., Hilsden, S., Thomas, J., &amp; Norman, G. R. (2009). Extending the interview to all medical school candidates—Computer-based multiple sample evaluation of noncognitive skills (CMSENS). </w:t>
      </w:r>
      <w:r>
        <w:rPr>
          <w:i/>
        </w:rPr>
        <w:t>Academic Medicine, 84</w:t>
      </w:r>
      <w:r>
        <w:t xml:space="preserve">(10 Suppl.), S9–S12. </w:t>
      </w:r>
      <w:hyperlink r:id="rId21">
        <w:r>
          <w:rPr>
            <w:color w:val="0563C1"/>
            <w:u w:val="single"/>
          </w:rPr>
          <w:t xml:space="preserve">https://doi.org/10.1097/ACM.0b013e3181b3705a</w:t>
        </w:r>
      </w:hyperlink>
    </w:p>
    <w:p>
      <w:pPr>
        <w:ind w:left="720" w:hanging="720"/>
      </w:pPr>
      <w:r>
        <w:t xml:space="preserve">Dunlosky, J., Rawson, K. A., Marsh, E. J., Nathan, M. J., &amp; Willingham, D. T. (2013). Improving students' learning with effective learning techniques: Promising directions from cognitive and educational psychology. </w:t>
      </w:r>
      <w:r>
        <w:rPr>
          <w:i/>
        </w:rPr>
        <w:t>Psychological Science in the Public Interest, 14</w:t>
      </w:r>
      <w:r>
        <w:t xml:space="preserve">(1), 4–58. </w:t>
      </w:r>
      <w:hyperlink r:id="rId22">
        <w:r>
          <w:rPr>
            <w:color w:val="0563C1"/>
            <w:u w:val="single"/>
          </w:rPr>
          <w:t xml:space="preserve">https://doi.org/10.1177/1529100612453266</w:t>
        </w:r>
      </w:hyperlink>
    </w:p>
    <w:p>
      <w:pPr>
        <w:ind w:left="720" w:hanging="720"/>
      </w:pPr>
      <w:r>
        <w:t xml:space="preserve">Eva, K. W., Rosenfeld, J., Reiter, H. I., &amp; Norman, G. R. (2004). An admissions OSCE: The multiple mini-interview. </w:t>
      </w:r>
      <w:r>
        <w:rPr>
          <w:i/>
        </w:rPr>
        <w:t>Medical Education, 38</w:t>
      </w:r>
      <w:r>
        <w:t xml:space="preserve">(3), 314–326. </w:t>
      </w:r>
      <w:hyperlink r:id="rId23">
        <w:r>
          <w:rPr>
            <w:color w:val="0563C1"/>
            <w:u w:val="single"/>
          </w:rPr>
          <w:t xml:space="preserve">https://doi.org/10.1046/j.1365-2923.2004.01776.x</w:t>
        </w:r>
      </w:hyperlink>
    </w:p>
    <w:p>
      <w:pPr>
        <w:ind w:left="720" w:hanging="720"/>
      </w:pPr>
      <w:r>
        <w:t xml:space="preserve">Fleming, N. D., &amp; Mills, C. (1992). Not another inventory, rather a catalyst for reflection. </w:t>
      </w:r>
      <w:r>
        <w:rPr>
          <w:i/>
        </w:rPr>
        <w:t>To Improve the Academy, 11</w:t>
      </w:r>
      <w:r>
        <w:t xml:space="preserve">(1), 137–155. </w:t>
      </w:r>
      <w:hyperlink r:id="rId24">
        <w:r>
          <w:rPr>
            <w:color w:val="0563C1"/>
            <w:u w:val="single"/>
          </w:rPr>
          <w:t xml:space="preserve">https://doi.org/10.1002/j.2334-4822.1992.tb00213.x</w:t>
        </w:r>
      </w:hyperlink>
    </w:p>
    <w:p>
      <w:pPr>
        <w:ind w:left="720" w:hanging="720"/>
      </w:pPr>
      <w:r>
        <w:t xml:space="preserve">Husmann, P. R., &amp; O'Loughlin, V. D. (2019). Another nail in the coffin for learning styles? Disparities among undergraduate anatomy students' study strategies, class performance, and reported VARK learning styles. </w:t>
      </w:r>
      <w:r>
        <w:rPr>
          <w:i/>
        </w:rPr>
        <w:t>Anatomical Sciences Education, 12</w:t>
      </w:r>
      <w:r>
        <w:t xml:space="preserve">(1), 6–19. </w:t>
      </w:r>
      <w:hyperlink r:id="rId25">
        <w:r>
          <w:rPr>
            <w:color w:val="0563C1"/>
            <w:u w:val="single"/>
          </w:rPr>
          <w:t xml:space="preserve">https://doi.org/10.1002/ase.1777</w:t>
        </w:r>
      </w:hyperlink>
    </w:p>
    <w:p>
      <w:pPr>
        <w:ind w:left="720" w:hanging="720"/>
      </w:pPr>
      <w:r>
        <w:t xml:space="preserve">Kirschner, P. A. (2017). Stop propagating the learning styles myth. </w:t>
      </w:r>
      <w:r>
        <w:rPr>
          <w:i/>
        </w:rPr>
        <w:t>Computers &amp; Education, 106</w:t>
      </w:r>
      <w:r>
        <w:t xml:space="preserve">, 166–171. </w:t>
      </w:r>
      <w:hyperlink r:id="rId26">
        <w:r>
          <w:rPr>
            <w:color w:val="0563C1"/>
            <w:u w:val="single"/>
          </w:rPr>
          <w:t xml:space="preserve">https://doi.org/10.1016/j.compedu.2016.12.006</w:t>
        </w:r>
      </w:hyperlink>
    </w:p>
    <w:p>
      <w:pPr>
        <w:ind w:left="720" w:hanging="720"/>
      </w:pPr>
      <w:r>
        <w:t xml:space="preserve">Kulik, J. A., &amp; Fletcher, J. D. (2016). Effectiveness of intelligent tutoring systems: A meta-analytic review. </w:t>
      </w:r>
      <w:r>
        <w:rPr>
          <w:i/>
        </w:rPr>
        <w:t>Review of Educational Research, 86</w:t>
      </w:r>
      <w:r>
        <w:t xml:space="preserve">(1), 42–78. </w:t>
      </w:r>
      <w:hyperlink r:id="rId27">
        <w:r>
          <w:rPr>
            <w:color w:val="0563C1"/>
            <w:u w:val="single"/>
          </w:rPr>
          <w:t xml:space="preserve">https://doi.org/10.3102/0034654315581420</w:t>
        </w:r>
      </w:hyperlink>
    </w:p>
    <w:p>
      <w:pPr>
        <w:ind w:left="720" w:hanging="720"/>
      </w:pPr>
      <w:r>
        <w:t xml:space="preserve">Mayer, R. E. (2020). </w:t>
      </w:r>
      <w:r>
        <w:rPr>
          <w:i/>
        </w:rPr>
        <w:t>Multimedia learning</w:t>
      </w:r>
      <w:r>
        <w:t xml:space="preserve"> (3rd ed.). Cambridge University Press. </w:t>
      </w:r>
      <w:hyperlink r:id="rId28">
        <w:r>
          <w:rPr>
            <w:color w:val="0563C1"/>
            <w:u w:val="single"/>
          </w:rPr>
          <w:t xml:space="preserve">https://doi.org/10.1017/9781316941355</w:t>
        </w:r>
      </w:hyperlink>
    </w:p>
    <w:p>
      <w:pPr>
        <w:ind w:left="720" w:hanging="720"/>
      </w:pPr>
      <w:r>
        <w:t xml:space="preserve">Mayer, R. E., &amp; Moreno, R. (2003). Nine ways to reduce cognitive load in multimedia learning. </w:t>
      </w:r>
      <w:r>
        <w:rPr>
          <w:i/>
        </w:rPr>
        <w:t>Educational Psychologist, 38</w:t>
      </w:r>
      <w:r>
        <w:t xml:space="preserve">(1), 43–52. </w:t>
      </w:r>
      <w:hyperlink r:id="rId29">
        <w:r>
          <w:rPr>
            <w:color w:val="0563C1"/>
            <w:u w:val="single"/>
          </w:rPr>
          <w:t xml:space="preserve">https://doi.org/10.1207/S15326985EP3801_6</w:t>
        </w:r>
      </w:hyperlink>
    </w:p>
    <w:p>
      <w:pPr>
        <w:ind w:left="720" w:hanging="720"/>
      </w:pPr>
      <w:r>
        <w:t xml:space="preserve">Pashler, H., McDaniel, M., Rohrer, D., &amp; Bjork, R. (2008). Learning styles: Concepts and evidence. </w:t>
      </w:r>
      <w:r>
        <w:rPr>
          <w:i/>
        </w:rPr>
        <w:t>Psychological Science in the Public Interest, 9</w:t>
      </w:r>
      <w:r>
        <w:t xml:space="preserve">(3), 105–119. </w:t>
      </w:r>
      <w:hyperlink r:id="rId30">
        <w:r>
          <w:rPr>
            <w:color w:val="0563C1"/>
            <w:u w:val="single"/>
          </w:rPr>
          <w:t xml:space="preserve">https://doi.org/10.1111/j.1539-6053.2009.01038.x</w:t>
        </w:r>
      </w:hyperlink>
    </w:p>
    <w:p>
      <w:pPr>
        <w:ind w:left="720" w:hanging="720"/>
      </w:pPr>
      <w:r>
        <w:t xml:space="preserve">Roediger, H. L., III, &amp; Karpicke, J. D. (2006). Test-enhanced learning: Taking memory tests improves long-term retention. </w:t>
      </w:r>
      <w:r>
        <w:rPr>
          <w:i/>
        </w:rPr>
        <w:t>Psychological Science, 17</w:t>
      </w:r>
      <w:r>
        <w:t xml:space="preserve">(3), 249–255. </w:t>
      </w:r>
      <w:hyperlink r:id="rId31">
        <w:r>
          <w:rPr>
            <w:color w:val="0563C1"/>
            <w:u w:val="single"/>
          </w:rPr>
          <w:t xml:space="preserve">https://doi.org/10.1111/j.1467-9280.2006.01693.x</w:t>
        </w:r>
      </w:hyperlink>
    </w:p>
    <w:p>
      <w:pPr>
        <w:ind w:left="720" w:hanging="720"/>
      </w:pPr>
      <w:r>
        <w:t xml:space="preserve">Rohrer, D., &amp; Pashler, H. (2012). Learning styles: Where's the evidence? </w:t>
      </w:r>
      <w:r>
        <w:rPr>
          <w:i/>
        </w:rPr>
        <w:t>Medical Education, 46</w:t>
      </w:r>
      <w:r>
        <w:t xml:space="preserve">(7), 634–635. </w:t>
      </w:r>
      <w:hyperlink r:id="rId32">
        <w:r>
          <w:rPr>
            <w:color w:val="0563C1"/>
            <w:u w:val="single"/>
          </w:rPr>
          <w:t xml:space="preserve">https://doi.org/10.1111/j.1365-2923.2012.04273.x</w:t>
        </w:r>
      </w:hyperlink>
    </w:p>
    <w:p>
      <w:pPr>
        <w:ind w:left="720" w:hanging="720"/>
      </w:pPr>
      <w:r>
        <w:t xml:space="preserve">Sweller, J. (1988). Cognitive load during problem solving: Effects on learning. </w:t>
      </w:r>
      <w:r>
        <w:rPr>
          <w:i/>
        </w:rPr>
        <w:t>Cognitive Science, 12</w:t>
      </w:r>
      <w:r>
        <w:t xml:space="preserve">(2), 257–285. </w:t>
      </w:r>
      <w:hyperlink r:id="rId33">
        <w:r>
          <w:rPr>
            <w:color w:val="0563C1"/>
            <w:u w:val="single"/>
          </w:rPr>
          <w:t xml:space="preserve">https://doi.org/10.1207/s15516709cog1202_4</w:t>
        </w:r>
      </w:hyperlink>
    </w:p>
    <w:p>
      <w:pPr>
        <w:ind w:left="720" w:hanging="720"/>
      </w:pPr>
      <w:r>
        <w:t xml:space="preserve">VanLehn, K. (2011). The relative effectiveness of human tutoring, intelligent tutoring systems, and other tutoring systems. </w:t>
      </w:r>
      <w:r>
        <w:rPr>
          <w:i/>
        </w:rPr>
        <w:t>Educational Psychologist, 46</w:t>
      </w:r>
      <w:r>
        <w:t xml:space="preserve">(4), 197–221. </w:t>
      </w:r>
      <w:hyperlink r:id="rId34">
        <w:r>
          <w:rPr>
            <w:color w:val="0563C1"/>
            <w:u w:val="single"/>
          </w:rPr>
          <w:t xml:space="preserve">https://doi.org/10.1080/00461520.2011.611369</w:t>
        </w:r>
      </w:hyperlink>
    </w:p>
    <w:p>
      <w:pPr>
        <w:pStyle w:val="Heading2"/>
      </w:pPr>
      <w:r>
        <w:t>Financial feasibility</w:t>
      </w:r>
    </w:p>
    <w:p>
      <w:pPr>
        <w:ind w:left="720" w:right="720"/>
      </w:pPr>
      <w:r>
        <w:t>LANL's workforce and budget, the cost of hiring and turnover, labor costs, and what it costs to run the platform: AI usage pricing, cloud hosting, and the federal cloud security authorization a DOE deployment would need.</w:t>
      </w:r>
    </w:p>
    <w:p>
      <w:pPr>
        <w:ind w:left="720" w:hanging="720"/>
      </w:pPr>
      <w:r>
        <w:t xml:space="preserve">Amazon Web Services. (n.d.). </w:t>
      </w:r>
      <w:r>
        <w:rPr>
          <w:i/>
        </w:rPr>
        <w:t>Amazon RDS for PostgreSQL pricing</w:t>
      </w:r>
      <w:r>
        <w:t xml:space="preserve">. Retrieved October 25, 2026, from </w:t>
      </w:r>
      <w:hyperlink r:id="rId35">
        <w:r>
          <w:rPr>
            <w:color w:val="0563C1"/>
            <w:u w:val="single"/>
          </w:rPr>
          <w:t xml:space="preserve">https://aws.amazon.com/rds/postgresql/pricing/</w:t>
        </w:r>
      </w:hyperlink>
    </w:p>
    <w:p>
      <w:pPr>
        <w:ind w:left="720" w:hanging="720"/>
      </w:pPr>
      <w:r>
        <w:t xml:space="preserve">Amazon Web Services. (n.d.). </w:t>
      </w:r>
      <w:r>
        <w:rPr>
          <w:i/>
        </w:rPr>
        <w:t>AWS Fargate pricing</w:t>
      </w:r>
      <w:r>
        <w:t xml:space="preserve">. Retrieved October 25, 2026, from </w:t>
      </w:r>
      <w:hyperlink r:id="rId36">
        <w:r>
          <w:rPr>
            <w:color w:val="0563C1"/>
            <w:u w:val="single"/>
          </w:rPr>
          <w:t xml:space="preserve">https://aws.amazon.com/fargate/pricing/</w:t>
        </w:r>
      </w:hyperlink>
    </w:p>
    <w:p>
      <w:pPr>
        <w:ind w:left="720" w:hanging="720"/>
      </w:pPr>
      <w:r>
        <w:t xml:space="preserve">Anthropic. (n.d.). </w:t>
      </w:r>
      <w:r>
        <w:rPr>
          <w:i/>
        </w:rPr>
        <w:t>Pricing</w:t>
      </w:r>
      <w:r>
        <w:t xml:space="preserve"> [Claude Platform documentation]. Retrieved October 25, 2026, from </w:t>
      </w:r>
      <w:hyperlink r:id="rId37">
        <w:r>
          <w:rPr>
            <w:color w:val="0563C1"/>
            <w:u w:val="single"/>
          </w:rPr>
          <w:t xml:space="preserve">https://platform.claude.com/docs/en/about-claude/pricing</w:t>
        </w:r>
      </w:hyperlink>
    </w:p>
    <w:p>
      <w:pPr>
        <w:ind w:left="720" w:hanging="720"/>
      </w:pPr>
      <w:r>
        <w:t xml:space="preserve">Los Alamos National Laboratory. (2026, January 27). </w:t>
      </w:r>
      <w:r>
        <w:rPr>
          <w:i/>
        </w:rPr>
        <w:t>Laboratory economic impact FY 2025</w:t>
      </w:r>
      <w:r>
        <w:t xml:space="preserve">. </w:t>
      </w:r>
      <w:hyperlink r:id="rId38">
        <w:r>
          <w:rPr>
            <w:color w:val="0563C1"/>
            <w:u w:val="single"/>
          </w:rPr>
          <w:t xml:space="preserve">https://www.lanl.gov/media/news/0127-lab-economic-impact</w:t>
        </w:r>
      </w:hyperlink>
    </w:p>
    <w:p>
      <w:pPr>
        <w:ind w:left="720" w:hanging="720"/>
      </w:pPr>
      <w:r>
        <w:t xml:space="preserve">McFeely, S., &amp; Wigert, B. (2019, March 13). </w:t>
      </w:r>
      <w:r>
        <w:rPr>
          <w:i/>
        </w:rPr>
        <w:t>This fixable problem costs U.S. businesses $1 trillion</w:t>
      </w:r>
      <w:r>
        <w:t xml:space="preserve">. Gallup. </w:t>
      </w:r>
      <w:hyperlink r:id="rId39">
        <w:r>
          <w:rPr>
            <w:color w:val="0563C1"/>
            <w:u w:val="single"/>
          </w:rPr>
          <w:t xml:space="preserve">https://www.gallup.com/workplace/247391/fixable-problem-costs-businesses-trillion.aspx</w:t>
        </w:r>
      </w:hyperlink>
    </w:p>
    <w:p>
      <w:pPr>
        <w:ind w:left="720" w:hanging="720"/>
      </w:pPr>
      <w:r>
        <w:t xml:space="preserve">Society for Human Resource Management. (2025). </w:t>
      </w:r>
      <w:r>
        <w:rPr>
          <w:i/>
        </w:rPr>
        <w:t>2025 recruiting executives benchmarking: Insights to maximize recruitment</w:t>
      </w:r>
      <w:r>
        <w:t xml:space="preserve"> [Data brief]. </w:t>
      </w:r>
      <w:hyperlink r:id="rId40">
        <w:r>
          <w:rPr>
            <w:color w:val="0563C1"/>
            <w:u w:val="single"/>
          </w:rPr>
          <w:t xml:space="preserve">https://www.shrm.org/content/dam/en/shrm/research/2025-recruiting-benchmarking-report.pdf</w:t>
        </w:r>
      </w:hyperlink>
    </w:p>
    <w:p>
      <w:pPr>
        <w:ind w:left="720" w:hanging="720"/>
      </w:pPr>
      <w:r>
        <w:t xml:space="preserve">U.S. Bureau of Labor Statistics. (2026, March 20). </w:t>
      </w:r>
      <w:r>
        <w:rPr>
          <w:i/>
        </w:rPr>
        <w:t>Employer costs for employee compensation—December 2025</w:t>
      </w:r>
      <w:r>
        <w:t xml:space="preserve"> [News release]. </w:t>
      </w:r>
      <w:hyperlink r:id="rId41">
        <w:r>
          <w:rPr>
            <w:color w:val="0563C1"/>
            <w:u w:val="single"/>
          </w:rPr>
          <w:t xml:space="preserve">https://www.bls.gov/news.release/archives/ecec_03202026.htm</w:t>
        </w:r>
      </w:hyperlink>
    </w:p>
    <w:p>
      <w:pPr>
        <w:ind w:left="720" w:hanging="720"/>
      </w:pPr>
      <w:r>
        <w:t xml:space="preserve">U.S. General Services Administration. (n.d.). </w:t>
      </w:r>
      <w:r>
        <w:rPr>
          <w:i/>
        </w:rPr>
        <w:t>FedRAMP: Federal Risk and Authorization Management Program</w:t>
      </w:r>
      <w:r>
        <w:t xml:space="preserve">. Retrieved October 25, 2026, from </w:t>
      </w:r>
      <w:hyperlink r:id="rId42">
        <w:r>
          <w:rPr>
            <w:color w:val="0563C1"/>
            <w:u w:val="single"/>
          </w:rPr>
          <w:t xml:space="preserve">https://www.fedramp.gov/</w:t>
        </w:r>
      </w:hyperlink>
    </w:p>
    <w:sectPr w:rsidR="00FC693F" w:rsidRPr="0006063C" w:rsidSect="00034616">
      <w:headerReference w:type="defaul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</w:r>
    <w:r>
      <w:instrText xml:space="preserve">PAGE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sorblms.com/pricing" TargetMode="External"/><Relationship Id="rId10" Type="http://schemas.openxmlformats.org/officeDocument/2006/relationships/hyperlink" Target="https://assets.td.org/m/483691e33fbdf4db/original/State_of_the_Industry_PDF_Download_2025.pdf" TargetMode="External"/><Relationship Id="rId11" Type="http://schemas.openxmlformats.org/officeDocument/2006/relationships/hyperlink" Target="https://www.docebo.com/pricing/" TargetMode="External"/><Relationship Id="rId12" Type="http://schemas.openxmlformats.org/officeDocument/2006/relationships/hyperlink" Target="https://trainingmag.com/2025-training-industry-report/" TargetMode="External"/><Relationship Id="rId13" Type="http://schemas.openxmlformats.org/officeDocument/2006/relationships/hyperlink" Target="https://grandviewresearch.com/industry-analysis/corporate-learning-management-system-lms-market-report" TargetMode="External"/><Relationship Id="rId14" Type="http://schemas.openxmlformats.org/officeDocument/2006/relationships/hyperlink" Target="https://www.marketsandmarkets.com/Market-Reports/geography/learning-management-systems-market/us" TargetMode="External"/><Relationship Id="rId15" Type="http://schemas.openxmlformats.org/officeDocument/2006/relationships/hyperlink" Target="https://www.statista.com/statistics/795795/training-expenditure-per-learner-and-company-size-us" TargetMode="External"/><Relationship Id="rId16" Type="http://schemas.openxmlformats.org/officeDocument/2006/relationships/hyperlink" Target="https://www.talentlms.com/pricing" TargetMode="External"/><Relationship Id="rId17" Type="http://schemas.openxmlformats.org/officeDocument/2006/relationships/hyperlink" Target="https://doi.org/10.3102/0013189X013006004" TargetMode="External"/><Relationship Id="rId18" Type="http://schemas.openxmlformats.org/officeDocument/2006/relationships/hyperlink" Target="https://doi.org/10.1037/0033-2909.132.3.354" TargetMode="External"/><Relationship Id="rId19" Type="http://schemas.openxmlformats.org/officeDocument/2006/relationships/hyperlink" Target="https://doi.org/10.5281/zenodo.3554667" TargetMode="External"/><Relationship Id="rId20" Type="http://schemas.openxmlformats.org/officeDocument/2006/relationships/hyperlink" Target="https://doi.org/10.1007/BF01099821" TargetMode="External"/><Relationship Id="rId21" Type="http://schemas.openxmlformats.org/officeDocument/2006/relationships/hyperlink" Target="https://doi.org/10.1097/ACM.0b013e3181b3705a" TargetMode="External"/><Relationship Id="rId22" Type="http://schemas.openxmlformats.org/officeDocument/2006/relationships/hyperlink" Target="https://doi.org/10.1177/1529100612453266" TargetMode="External"/><Relationship Id="rId23" Type="http://schemas.openxmlformats.org/officeDocument/2006/relationships/hyperlink" Target="https://doi.org/10.1046/j.1365-2923.2004.01776.x" TargetMode="External"/><Relationship Id="rId24" Type="http://schemas.openxmlformats.org/officeDocument/2006/relationships/hyperlink" Target="https://doi.org/10.1002/j.2334-4822.1992.tb00213.x" TargetMode="External"/><Relationship Id="rId25" Type="http://schemas.openxmlformats.org/officeDocument/2006/relationships/hyperlink" Target="https://doi.org/10.1002/ase.1777" TargetMode="External"/><Relationship Id="rId26" Type="http://schemas.openxmlformats.org/officeDocument/2006/relationships/hyperlink" Target="https://doi.org/10.1016/j.compedu.2016.12.006" TargetMode="External"/><Relationship Id="rId27" Type="http://schemas.openxmlformats.org/officeDocument/2006/relationships/hyperlink" Target="https://doi.org/10.3102/0034654315581420" TargetMode="External"/><Relationship Id="rId28" Type="http://schemas.openxmlformats.org/officeDocument/2006/relationships/hyperlink" Target="https://doi.org/10.1017/9781316941355" TargetMode="External"/><Relationship Id="rId29" Type="http://schemas.openxmlformats.org/officeDocument/2006/relationships/hyperlink" Target="https://doi.org/10.1207/S15326985EP3801_6" TargetMode="External"/><Relationship Id="rId30" Type="http://schemas.openxmlformats.org/officeDocument/2006/relationships/hyperlink" Target="https://doi.org/10.1111/j.1539-6053.2009.01038.x" TargetMode="External"/><Relationship Id="rId31" Type="http://schemas.openxmlformats.org/officeDocument/2006/relationships/hyperlink" Target="https://doi.org/10.1111/j.1467-9280.2006.01693.x" TargetMode="External"/><Relationship Id="rId32" Type="http://schemas.openxmlformats.org/officeDocument/2006/relationships/hyperlink" Target="https://doi.org/10.1111/j.1365-2923.2012.04273.x" TargetMode="External"/><Relationship Id="rId33" Type="http://schemas.openxmlformats.org/officeDocument/2006/relationships/hyperlink" Target="https://doi.org/10.1207/s15516709cog1202_4" TargetMode="External"/><Relationship Id="rId34" Type="http://schemas.openxmlformats.org/officeDocument/2006/relationships/hyperlink" Target="https://doi.org/10.1080/00461520.2011.611369" TargetMode="External"/><Relationship Id="rId35" Type="http://schemas.openxmlformats.org/officeDocument/2006/relationships/hyperlink" Target="https://aws.amazon.com/rds/postgresql/pricing/" TargetMode="External"/><Relationship Id="rId36" Type="http://schemas.openxmlformats.org/officeDocument/2006/relationships/hyperlink" Target="https://aws.amazon.com/fargate/pricing/" TargetMode="External"/><Relationship Id="rId37" Type="http://schemas.openxmlformats.org/officeDocument/2006/relationships/hyperlink" Target="https://platform.claude.com/docs/en/about-claude/pricing" TargetMode="External"/><Relationship Id="rId38" Type="http://schemas.openxmlformats.org/officeDocument/2006/relationships/hyperlink" Target="https://www.lanl.gov/media/news/0127-lab-economic-impact" TargetMode="External"/><Relationship Id="rId39" Type="http://schemas.openxmlformats.org/officeDocument/2006/relationships/hyperlink" Target="https://www.gallup.com/workplace/247391/fixable-problem-costs-businesses-trillion.aspx" TargetMode="External"/><Relationship Id="rId40" Type="http://schemas.openxmlformats.org/officeDocument/2006/relationships/hyperlink" Target="https://www.shrm.org/content/dam/en/shrm/research/2025-recruiting-benchmarking-report.pdf" TargetMode="External"/><Relationship Id="rId41" Type="http://schemas.openxmlformats.org/officeDocument/2006/relationships/hyperlink" Target="https://www.bls.gov/news.release/archives/ecec_03202026.htm" TargetMode="External"/><Relationship Id="rId42" Type="http://schemas.openxmlformats.org/officeDocument/2006/relationships/hyperlink" Target="https://www.fedramp.gov/" TargetMode="External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References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